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1, 2026</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FactSet Research Systems Inc.</w:t>
      </w:r>
    </w:p>
    <w:p>
      <w:pPr>
        <w:spacing w:after="0" w:line="52" w:lineRule="exact"/>
        <w:rPr>
          <w:sz w:val="24"/>
          <w:szCs w:val="24"/>
          <w:color w:val="auto"/>
        </w:rPr>
      </w:pPr>
    </w:p>
    <w:tbl>
      <w:tblPr>
        <w:tblLayout w:type="fixed"/>
        <w:tblInd w:w="840" w:type="dxa"/>
        <w:tblCellMar>
          <w:top w:w="0" w:type="dxa"/>
          <w:left w:w="0" w:type="dxa"/>
          <w:bottom w:w="0" w:type="dxa"/>
          <w:right w:w="0" w:type="dxa"/>
        </w:tblCellMar>
      </w:tblPr>
      <w:tr>
        <w:trPr>
          <w:trHeight w:val="226"/>
        </w:trPr>
        <w:tc>
          <w:tcPr>
            <w:tcW w:w="2220" w:type="dxa"/>
            <w:vAlign w:val="bottom"/>
          </w:tcPr>
          <w:p>
            <w:pPr>
              <w:spacing w:after="0"/>
              <w:rPr>
                <w:sz w:val="19"/>
                <w:szCs w:val="19"/>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1660" w:type="dxa"/>
            <w:vAlign w:val="bottom"/>
          </w:tcPr>
          <w:p>
            <w:pPr>
              <w:spacing w:after="0"/>
              <w:rPr>
                <w:sz w:val="19"/>
                <w:szCs w:val="19"/>
                <w:color w:val="auto"/>
              </w:rPr>
            </w:pPr>
          </w:p>
        </w:tc>
      </w:tr>
      <w:tr>
        <w:trPr>
          <w:trHeight w:val="229"/>
        </w:trPr>
        <w:tc>
          <w:tcPr>
            <w:tcW w:w="22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w w:val="98"/>
              </w:rPr>
              <w:t>1-11869</w:t>
            </w:r>
          </w:p>
        </w:tc>
        <w:tc>
          <w:tcPr>
            <w:tcW w:w="1660" w:type="dxa"/>
            <w:vAlign w:val="bottom"/>
          </w:tcPr>
          <w:p>
            <w:pPr>
              <w:jc w:val="center"/>
              <w:ind w:left="293"/>
              <w:spacing w:after="0"/>
              <w:rPr>
                <w:sz w:val="20"/>
                <w:szCs w:val="20"/>
                <w:color w:val="auto"/>
              </w:rPr>
            </w:pPr>
            <w:r>
              <w:rPr>
                <w:rFonts w:ascii="Times New Roman" w:cs="Times New Roman" w:eastAsia="Times New Roman" w:hAnsi="Times New Roman"/>
                <w:sz w:val="17"/>
                <w:szCs w:val="17"/>
                <w:b w:val="1"/>
                <w:bCs w:val="1"/>
                <w:color w:val="auto"/>
              </w:rPr>
              <w:t>13-3362547</w:t>
            </w:r>
          </w:p>
        </w:tc>
      </w:tr>
      <w:tr>
        <w:trPr>
          <w:trHeight w:val="405"/>
        </w:trPr>
        <w:tc>
          <w:tcPr>
            <w:tcW w:w="22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53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(Commission</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(I.R.S. Employer</w:t>
            </w:r>
          </w:p>
        </w:tc>
      </w:tr>
      <w:tr>
        <w:trPr>
          <w:trHeight w:val="405"/>
        </w:trPr>
        <w:tc>
          <w:tcPr>
            <w:tcW w:w="22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incorporation)</w:t>
            </w:r>
          </w:p>
        </w:tc>
        <w:tc>
          <w:tcPr>
            <w:tcW w:w="532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File Number)</w:t>
            </w:r>
          </w:p>
        </w:tc>
        <w:tc>
          <w:tcPr>
            <w:tcW w:w="166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725"/>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45 Glover Avenue</w:t>
            </w:r>
          </w:p>
        </w:tc>
        <w:tc>
          <w:tcPr>
            <w:tcW w:w="1660" w:type="dxa"/>
            <w:vAlign w:val="bottom"/>
          </w:tcPr>
          <w:p>
            <w:pPr>
              <w:spacing w:after="0"/>
              <w:rPr>
                <w:sz w:val="24"/>
                <w:szCs w:val="24"/>
                <w:color w:val="auto"/>
              </w:rPr>
            </w:pPr>
          </w:p>
        </w:tc>
      </w:tr>
      <w:tr>
        <w:trPr>
          <w:trHeight w:val="229"/>
        </w:trPr>
        <w:tc>
          <w:tcPr>
            <w:tcW w:w="2220" w:type="dxa"/>
            <w:vAlign w:val="bottom"/>
          </w:tcPr>
          <w:p>
            <w:pPr>
              <w:spacing w:after="0"/>
              <w:rPr>
                <w:sz w:val="19"/>
                <w:szCs w:val="19"/>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Norwalk, Connecticut 06850</w:t>
            </w:r>
          </w:p>
        </w:tc>
        <w:tc>
          <w:tcPr>
            <w:tcW w:w="1660" w:type="dxa"/>
            <w:vAlign w:val="bottom"/>
          </w:tcPr>
          <w:p>
            <w:pPr>
              <w:spacing w:after="0"/>
              <w:rPr>
                <w:sz w:val="19"/>
                <w:szCs w:val="19"/>
                <w:color w:val="auto"/>
              </w:rPr>
            </w:pPr>
          </w:p>
        </w:tc>
      </w:tr>
      <w:tr>
        <w:trPr>
          <w:trHeight w:val="366"/>
        </w:trPr>
        <w:tc>
          <w:tcPr>
            <w:tcW w:w="2220" w:type="dxa"/>
            <w:vAlign w:val="bottom"/>
          </w:tcPr>
          <w:p>
            <w:pPr>
              <w:spacing w:after="0"/>
              <w:rPr>
                <w:sz w:val="24"/>
                <w:szCs w:val="24"/>
                <w:color w:val="auto"/>
              </w:rPr>
            </w:pPr>
          </w:p>
        </w:tc>
        <w:tc>
          <w:tcPr>
            <w:tcW w:w="53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tc>
        <w:tc>
          <w:tcPr>
            <w:tcW w:w="1660" w:type="dxa"/>
            <w:vAlign w:val="bottom"/>
          </w:tcPr>
          <w:p>
            <w:pPr>
              <w:spacing w:after="0"/>
              <w:rPr>
                <w:sz w:val="24"/>
                <w:szCs w:val="24"/>
                <w:color w:val="auto"/>
              </w:rPr>
            </w:pPr>
          </w:p>
        </w:tc>
      </w:tr>
      <w:tr>
        <w:trPr>
          <w:trHeight w:val="314"/>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(203) 810-1000</w:t>
            </w:r>
          </w:p>
        </w:tc>
        <w:tc>
          <w:tcPr>
            <w:tcW w:w="1660" w:type="dxa"/>
            <w:vAlign w:val="bottom"/>
          </w:tcPr>
          <w:p>
            <w:pPr>
              <w:spacing w:after="0"/>
              <w:rPr>
                <w:sz w:val="24"/>
                <w:szCs w:val="24"/>
                <w:color w:val="auto"/>
              </w:rPr>
            </w:pPr>
          </w:p>
        </w:tc>
      </w:tr>
      <w:tr>
        <w:trPr>
          <w:trHeight w:val="314"/>
        </w:trPr>
        <w:tc>
          <w:tcPr>
            <w:tcW w:w="2220" w:type="dxa"/>
            <w:vAlign w:val="bottom"/>
          </w:tcPr>
          <w:p>
            <w:pPr>
              <w:spacing w:after="0"/>
              <w:rPr>
                <w:sz w:val="24"/>
                <w:szCs w:val="24"/>
                <w:color w:val="auto"/>
              </w:rPr>
            </w:pPr>
          </w:p>
        </w:tc>
        <w:tc>
          <w:tcPr>
            <w:tcW w:w="53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 None</w:t>
            </w:r>
          </w:p>
        </w:tc>
        <w:tc>
          <w:tcPr>
            <w:tcW w:w="1660" w:type="dxa"/>
            <w:vAlign w:val="bottom"/>
          </w:tcPr>
          <w:p>
            <w:pPr>
              <w:spacing w:after="0"/>
              <w:rPr>
                <w:sz w:val="24"/>
                <w:szCs w:val="24"/>
                <w:color w:val="auto"/>
              </w:rPr>
            </w:pPr>
          </w:p>
        </w:tc>
      </w:tr>
    </w:tbl>
    <w:p>
      <w:pPr>
        <w:spacing w:after="0" w:line="243" w:lineRule="exact"/>
        <w:rPr>
          <w:sz w:val="24"/>
          <w:szCs w:val="24"/>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6" w:lineRule="exact"/>
        <w:rPr>
          <w:rFonts w:ascii="MS PGothic" w:cs="MS PGothic" w:eastAsia="MS PGothic" w:hAnsi="MS PGothic"/>
          <w:sz w:val="17"/>
          <w:szCs w:val="17"/>
          <w:color w:val="auto"/>
        </w:rPr>
      </w:pPr>
    </w:p>
    <w:p>
      <w:pPr>
        <w:ind w:left="420" w:hanging="39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1"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3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28"/>
        </w:trPr>
        <w:tc>
          <w:tcPr>
            <w:tcW w:w="3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FDS</w:t>
            </w: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 LLC</w:t>
            </w:r>
          </w:p>
        </w:tc>
      </w:tr>
      <w:tr>
        <w:trPr>
          <w:trHeight w:val="261"/>
        </w:trPr>
        <w:tc>
          <w:tcPr>
            <w:tcW w:w="3440" w:type="dxa"/>
            <w:vAlign w:val="bottom"/>
            <w:tcBorders>
              <w:left w:val="single" w:sz="8" w:color="auto"/>
              <w:right w:val="single" w:sz="8" w:color="auto"/>
            </w:tcBorders>
          </w:tcPr>
          <w:p>
            <w:pPr>
              <w:spacing w:after="0"/>
              <w:rPr>
                <w:sz w:val="22"/>
                <w:szCs w:val="22"/>
                <w:color w:val="auto"/>
              </w:rPr>
            </w:pPr>
          </w:p>
        </w:tc>
        <w:tc>
          <w:tcPr>
            <w:tcW w:w="3120" w:type="dxa"/>
            <w:vAlign w:val="bottom"/>
            <w:tcBorders>
              <w:right w:val="single" w:sz="8" w:color="auto"/>
            </w:tcBorders>
          </w:tcPr>
          <w:p>
            <w:pPr>
              <w:spacing w:after="0"/>
              <w:rPr>
                <w:sz w:val="22"/>
                <w:szCs w:val="22"/>
                <w:color w:val="auto"/>
              </w:rPr>
            </w:pPr>
          </w:p>
        </w:tc>
        <w:tc>
          <w:tcPr>
            <w:tcW w:w="4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Stock Market</w:t>
            </w:r>
          </w:p>
        </w:tc>
      </w:tr>
      <w:tr>
        <w:trPr>
          <w:trHeight w:val="26"/>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ind w:right="320"/>
        <w:spacing w:after="0" w:line="24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600710</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5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On July 1, 2026, FactSet Research Systems Inc. ("FactSet" or the "Company") issued a press release announcing its results for the three months ended May 31, 2026. A copy of the press release is furnished as Exhibit 99.1 hereto and incorporated by reference herein. The information furnished pursuant to this Item 2.02 (Results of Operations and Financial Condition), including Exhibit 99.1,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ectPr>
          <w:pgSz w:w="11900" w:h="16838" w:orient="portrait"/>
          <w:cols w:equalWidth="0" w:num="1">
            <w:col w:w="11340"/>
          </w:cols>
          <w:pgMar w:left="320" w:top="1374" w:right="239" w:bottom="1440" w:gutter="0" w:footer="0" w:header="0"/>
        </w:sectPr>
      </w:pP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 Exhibits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u w:val="single" w:color="auto"/>
          <w:color w:val="0000FF"/>
        </w:rPr>
        <w:t>99.1</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4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Press Release of FactSet Research Systems Inc., dated July 1, 2026, announcing its results for the three months ended May 31,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sz w:val="20"/>
          <w:szCs w:val="20"/>
          <w:color w:val="auto"/>
        </w:rPr>
      </w:pPr>
    </w:p>
    <w:p>
      <w:pPr>
        <w:spacing w:after="0" w:line="3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9" w:lineRule="exact"/>
        <w:rPr>
          <w:sz w:val="20"/>
          <w:szCs w:val="20"/>
          <w:color w:val="auto"/>
        </w:rPr>
      </w:pPr>
    </w:p>
    <w:p>
      <w:pPr>
        <w:sectPr>
          <w:pgSz w:w="11900" w:h="16838" w:orient="portrait"/>
          <w:cols w:equalWidth="0" w:num="2">
            <w:col w:w="1800" w:space="720"/>
            <w:col w:w="8820"/>
          </w:cols>
          <w:pgMar w:left="320" w:top="1374" w:right="239" w:bottom="1440" w:gutter="0" w:footer="0" w:header="0"/>
          <w:type w:val="continuous"/>
        </w:sect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FACTSET RESEARCH SYSTEMS INC.</w:t>
      </w:r>
    </w:p>
    <w:p>
      <w:pPr>
        <w:spacing w:after="0" w:line="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July 1, 2026</w:t>
            </w:r>
          </w:p>
        </w:tc>
        <w:tc>
          <w:tcPr>
            <w:tcW w:w="2640" w:type="dxa"/>
            <w:vAlign w:val="bottom"/>
            <w:vMerge w:val="restart"/>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55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/s/ JOSHUA WARREN</w:t>
            </w:r>
          </w:p>
        </w:tc>
        <w:tc>
          <w:tcPr>
            <w:tcW w:w="0" w:type="dxa"/>
            <w:vAlign w:val="bottom"/>
          </w:tcPr>
          <w:p>
            <w:pPr>
              <w:spacing w:after="0"/>
              <w:rPr>
                <w:sz w:val="1"/>
                <w:szCs w:val="1"/>
                <w:color w:val="auto"/>
              </w:rPr>
            </w:pPr>
          </w:p>
        </w:tc>
      </w:tr>
      <w:tr>
        <w:trPr>
          <w:trHeight w:val="97"/>
        </w:trPr>
        <w:tc>
          <w:tcPr>
            <w:tcW w:w="304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5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540" w:type="dxa"/>
            <w:vAlign w:val="bottom"/>
          </w:tcPr>
          <w:p>
            <w:pPr>
              <w:ind w:left="160"/>
              <w:spacing w:after="0" w:line="171" w:lineRule="exact"/>
              <w:rPr>
                <w:sz w:val="20"/>
                <w:szCs w:val="20"/>
                <w:color w:val="auto"/>
              </w:rPr>
            </w:pPr>
            <w:r>
              <w:rPr>
                <w:rFonts w:ascii="Times New Roman" w:cs="Times New Roman" w:eastAsia="Times New Roman" w:hAnsi="Times New Roman"/>
                <w:sz w:val="17"/>
                <w:szCs w:val="17"/>
                <w:color w:val="auto"/>
              </w:rPr>
              <w:t>Joshua Warren</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540" w:type="dxa"/>
            <w:vAlign w:val="bottom"/>
          </w:tcPr>
          <w:p>
            <w:pPr>
              <w:ind w:left="160"/>
              <w:spacing w:after="0" w:line="176" w:lineRule="exact"/>
              <w:rPr>
                <w:sz w:val="20"/>
                <w:szCs w:val="20"/>
                <w:color w:val="auto"/>
              </w:rPr>
            </w:pPr>
            <w:r>
              <w:rPr>
                <w:rFonts w:ascii="Times New Roman" w:cs="Times New Roman" w:eastAsia="Times New Roman" w:hAnsi="Times New Roman"/>
                <w:sz w:val="17"/>
                <w:szCs w:val="17"/>
                <w:color w:val="auto"/>
              </w:rPr>
              <w:t>Executive Vice President, Chief Financial Officer</w:t>
            </w:r>
          </w:p>
        </w:tc>
        <w:tc>
          <w:tcPr>
            <w:tcW w:w="0" w:type="dxa"/>
            <w:vAlign w:val="bottom"/>
          </w:tcPr>
          <w:p>
            <w:pPr>
              <w:spacing w:after="0"/>
              <w:rPr>
                <w:sz w:val="1"/>
                <w:szCs w:val="1"/>
                <w:color w:val="auto"/>
              </w:rPr>
            </w:pPr>
          </w:p>
        </w:tc>
      </w:tr>
      <w:tr>
        <w:trPr>
          <w:trHeight w:val="227"/>
        </w:trPr>
        <w:tc>
          <w:tcPr>
            <w:tcW w:w="30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340"/>
          </w:cols>
          <w:pgMar w:left="320" w:top="1374" w:right="2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2820035</wp:posOffset>
            </wp:positionH>
            <wp:positionV relativeFrom="page">
              <wp:posOffset>611505</wp:posOffset>
            </wp:positionV>
            <wp:extent cx="1908810" cy="365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08810" cy="365125"/>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FactSet Reports Results for Third Quarter 2026</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auto"/>
        </w:rPr>
        <w:t>Continued ASV acceleration and expanding product capabilities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3"/>
          <w:szCs w:val="23"/>
          <w:b w:val="1"/>
          <w:bCs w:val="1"/>
          <w:i w:val="1"/>
          <w:iCs w:val="1"/>
          <w:color w:val="auto"/>
        </w:rPr>
        <w:t>highlight FactSet's strong execution and momentum</w:t>
      </w:r>
    </w:p>
    <w:p>
      <w:pPr>
        <w:spacing w:after="0" w:line="375" w:lineRule="exact"/>
        <w:rPr>
          <w:sz w:val="20"/>
          <w:szCs w:val="20"/>
          <w:color w:val="auto"/>
        </w:rPr>
      </w:pPr>
    </w:p>
    <w:p>
      <w:pPr>
        <w:ind w:right="120"/>
        <w:spacing w:after="0" w:line="330" w:lineRule="auto"/>
        <w:rPr>
          <w:sz w:val="20"/>
          <w:szCs w:val="20"/>
          <w:color w:val="auto"/>
        </w:rPr>
      </w:pPr>
      <w:r>
        <w:rPr>
          <w:rFonts w:ascii="Arial" w:cs="Arial" w:eastAsia="Arial" w:hAnsi="Arial"/>
          <w:sz w:val="17"/>
          <w:szCs w:val="17"/>
          <w:color w:val="auto"/>
        </w:rPr>
        <w:t>NORWALK, Conn., July 1, 2026 - FactSet (NYSE:FDS) (NASDAQ:FDS), a leading global data and AI solutions provider to the financial markets, today announced results for its third quarter fiscal 2026 ended May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136765" cy="2290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22904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Q3 2026 Highlights</w:t>
      </w:r>
    </w:p>
    <w:p>
      <w:pPr>
        <w:spacing w:after="0" w:line="192" w:lineRule="exact"/>
        <w:rPr>
          <w:sz w:val="20"/>
          <w:szCs w:val="20"/>
          <w:color w:val="auto"/>
        </w:rPr>
      </w:pPr>
    </w:p>
    <w:p>
      <w:pPr>
        <w:ind w:left="500" w:right="120" w:hanging="243"/>
        <w:spacing w:after="0" w:line="317" w:lineRule="auto"/>
        <w:tabs>
          <w:tab w:leader="none" w:pos="49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Accelerating growth: </w:t>
      </w:r>
      <w:r>
        <w:rPr>
          <w:rFonts w:ascii="Arial" w:cs="Arial" w:eastAsia="Arial" w:hAnsi="Arial"/>
          <w:sz w:val="17"/>
          <w:szCs w:val="17"/>
          <w:color w:val="auto"/>
        </w:rPr>
        <w:t>GAAP revenues grew 6.4% year over year to $622.9 million, with organic revenues up 7.0%. Organic ASV reached</w:t>
      </w:r>
      <w:r>
        <w:rPr>
          <w:rFonts w:ascii="Arial" w:cs="Arial" w:eastAsia="Arial" w:hAnsi="Arial"/>
          <w:sz w:val="17"/>
          <w:szCs w:val="17"/>
          <w:b w:val="1"/>
          <w:bCs w:val="1"/>
          <w:color w:val="auto"/>
        </w:rPr>
        <w:t xml:space="preserve"> </w:t>
      </w:r>
      <w:r>
        <w:rPr>
          <w:rFonts w:ascii="Arial" w:cs="Arial" w:eastAsia="Arial" w:hAnsi="Arial"/>
          <w:sz w:val="17"/>
          <w:szCs w:val="17"/>
          <w:color w:val="auto"/>
        </w:rPr>
        <w:t>$2,485.6 million, up 7.1% year over year.</w:t>
      </w:r>
    </w:p>
    <w:p>
      <w:pPr>
        <w:spacing w:after="0" w:line="45" w:lineRule="exact"/>
        <w:rPr>
          <w:rFonts w:ascii="Arial" w:cs="Arial" w:eastAsia="Arial" w:hAnsi="Arial"/>
          <w:sz w:val="17"/>
          <w:szCs w:val="17"/>
          <w:b w:val="1"/>
          <w:bCs w:val="1"/>
          <w:color w:val="auto"/>
        </w:rPr>
      </w:pPr>
    </w:p>
    <w:p>
      <w:pPr>
        <w:ind w:left="500" w:right="280" w:hanging="243"/>
        <w:spacing w:after="0" w:line="333" w:lineRule="auto"/>
        <w:tabs>
          <w:tab w:leader="none" w:pos="49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Commercial excellence: </w:t>
      </w:r>
      <w:r>
        <w:rPr>
          <w:rFonts w:ascii="Arial" w:cs="Arial" w:eastAsia="Arial" w:hAnsi="Arial"/>
          <w:sz w:val="17"/>
          <w:szCs w:val="17"/>
          <w:color w:val="auto"/>
        </w:rPr>
        <w:t>Enterprise relationships deepened, with Q3 renewals extending in length by 30% on average and annual ASV</w:t>
      </w:r>
      <w:r>
        <w:rPr>
          <w:rFonts w:ascii="Arial" w:cs="Arial" w:eastAsia="Arial" w:hAnsi="Arial"/>
          <w:sz w:val="17"/>
          <w:szCs w:val="17"/>
          <w:b w:val="1"/>
          <w:bCs w:val="1"/>
          <w:color w:val="auto"/>
        </w:rPr>
        <w:t xml:space="preserve"> </w:t>
      </w:r>
      <w:r>
        <w:rPr>
          <w:rFonts w:ascii="Arial" w:cs="Arial" w:eastAsia="Arial" w:hAnsi="Arial"/>
          <w:sz w:val="17"/>
          <w:szCs w:val="17"/>
          <w:color w:val="auto"/>
        </w:rPr>
        <w:t>retention remaining above 95%.</w:t>
      </w:r>
    </w:p>
    <w:p>
      <w:pPr>
        <w:spacing w:after="0" w:line="19" w:lineRule="exact"/>
        <w:rPr>
          <w:rFonts w:ascii="Arial" w:cs="Arial" w:eastAsia="Arial" w:hAnsi="Arial"/>
          <w:sz w:val="17"/>
          <w:szCs w:val="17"/>
          <w:b w:val="1"/>
          <w:bCs w:val="1"/>
          <w:color w:val="auto"/>
        </w:rPr>
      </w:pPr>
    </w:p>
    <w:p>
      <w:pPr>
        <w:ind w:left="500" w:right="60" w:hanging="243"/>
        <w:spacing w:after="0" w:line="311" w:lineRule="auto"/>
        <w:tabs>
          <w:tab w:leader="none" w:pos="49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AI momentum: </w:t>
      </w:r>
      <w:r>
        <w:rPr>
          <w:rFonts w:ascii="Arial" w:cs="Arial" w:eastAsia="Arial" w:hAnsi="Arial"/>
          <w:sz w:val="17"/>
          <w:szCs w:val="17"/>
          <w:color w:val="auto"/>
        </w:rPr>
        <w:t>More than 90% of FactSet's Top 50 clients now use four or more AI products. New partnerships with Google Cloud, Finster</w:t>
      </w:r>
      <w:r>
        <w:rPr>
          <w:rFonts w:ascii="Arial" w:cs="Arial" w:eastAsia="Arial" w:hAnsi="Arial"/>
          <w:sz w:val="17"/>
          <w:szCs w:val="17"/>
          <w:b w:val="1"/>
          <w:bCs w:val="1"/>
          <w:color w:val="auto"/>
        </w:rPr>
        <w:t xml:space="preserve"> </w:t>
      </w:r>
      <w:r>
        <w:rPr>
          <w:rFonts w:ascii="Arial" w:cs="Arial" w:eastAsia="Arial" w:hAnsi="Arial"/>
          <w:sz w:val="17"/>
          <w:szCs w:val="17"/>
          <w:color w:val="auto"/>
        </w:rPr>
        <w:t>AI, and TIFIN.AI, alongside FactSet's MCP server, are broadening adoption of AI-ready solutions, positioning FactSet as the trusted partner powering next-generation financial workflows.</w:t>
      </w:r>
    </w:p>
    <w:p>
      <w:pPr>
        <w:spacing w:after="0" w:line="50" w:lineRule="exact"/>
        <w:rPr>
          <w:rFonts w:ascii="Arial" w:cs="Arial" w:eastAsia="Arial" w:hAnsi="Arial"/>
          <w:sz w:val="17"/>
          <w:szCs w:val="17"/>
          <w:b w:val="1"/>
          <w:bCs w:val="1"/>
          <w:color w:val="auto"/>
        </w:rPr>
      </w:pPr>
    </w:p>
    <w:p>
      <w:pPr>
        <w:ind w:left="500" w:right="180" w:hanging="243"/>
        <w:spacing w:after="0" w:line="317" w:lineRule="auto"/>
        <w:tabs>
          <w:tab w:leader="none" w:pos="49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Leadership strengthened: </w:t>
      </w:r>
      <w:r>
        <w:rPr>
          <w:rFonts w:ascii="Arial" w:cs="Arial" w:eastAsia="Arial" w:hAnsi="Arial"/>
          <w:sz w:val="17"/>
          <w:szCs w:val="17"/>
          <w:color w:val="auto"/>
        </w:rPr>
        <w:t>Joshua B. Warren appointed as Chief Financial Officer, bringing deep experience across asset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technology, and capital markets.</w:t>
      </w:r>
    </w:p>
    <w:p>
      <w:pPr>
        <w:spacing w:after="0" w:line="45" w:lineRule="exact"/>
        <w:rPr>
          <w:rFonts w:ascii="Arial" w:cs="Arial" w:eastAsia="Arial" w:hAnsi="Arial"/>
          <w:sz w:val="17"/>
          <w:szCs w:val="17"/>
          <w:color w:val="auto"/>
        </w:rPr>
      </w:pPr>
    </w:p>
    <w:p>
      <w:pPr>
        <w:ind w:left="500" w:right="60" w:hanging="243"/>
        <w:spacing w:after="0" w:line="333" w:lineRule="auto"/>
        <w:tabs>
          <w:tab w:leader="none" w:pos="49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Strong capital returns: </w:t>
      </w:r>
      <w:r>
        <w:rPr>
          <w:rFonts w:ascii="Arial" w:cs="Arial" w:eastAsia="Arial" w:hAnsi="Arial"/>
          <w:sz w:val="17"/>
          <w:szCs w:val="17"/>
          <w:color w:val="auto"/>
        </w:rPr>
        <w:t>FactSet returned more than $243 million to shareholders in Q3, while marking its twenty-seventh consecutive year</w:t>
      </w:r>
      <w:r>
        <w:rPr>
          <w:rFonts w:ascii="Arial" w:cs="Arial" w:eastAsia="Arial" w:hAnsi="Arial"/>
          <w:sz w:val="17"/>
          <w:szCs w:val="17"/>
          <w:b w:val="1"/>
          <w:bCs w:val="1"/>
          <w:color w:val="auto"/>
        </w:rPr>
        <w:t xml:space="preserve"> </w:t>
      </w:r>
      <w:r>
        <w:rPr>
          <w:rFonts w:ascii="Arial" w:cs="Arial" w:eastAsia="Arial" w:hAnsi="Arial"/>
          <w:sz w:val="17"/>
          <w:szCs w:val="17"/>
          <w:color w:val="auto"/>
        </w:rPr>
        <w:t>of dividend increases. Fiscal year-to-date, total capital returned reached $629 million.</w:t>
      </w:r>
    </w:p>
    <w:p>
      <w:pPr>
        <w:spacing w:after="0" w:line="200" w:lineRule="exact"/>
        <w:rPr>
          <w:sz w:val="20"/>
          <w:szCs w:val="20"/>
          <w:color w:val="auto"/>
        </w:rPr>
      </w:pPr>
    </w:p>
    <w:p>
      <w:pPr>
        <w:spacing w:after="0" w:line="37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"FactSet's strong third quarter results reflect solid execution against our strategic priorities and continued demand for our differentiated content, analytics, and workflow solutions. Clients are choosing FactSet to power critical workflows and informed decision-making, driving a robust pipeline and accelerating enterprise contracts.</w:t>
      </w:r>
    </w:p>
    <w:p>
      <w:pPr>
        <w:spacing w:after="0" w:line="277" w:lineRule="exact"/>
        <w:rPr>
          <w:sz w:val="20"/>
          <w:szCs w:val="20"/>
          <w:color w:val="auto"/>
        </w:rPr>
      </w:pPr>
    </w:p>
    <w:p>
      <w:pPr>
        <w:jc w:val="both"/>
        <w:spacing w:after="0" w:line="330" w:lineRule="auto"/>
        <w:rPr>
          <w:sz w:val="20"/>
          <w:szCs w:val="20"/>
          <w:color w:val="auto"/>
        </w:rPr>
      </w:pPr>
      <w:r>
        <w:rPr>
          <w:rFonts w:ascii="Arial" w:cs="Arial" w:eastAsia="Arial" w:hAnsi="Arial"/>
          <w:sz w:val="17"/>
          <w:szCs w:val="17"/>
          <w:color w:val="auto"/>
        </w:rPr>
        <w:t>"Across regions and firm types, clients are expanding their relationships with FactSet and actively adopting our AI solutions, reinforcing our confidence in FactSet's sustained growth and long-term value." - Sanoke Viswanathan,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1</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3"/>
          <w:szCs w:val="23"/>
          <w:b w:val="1"/>
          <w:bCs w:val="1"/>
          <w:color w:val="auto"/>
        </w:rPr>
        <w:t>Key Financial Measures*</w:t>
      </w:r>
    </w:p>
    <w:p>
      <w:pPr>
        <w:spacing w:after="0" w:line="152" w:lineRule="exact"/>
        <w:rPr>
          <w:sz w:val="20"/>
          <w:szCs w:val="20"/>
          <w:color w:val="auto"/>
        </w:rPr>
      </w:pPr>
    </w:p>
    <w:tbl>
      <w:tblPr>
        <w:tblLayout w:type="fixed"/>
        <w:tblInd w:w="170" w:type="dxa"/>
        <w:tblCellMar>
          <w:top w:w="0" w:type="dxa"/>
          <w:left w:w="0" w:type="dxa"/>
          <w:bottom w:w="0" w:type="dxa"/>
          <w:right w:w="0" w:type="dxa"/>
        </w:tblCellMar>
      </w:tblPr>
      <w:tr>
        <w:trPr>
          <w:trHeight w:val="236"/>
        </w:trPr>
        <w:tc>
          <w:tcPr>
            <w:tcW w:w="5140" w:type="dxa"/>
            <w:vAlign w:val="bottom"/>
            <w:tcBorders>
              <w:top w:val="single" w:sz="8" w:color="B6B6B6"/>
              <w:left w:val="single" w:sz="8" w:color="B6B6B6"/>
            </w:tcBorders>
          </w:tcPr>
          <w:p>
            <w:pPr>
              <w:ind w:left="40"/>
              <w:spacing w:after="0"/>
              <w:rPr>
                <w:sz w:val="20"/>
                <w:szCs w:val="20"/>
                <w:color w:val="auto"/>
              </w:rPr>
            </w:pPr>
            <w:r>
              <w:rPr>
                <w:rFonts w:ascii="Arial" w:cs="Arial" w:eastAsia="Arial" w:hAnsi="Arial"/>
                <w:sz w:val="16"/>
                <w:szCs w:val="16"/>
                <w:color w:val="auto"/>
              </w:rPr>
              <w:t>(Condensed and Unaudited)</w:t>
            </w:r>
          </w:p>
        </w:tc>
        <w:tc>
          <w:tcPr>
            <w:tcW w:w="3860" w:type="dxa"/>
            <w:vAlign w:val="bottom"/>
            <w:tcBorders>
              <w:top w:val="single" w:sz="8" w:color="B6B6B6"/>
            </w:tcBorders>
            <w:gridSpan w:val="3"/>
          </w:tcPr>
          <w:p>
            <w:pPr>
              <w:ind w:left="1940"/>
              <w:spacing w:after="0"/>
              <w:rPr>
                <w:sz w:val="20"/>
                <w:szCs w:val="20"/>
                <w:color w:val="auto"/>
              </w:rPr>
            </w:pPr>
            <w:r>
              <w:rPr>
                <w:rFonts w:ascii="Arial" w:cs="Arial" w:eastAsia="Arial" w:hAnsi="Arial"/>
                <w:sz w:val="17"/>
                <w:szCs w:val="17"/>
                <w:color w:val="auto"/>
              </w:rPr>
              <w:t>Three Months Ended</w:t>
            </w:r>
          </w:p>
        </w:tc>
        <w:tc>
          <w:tcPr>
            <w:tcW w:w="1220" w:type="dxa"/>
            <w:vAlign w:val="bottom"/>
            <w:tcBorders>
              <w:top w:val="single" w:sz="8" w:color="B6B6B6"/>
            </w:tcBorders>
          </w:tcPr>
          <w:p>
            <w:pPr>
              <w:spacing w:after="0"/>
              <w:rPr>
                <w:sz w:val="20"/>
                <w:szCs w:val="20"/>
                <w:color w:val="auto"/>
              </w:rPr>
            </w:pPr>
          </w:p>
        </w:tc>
        <w:tc>
          <w:tcPr>
            <w:tcW w:w="960" w:type="dxa"/>
            <w:vAlign w:val="bottom"/>
            <w:tcBorders>
              <w:top w:val="single" w:sz="8" w:color="B6B6B6"/>
            </w:tcBorders>
          </w:tcPr>
          <w:p>
            <w:pPr>
              <w:spacing w:after="0"/>
              <w:rPr>
                <w:sz w:val="20"/>
                <w:szCs w:val="20"/>
                <w:color w:val="auto"/>
              </w:rPr>
            </w:pPr>
          </w:p>
        </w:tc>
      </w:tr>
      <w:tr>
        <w:trPr>
          <w:trHeight w:val="206"/>
        </w:trPr>
        <w:tc>
          <w:tcPr>
            <w:tcW w:w="5140" w:type="dxa"/>
            <w:vAlign w:val="bottom"/>
            <w:tcBorders>
              <w:left w:val="single" w:sz="8" w:color="B6B6B6"/>
            </w:tcBorders>
          </w:tcPr>
          <w:p>
            <w:pPr>
              <w:spacing w:after="0"/>
              <w:rPr>
                <w:sz w:val="17"/>
                <w:szCs w:val="17"/>
                <w:color w:val="auto"/>
              </w:rPr>
            </w:pPr>
          </w:p>
        </w:tc>
        <w:tc>
          <w:tcPr>
            <w:tcW w:w="2260" w:type="dxa"/>
            <w:vAlign w:val="bottom"/>
          </w:tcPr>
          <w:p>
            <w:pPr>
              <w:spacing w:after="0"/>
              <w:rPr>
                <w:sz w:val="17"/>
                <w:szCs w:val="17"/>
                <w:color w:val="auto"/>
              </w:rPr>
            </w:pPr>
          </w:p>
        </w:tc>
        <w:tc>
          <w:tcPr>
            <w:tcW w:w="1600" w:type="dxa"/>
            <w:vAlign w:val="bottom"/>
            <w:gridSpan w:val="2"/>
          </w:tcPr>
          <w:p>
            <w:pPr>
              <w:jc w:val="right"/>
              <w:ind w:right="62"/>
              <w:spacing w:after="0"/>
              <w:rPr>
                <w:sz w:val="20"/>
                <w:szCs w:val="20"/>
                <w:color w:val="auto"/>
              </w:rPr>
            </w:pPr>
            <w:r>
              <w:rPr>
                <w:rFonts w:ascii="Arial" w:cs="Arial" w:eastAsia="Arial" w:hAnsi="Arial"/>
                <w:sz w:val="16"/>
                <w:szCs w:val="16"/>
                <w:color w:val="auto"/>
              </w:rPr>
              <w:t>May 31,</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5140" w:type="dxa"/>
            <w:vAlign w:val="bottom"/>
            <w:tcBorders>
              <w:left w:val="single" w:sz="8" w:color="B6B6B6"/>
              <w:bottom w:val="single" w:sz="8" w:color="auto"/>
            </w:tcBorders>
          </w:tcPr>
          <w:p>
            <w:pPr>
              <w:ind w:left="40"/>
              <w:spacing w:after="0"/>
              <w:rPr>
                <w:sz w:val="20"/>
                <w:szCs w:val="20"/>
                <w:color w:val="auto"/>
              </w:rPr>
            </w:pPr>
            <w:r>
              <w:rPr>
                <w:rFonts w:ascii="Arial" w:cs="Arial" w:eastAsia="Arial" w:hAnsi="Arial"/>
                <w:sz w:val="16"/>
                <w:szCs w:val="16"/>
                <w:i w:val="1"/>
                <w:iCs w:val="1"/>
                <w:color w:val="auto"/>
              </w:rPr>
              <w:t>(Results in thousands, except per share data)</w:t>
            </w:r>
          </w:p>
        </w:tc>
        <w:tc>
          <w:tcPr>
            <w:tcW w:w="2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2026</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2025</w:t>
            </w: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Change</w:t>
            </w:r>
          </w:p>
        </w:tc>
      </w:tr>
      <w:tr>
        <w:trPr>
          <w:trHeight w:val="203"/>
        </w:trPr>
        <w:tc>
          <w:tcPr>
            <w:tcW w:w="514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622,918</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585,520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08"/>
        </w:trPr>
        <w:tc>
          <w:tcPr>
            <w:tcW w:w="514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Organic revenues</w:t>
            </w:r>
          </w:p>
        </w:tc>
        <w:tc>
          <w:tcPr>
            <w:tcW w:w="2260" w:type="dxa"/>
            <w:vAlign w:val="bottom"/>
          </w:tcPr>
          <w:p>
            <w:pPr>
              <w:ind w:left="19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622,866</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62"/>
              <w:spacing w:after="0"/>
              <w:rPr>
                <w:sz w:val="20"/>
                <w:szCs w:val="20"/>
                <w:color w:val="auto"/>
              </w:rPr>
            </w:pPr>
            <w:r>
              <w:rPr>
                <w:rFonts w:ascii="Arial" w:cs="Arial" w:eastAsia="Arial" w:hAnsi="Arial"/>
                <w:sz w:val="16"/>
                <w:szCs w:val="16"/>
                <w:color w:val="auto"/>
              </w:rPr>
              <w:t>582,224</w:t>
            </w:r>
          </w:p>
        </w:tc>
        <w:tc>
          <w:tcPr>
            <w:tcW w:w="96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10"/>
        </w:trPr>
        <w:tc>
          <w:tcPr>
            <w:tcW w:w="514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2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166,301</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194,155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8"/>
        </w:trPr>
        <w:tc>
          <w:tcPr>
            <w:tcW w:w="514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Adjusted operating income</w:t>
            </w:r>
          </w:p>
        </w:tc>
        <w:tc>
          <w:tcPr>
            <w:tcW w:w="2260" w:type="dxa"/>
            <w:vAlign w:val="bottom"/>
          </w:tcPr>
          <w:p>
            <w:pPr>
              <w:ind w:left="19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211,752</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62"/>
              <w:spacing w:after="0"/>
              <w:rPr>
                <w:sz w:val="20"/>
                <w:szCs w:val="20"/>
                <w:color w:val="auto"/>
              </w:rPr>
            </w:pPr>
            <w:r>
              <w:rPr>
                <w:rFonts w:ascii="Arial" w:cs="Arial" w:eastAsia="Arial" w:hAnsi="Arial"/>
                <w:sz w:val="16"/>
                <w:szCs w:val="16"/>
                <w:color w:val="auto"/>
              </w:rPr>
              <w:t>215,313</w:t>
            </w: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514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2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33.2 %</w:t>
            </w:r>
          </w:p>
        </w:tc>
        <w:tc>
          <w:tcPr>
            <w:tcW w:w="960" w:type="dxa"/>
            <w:vAlign w:val="bottom"/>
            <w:shd w:val="clear" w:color="auto" w:fill="CCEEFF"/>
          </w:tcPr>
          <w:p>
            <w:pPr>
              <w:spacing w:after="0"/>
              <w:rPr>
                <w:sz w:val="18"/>
                <w:szCs w:val="18"/>
                <w:color w:val="auto"/>
              </w:rPr>
            </w:pPr>
          </w:p>
        </w:tc>
      </w:tr>
      <w:tr>
        <w:trPr>
          <w:trHeight w:val="208"/>
        </w:trPr>
        <w:tc>
          <w:tcPr>
            <w:tcW w:w="514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Adjusted operating margin</w:t>
            </w:r>
          </w:p>
        </w:tc>
        <w:tc>
          <w:tcPr>
            <w:tcW w:w="2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34.0 %</w:t>
            </w:r>
          </w:p>
        </w:tc>
        <w:tc>
          <w:tcPr>
            <w:tcW w:w="420" w:type="dxa"/>
            <w:vAlign w:val="bottom"/>
          </w:tcPr>
          <w:p>
            <w:pPr>
              <w:spacing w:after="0"/>
              <w:rPr>
                <w:sz w:val="18"/>
                <w:szCs w:val="18"/>
                <w:color w:val="auto"/>
              </w:rPr>
            </w:pP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36.8 %</w:t>
            </w:r>
          </w:p>
        </w:tc>
        <w:tc>
          <w:tcPr>
            <w:tcW w:w="960" w:type="dxa"/>
            <w:vAlign w:val="bottom"/>
          </w:tcPr>
          <w:p>
            <w:pPr>
              <w:spacing w:after="0"/>
              <w:rPr>
                <w:sz w:val="18"/>
                <w:szCs w:val="18"/>
                <w:color w:val="auto"/>
              </w:rPr>
            </w:pPr>
          </w:p>
        </w:tc>
      </w:tr>
      <w:tr>
        <w:trPr>
          <w:trHeight w:val="210"/>
        </w:trPr>
        <w:tc>
          <w:tcPr>
            <w:tcW w:w="514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126,718</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148,542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8"/>
        </w:trPr>
        <w:tc>
          <w:tcPr>
            <w:tcW w:w="514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Adjusted net income</w:t>
            </w:r>
          </w:p>
        </w:tc>
        <w:tc>
          <w:tcPr>
            <w:tcW w:w="2260" w:type="dxa"/>
            <w:vAlign w:val="bottom"/>
          </w:tcPr>
          <w:p>
            <w:pPr>
              <w:ind w:left="19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163,769</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62"/>
              <w:spacing w:after="0"/>
              <w:rPr>
                <w:sz w:val="20"/>
                <w:szCs w:val="20"/>
                <w:color w:val="auto"/>
              </w:rPr>
            </w:pPr>
            <w:r>
              <w:rPr>
                <w:rFonts w:ascii="Arial" w:cs="Arial" w:eastAsia="Arial" w:hAnsi="Arial"/>
                <w:sz w:val="16"/>
                <w:szCs w:val="16"/>
                <w:color w:val="auto"/>
              </w:rPr>
              <w:t>163,921</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514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6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220,165</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235,915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8"/>
        </w:trPr>
        <w:tc>
          <w:tcPr>
            <w:tcW w:w="514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Diluted EPS</w:t>
            </w:r>
          </w:p>
        </w:tc>
        <w:tc>
          <w:tcPr>
            <w:tcW w:w="2260" w:type="dxa"/>
            <w:vAlign w:val="bottom"/>
          </w:tcPr>
          <w:p>
            <w:pPr>
              <w:ind w:left="19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3.50</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62"/>
              <w:spacing w:after="0"/>
              <w:rPr>
                <w:sz w:val="20"/>
                <w:szCs w:val="20"/>
                <w:color w:val="auto"/>
              </w:rPr>
            </w:pPr>
            <w:r>
              <w:rPr>
                <w:rFonts w:ascii="Arial" w:cs="Arial" w:eastAsia="Arial" w:hAnsi="Arial"/>
                <w:sz w:val="16"/>
                <w:szCs w:val="16"/>
                <w:color w:val="auto"/>
              </w:rPr>
              <w:t>3.87</w:t>
            </w:r>
          </w:p>
        </w:tc>
        <w:tc>
          <w:tcPr>
            <w:tcW w:w="9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9"/>
        </w:trPr>
        <w:tc>
          <w:tcPr>
            <w:tcW w:w="5140" w:type="dxa"/>
            <w:vAlign w:val="bottom"/>
            <w:tcBorders>
              <w:left w:val="single" w:sz="8" w:color="B6B6B6"/>
              <w:bottom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Adjusted diluted EPS</w:t>
            </w:r>
          </w:p>
        </w:tc>
        <w:tc>
          <w:tcPr>
            <w:tcW w:w="2260" w:type="dxa"/>
            <w:vAlign w:val="bottom"/>
            <w:tcBorders>
              <w:bottom w:val="single" w:sz="8" w:color="B6B6B6"/>
            </w:tcBorders>
            <w:shd w:val="clear" w:color="auto" w:fill="CCEEFF"/>
          </w:tcPr>
          <w:p>
            <w:pPr>
              <w:ind w:left="19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6B6B6"/>
            </w:tcBorders>
            <w:shd w:val="clear" w:color="auto" w:fill="CCEEFF"/>
          </w:tcPr>
          <w:p>
            <w:pPr>
              <w:jc w:val="right"/>
              <w:ind w:right="122"/>
              <w:spacing w:after="0"/>
              <w:rPr>
                <w:sz w:val="20"/>
                <w:szCs w:val="20"/>
                <w:color w:val="auto"/>
              </w:rPr>
            </w:pPr>
            <w:r>
              <w:rPr>
                <w:rFonts w:ascii="Arial" w:cs="Arial" w:eastAsia="Arial" w:hAnsi="Arial"/>
                <w:sz w:val="16"/>
                <w:szCs w:val="16"/>
                <w:color w:val="auto"/>
              </w:rPr>
              <w:t>4.53</w:t>
            </w:r>
          </w:p>
        </w:tc>
        <w:tc>
          <w:tcPr>
            <w:tcW w:w="420" w:type="dxa"/>
            <w:vAlign w:val="bottom"/>
            <w:tcBorders>
              <w:bottom w:val="single" w:sz="8" w:color="B6B6B6"/>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B6B6B6"/>
            </w:tcBorders>
            <w:shd w:val="clear" w:color="auto" w:fill="CCEEFF"/>
          </w:tcPr>
          <w:p>
            <w:pPr>
              <w:jc w:val="right"/>
              <w:ind w:right="262"/>
              <w:spacing w:after="0"/>
              <w:rPr>
                <w:sz w:val="20"/>
                <w:szCs w:val="20"/>
                <w:color w:val="auto"/>
              </w:rPr>
            </w:pPr>
            <w:r>
              <w:rPr>
                <w:rFonts w:ascii="Arial" w:cs="Arial" w:eastAsia="Arial" w:hAnsi="Arial"/>
                <w:sz w:val="16"/>
                <w:szCs w:val="16"/>
                <w:color w:val="auto"/>
              </w:rPr>
              <w:t>4.27</w:t>
            </w:r>
          </w:p>
        </w:tc>
        <w:tc>
          <w:tcPr>
            <w:tcW w:w="960" w:type="dxa"/>
            <w:vAlign w:val="bottom"/>
            <w:tcBorders>
              <w:bottom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bl>
    <w:p>
      <w:pPr>
        <w:spacing w:after="0" w:line="16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 See reconciliation of U.S. GAAP to adjusted key financial measures in the back of this press release.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Third Quarter Fiscal 2026 Highlights</w:t>
      </w:r>
    </w:p>
    <w:p>
      <w:pPr>
        <w:spacing w:after="0" w:line="189" w:lineRule="exact"/>
        <w:rPr>
          <w:sz w:val="20"/>
          <w:szCs w:val="20"/>
          <w:color w:val="auto"/>
        </w:rPr>
      </w:pPr>
    </w:p>
    <w:p>
      <w:pPr>
        <w:ind w:left="480" w:hanging="313"/>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GAAP revenues </w:t>
      </w:r>
      <w:r>
        <w:rPr>
          <w:rFonts w:ascii="Arial" w:cs="Arial" w:eastAsia="Arial" w:hAnsi="Arial"/>
          <w:sz w:val="16"/>
          <w:szCs w:val="16"/>
          <w:color w:val="auto"/>
        </w:rPr>
        <w:t>increased 6.4% or $37.4 million to $622.9 million compared with $585.5 million in the prior year period.</w:t>
      </w:r>
    </w:p>
    <w:p>
      <w:pPr>
        <w:spacing w:after="0" w:line="195" w:lineRule="exact"/>
        <w:rPr>
          <w:rFonts w:ascii="Arial" w:cs="Arial" w:eastAsia="Arial" w:hAnsi="Arial"/>
          <w:sz w:val="16"/>
          <w:szCs w:val="16"/>
          <w:color w:val="auto"/>
        </w:rPr>
      </w:pPr>
    </w:p>
    <w:p>
      <w:pPr>
        <w:ind w:left="480" w:right="100" w:hanging="313"/>
        <w:spacing w:after="0" w:line="303"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Organic revenues </w:t>
      </w:r>
      <w:r>
        <w:rPr>
          <w:rFonts w:ascii="Arial" w:cs="Arial" w:eastAsia="Arial" w:hAnsi="Arial"/>
          <w:sz w:val="16"/>
          <w:szCs w:val="16"/>
          <w:color w:val="auto"/>
        </w:rPr>
        <w:t>grew 7.0% year over year to $622.9 million. Growth in GAAP and organic revenues this quarter was driven by institutional buy-side and</w:t>
      </w:r>
      <w:r>
        <w:rPr>
          <w:rFonts w:ascii="Arial" w:cs="Arial" w:eastAsia="Arial" w:hAnsi="Arial"/>
          <w:sz w:val="16"/>
          <w:szCs w:val="16"/>
          <w:b w:val="1"/>
          <w:bCs w:val="1"/>
          <w:color w:val="auto"/>
        </w:rPr>
        <w:t xml:space="preserve"> </w:t>
      </w:r>
      <w:r>
        <w:rPr>
          <w:rFonts w:ascii="Arial" w:cs="Arial" w:eastAsia="Arial" w:hAnsi="Arial"/>
          <w:sz w:val="16"/>
          <w:szCs w:val="16"/>
          <w:color w:val="auto"/>
        </w:rPr>
        <w:t>wealth management clients.</w:t>
      </w:r>
    </w:p>
    <w:p>
      <w:pPr>
        <w:spacing w:after="0" w:line="123" w:lineRule="exact"/>
        <w:rPr>
          <w:rFonts w:ascii="Arial" w:cs="Arial" w:eastAsia="Arial" w:hAnsi="Arial"/>
          <w:sz w:val="16"/>
          <w:szCs w:val="16"/>
          <w:color w:val="auto"/>
        </w:rPr>
      </w:pPr>
    </w:p>
    <w:p>
      <w:pPr>
        <w:ind w:left="480" w:hanging="313"/>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Annual Subscription Value </w:t>
      </w:r>
      <w:r>
        <w:rPr>
          <w:rFonts w:ascii="Arial" w:cs="Arial" w:eastAsia="Arial" w:hAnsi="Arial"/>
          <w:sz w:val="16"/>
          <w:szCs w:val="16"/>
          <w:color w:val="auto"/>
        </w:rPr>
        <w:t>("ASV") was $2,484.3 million at May 31, 2026.</w:t>
      </w:r>
    </w:p>
    <w:p>
      <w:pPr>
        <w:spacing w:after="0" w:line="208" w:lineRule="exact"/>
        <w:rPr>
          <w:rFonts w:ascii="Arial" w:cs="Arial" w:eastAsia="Arial" w:hAnsi="Arial"/>
          <w:sz w:val="16"/>
          <w:szCs w:val="16"/>
          <w:color w:val="auto"/>
        </w:rPr>
      </w:pPr>
    </w:p>
    <w:p>
      <w:pPr>
        <w:ind w:left="480" w:right="100" w:hanging="313"/>
        <w:spacing w:after="0" w:line="286"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Organic ASV </w:t>
      </w:r>
      <w:r>
        <w:rPr>
          <w:rFonts w:ascii="Arial" w:cs="Arial" w:eastAsia="Arial" w:hAnsi="Arial"/>
          <w:sz w:val="16"/>
          <w:szCs w:val="16"/>
          <w:color w:val="auto"/>
        </w:rPr>
        <w:t>was $2,485.6 million at May 31, 2026, up 7.1% or $165.0 million year over year. Over the last three months, organic ASV increased $35.4</w:t>
      </w:r>
      <w:r>
        <w:rPr>
          <w:rFonts w:ascii="Arial" w:cs="Arial" w:eastAsia="Arial" w:hAnsi="Arial"/>
          <w:sz w:val="16"/>
          <w:szCs w:val="16"/>
          <w:b w:val="1"/>
          <w:bCs w:val="1"/>
          <w:color w:val="auto"/>
        </w:rPr>
        <w:t xml:space="preserve"> </w:t>
      </w:r>
      <w:r>
        <w:rPr>
          <w:rFonts w:ascii="Arial" w:cs="Arial" w:eastAsia="Arial" w:hAnsi="Arial"/>
          <w:sz w:val="16"/>
          <w:szCs w:val="16"/>
          <w:color w:val="auto"/>
        </w:rPr>
        <w:t>million.</w:t>
      </w:r>
    </w:p>
    <w:p>
      <w:pPr>
        <w:spacing w:after="0" w:line="149" w:lineRule="exact"/>
        <w:rPr>
          <w:rFonts w:ascii="Arial" w:cs="Arial" w:eastAsia="Arial" w:hAnsi="Arial"/>
          <w:sz w:val="16"/>
          <w:szCs w:val="16"/>
          <w:color w:val="auto"/>
        </w:rPr>
      </w:pPr>
    </w:p>
    <w:p>
      <w:pPr>
        <w:ind w:left="480" w:right="100" w:hanging="313"/>
        <w:spacing w:after="0" w:line="303"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GAAP operating margin </w:t>
      </w:r>
      <w:r>
        <w:rPr>
          <w:rFonts w:ascii="Arial" w:cs="Arial" w:eastAsia="Arial" w:hAnsi="Arial"/>
          <w:sz w:val="16"/>
          <w:szCs w:val="16"/>
          <w:color w:val="auto"/>
        </w:rPr>
        <w:t>was 26.7% compared with 33.2% in the prior year period, primarily due to higher employee compensation costs, including one-time charges and CEO compensation costs not incurred in the prior year.</w:t>
      </w:r>
    </w:p>
    <w:p>
      <w:pPr>
        <w:spacing w:after="0" w:line="123" w:lineRule="exact"/>
        <w:rPr>
          <w:rFonts w:ascii="Arial" w:cs="Arial" w:eastAsia="Arial" w:hAnsi="Arial"/>
          <w:sz w:val="16"/>
          <w:szCs w:val="16"/>
          <w:color w:val="auto"/>
        </w:rPr>
      </w:pPr>
    </w:p>
    <w:p>
      <w:pPr>
        <w:ind w:left="480" w:right="100" w:hanging="313"/>
        <w:spacing w:after="0" w:line="303"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Adjusted operating margin</w:t>
      </w:r>
      <w:r>
        <w:rPr>
          <w:rFonts w:ascii="Arial" w:cs="Arial" w:eastAsia="Arial" w:hAnsi="Arial"/>
          <w:sz w:val="16"/>
          <w:szCs w:val="16"/>
          <w:color w:val="auto"/>
        </w:rPr>
        <w:t>, which excludes acquisition-related intangible asset amortization and non-recurring items, was 34.0% compared with 36.8%</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prior year period, mainly due to higher compensation and technology-related expenses.</w:t>
      </w:r>
    </w:p>
    <w:p>
      <w:pPr>
        <w:spacing w:after="0" w:line="123" w:lineRule="exact"/>
        <w:rPr>
          <w:rFonts w:ascii="Arial" w:cs="Arial" w:eastAsia="Arial" w:hAnsi="Arial"/>
          <w:sz w:val="16"/>
          <w:szCs w:val="16"/>
          <w:color w:val="auto"/>
        </w:rPr>
      </w:pPr>
    </w:p>
    <w:p>
      <w:pPr>
        <w:ind w:left="480" w:right="100" w:hanging="313"/>
        <w:spacing w:after="0" w:line="303"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GAAP diluted EPS </w:t>
      </w:r>
      <w:r>
        <w:rPr>
          <w:rFonts w:ascii="Arial" w:cs="Arial" w:eastAsia="Arial" w:hAnsi="Arial"/>
          <w:sz w:val="16"/>
          <w:szCs w:val="16"/>
          <w:color w:val="auto"/>
        </w:rPr>
        <w:t>was $3.50 compared with $3.87 for the same period in fiscal 2025, mainly driven by higher operating expenses including non-recurring</w:t>
      </w:r>
      <w:r>
        <w:rPr>
          <w:rFonts w:ascii="Arial" w:cs="Arial" w:eastAsia="Arial" w:hAnsi="Arial"/>
          <w:sz w:val="16"/>
          <w:szCs w:val="16"/>
          <w:b w:val="1"/>
          <w:bCs w:val="1"/>
          <w:color w:val="auto"/>
        </w:rPr>
        <w:t xml:space="preserve"> </w:t>
      </w:r>
      <w:r>
        <w:rPr>
          <w:rFonts w:ascii="Arial" w:cs="Arial" w:eastAsia="Arial" w:hAnsi="Arial"/>
          <w:sz w:val="16"/>
          <w:szCs w:val="16"/>
          <w:color w:val="auto"/>
        </w:rPr>
        <w:t>items, partially offset by growth in revenues and a 6% lower share count.</w:t>
      </w:r>
    </w:p>
    <w:p>
      <w:pPr>
        <w:spacing w:after="0" w:line="123" w:lineRule="exact"/>
        <w:rPr>
          <w:rFonts w:ascii="Arial" w:cs="Arial" w:eastAsia="Arial" w:hAnsi="Arial"/>
          <w:sz w:val="16"/>
          <w:szCs w:val="16"/>
          <w:color w:val="auto"/>
        </w:rPr>
      </w:pPr>
    </w:p>
    <w:p>
      <w:pPr>
        <w:ind w:left="480" w:hanging="313"/>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Adjusted diluted EPS </w:t>
      </w:r>
      <w:r>
        <w:rPr>
          <w:rFonts w:ascii="Arial" w:cs="Arial" w:eastAsia="Arial" w:hAnsi="Arial"/>
          <w:sz w:val="16"/>
          <w:szCs w:val="16"/>
          <w:color w:val="auto"/>
        </w:rPr>
        <w:t>increased 6.1% to $4.53 compared with $4.27 in the prior year period, driven by growth in revenues and a lower share count.</w:t>
      </w:r>
    </w:p>
    <w:p>
      <w:pPr>
        <w:spacing w:after="0" w:line="208" w:lineRule="exact"/>
        <w:rPr>
          <w:rFonts w:ascii="Arial" w:cs="Arial" w:eastAsia="Arial" w:hAnsi="Arial"/>
          <w:sz w:val="16"/>
          <w:szCs w:val="16"/>
          <w:color w:val="auto"/>
        </w:rPr>
      </w:pPr>
    </w:p>
    <w:p>
      <w:pPr>
        <w:ind w:left="480" w:right="100" w:hanging="313"/>
        <w:spacing w:after="0" w:line="303"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Net cash provided by operating activities </w:t>
      </w:r>
      <w:r>
        <w:rPr>
          <w:rFonts w:ascii="Arial" w:cs="Arial" w:eastAsia="Arial" w:hAnsi="Arial"/>
          <w:sz w:val="16"/>
          <w:szCs w:val="16"/>
          <w:color w:val="auto"/>
        </w:rPr>
        <w:t>was $284.5 million for the third quarter of fiscal 2026, an increase of 12.1% compared with the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w:t>
      </w:r>
    </w:p>
    <w:p>
      <w:pPr>
        <w:spacing w:after="0" w:line="123" w:lineRule="exact"/>
        <w:rPr>
          <w:rFonts w:ascii="Arial" w:cs="Arial" w:eastAsia="Arial" w:hAnsi="Arial"/>
          <w:sz w:val="16"/>
          <w:szCs w:val="16"/>
          <w:color w:val="auto"/>
        </w:rPr>
      </w:pPr>
    </w:p>
    <w:p>
      <w:pPr>
        <w:ind w:left="480" w:hanging="313"/>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was $254.0 million for the third quarter of fiscal 2026, an increase of 11.1% compared with the prior year period.</w:t>
      </w:r>
    </w:p>
    <w:p>
      <w:pPr>
        <w:spacing w:after="0" w:line="195" w:lineRule="exact"/>
        <w:rPr>
          <w:rFonts w:ascii="Arial" w:cs="Arial" w:eastAsia="Arial" w:hAnsi="Arial"/>
          <w:sz w:val="16"/>
          <w:szCs w:val="16"/>
          <w:color w:val="auto"/>
        </w:rPr>
      </w:pPr>
    </w:p>
    <w:p>
      <w:pPr>
        <w:ind w:left="480" w:right="100" w:hanging="313"/>
        <w:spacing w:after="0" w:line="303" w:lineRule="auto"/>
        <w:tabs>
          <w:tab w:leader="none" w:pos="469"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GAAP effective tax rate </w:t>
      </w:r>
      <w:r>
        <w:rPr>
          <w:rFonts w:ascii="Arial" w:cs="Arial" w:eastAsia="Arial" w:hAnsi="Arial"/>
          <w:sz w:val="16"/>
          <w:szCs w:val="16"/>
          <w:color w:val="auto"/>
        </w:rPr>
        <w:t>increased to 17.8% compared with 17.5% for the prior year period primarily due to the limitation on the deductibility of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180"/>
        <w:spacing w:after="0"/>
        <w:rPr>
          <w:sz w:val="20"/>
          <w:szCs w:val="20"/>
          <w:color w:val="auto"/>
        </w:rPr>
      </w:pPr>
      <w:r>
        <w:rPr>
          <w:rFonts w:ascii="Arial" w:cs="Arial" w:eastAsia="Arial" w:hAnsi="Arial"/>
          <w:sz w:val="12"/>
          <w:szCs w:val="12"/>
          <w:color w:val="AFAFAF"/>
        </w:rPr>
        <w:t>2</w:t>
      </w:r>
    </w:p>
    <w:p>
      <w:pPr>
        <w:sectPr>
          <w:pgSz w:w="11900" w:h="16838" w:orient="portrait"/>
          <w:cols w:equalWidth="0" w:num="1">
            <w:col w:w="11340"/>
          </w:cols>
          <w:pgMar w:left="320" w:top="958" w:right="2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Operational Highlights – Third Quarter Fiscal 2026</w:t>
      </w:r>
    </w:p>
    <w:p>
      <w:pPr>
        <w:spacing w:after="0" w:line="191" w:lineRule="exact"/>
        <w:rPr>
          <w:sz w:val="20"/>
          <w:szCs w:val="20"/>
          <w:color w:val="auto"/>
        </w:rPr>
      </w:pPr>
    </w:p>
    <w:p>
      <w:pPr>
        <w:ind w:left="480" w:hanging="319"/>
        <w:spacing w:after="0" w:line="301" w:lineRule="auto"/>
        <w:tabs>
          <w:tab w:leader="none" w:pos="469"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FactSet appointed Joshua B. Warren as Chief Financial Officer, effective April 13, 2026. Warren most recently served as CFO of Envestnet and previously held senior strategy roles at BlackRock.</w:t>
      </w:r>
    </w:p>
    <w:p>
      <w:pPr>
        <w:spacing w:after="0" w:line="126" w:lineRule="exact"/>
        <w:rPr>
          <w:rFonts w:ascii="Arial" w:cs="Arial" w:eastAsia="Arial" w:hAnsi="Arial"/>
          <w:sz w:val="16"/>
          <w:szCs w:val="16"/>
          <w:color w:val="auto"/>
        </w:rPr>
      </w:pPr>
    </w:p>
    <w:p>
      <w:pPr>
        <w:ind w:left="480" w:hanging="319"/>
        <w:spacing w:after="0" w:line="301" w:lineRule="auto"/>
        <w:tabs>
          <w:tab w:leader="none" w:pos="469"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FactSet's Commercial Excellence initiatives continued to deepen client relationships. In Q3, enterprise renewals extended in length by 30% on average and annual ASV retention remained above 95%.</w:t>
      </w:r>
    </w:p>
    <w:p>
      <w:pPr>
        <w:spacing w:after="0" w:line="139" w:lineRule="exact"/>
        <w:rPr>
          <w:rFonts w:ascii="Arial" w:cs="Arial" w:eastAsia="Arial" w:hAnsi="Arial"/>
          <w:sz w:val="16"/>
          <w:szCs w:val="16"/>
          <w:color w:val="auto"/>
        </w:rPr>
      </w:pPr>
    </w:p>
    <w:p>
      <w:pPr>
        <w:ind w:left="460" w:hanging="299"/>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Client adoption continued to broaden. As of quarter end, 90%+ of the Top 50 clients use four or more FactSet AI products.</w:t>
      </w:r>
    </w:p>
    <w:p>
      <w:pPr>
        <w:spacing w:after="0" w:line="195" w:lineRule="exact"/>
        <w:rPr>
          <w:rFonts w:ascii="Arial" w:cs="Arial" w:eastAsia="Arial" w:hAnsi="Arial"/>
          <w:sz w:val="16"/>
          <w:szCs w:val="16"/>
          <w:color w:val="auto"/>
        </w:rPr>
      </w:pPr>
    </w:p>
    <w:p>
      <w:pPr>
        <w:ind w:left="480" w:hanging="319"/>
        <w:spacing w:after="0" w:line="301" w:lineRule="auto"/>
        <w:tabs>
          <w:tab w:leader="none" w:pos="469"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FactSet advanced its AI partnership ecosystem through Google Cloud, Finster AI, and TIFIN.AI, extending AI-enabled workflows across investment banking, wealth management, and enterprise financial intelligence.</w:t>
      </w:r>
    </w:p>
    <w:p>
      <w:pPr>
        <w:spacing w:after="0" w:line="126" w:lineRule="exact"/>
        <w:rPr>
          <w:rFonts w:ascii="Arial" w:cs="Arial" w:eastAsia="Arial" w:hAnsi="Arial"/>
          <w:sz w:val="16"/>
          <w:szCs w:val="16"/>
          <w:color w:val="auto"/>
        </w:rPr>
      </w:pPr>
    </w:p>
    <w:p>
      <w:pPr>
        <w:ind w:left="480" w:hanging="319"/>
        <w:spacing w:after="0" w:line="301" w:lineRule="auto"/>
        <w:tabs>
          <w:tab w:leader="none" w:pos="469"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FactSet strengthened its portfolio and private markets workflow capabilities through partnerships with J.P. Morgan and Valutico, giving clients more integrated tools for whole portfolio analytics and private capital valuation.</w:t>
      </w:r>
    </w:p>
    <w:p>
      <w:pPr>
        <w:spacing w:after="0" w:line="126" w:lineRule="exact"/>
        <w:rPr>
          <w:rFonts w:ascii="Arial" w:cs="Arial" w:eastAsia="Arial" w:hAnsi="Arial"/>
          <w:sz w:val="16"/>
          <w:szCs w:val="16"/>
          <w:color w:val="auto"/>
        </w:rPr>
      </w:pPr>
    </w:p>
    <w:p>
      <w:pPr>
        <w:jc w:val="both"/>
        <w:ind w:left="480" w:hanging="319"/>
        <w:spacing w:after="0" w:line="329" w:lineRule="auto"/>
        <w:tabs>
          <w:tab w:leader="none" w:pos="469"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FactSet returned $243.4 million to shareholders in Q3, including $203.1 million in share repurchases and $40.3 million in dividends. Fiscal year-to-date, the Company has deployed $628.7 million to shareholders through dividends and share repurchases. FactSet also increased its quarterly dividend by $0.06 to $1.16 per share, marking the twenty-seventh consecutive year the Company has increased dividends on a stock split-adjusted basis.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Subscription Value (ASV)</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ASV at any given point in time represents the forward-looking revenues for the next 12 months from all subscription services currently supplied to clients. Organic ASV at any point in time equals our ASV excluding ASV from acquisitions and the comparable impact of dispositions and discontinued lines of business effected within the last 12 months and the impact of foreign currency movements.</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ASV was $2,484.3 million at May 31, 2026, compared with $2,335.1 million at May 31, 2025. Organic ASV was $2,485.6 million at May 31, 2026, up $165.0 million from the prior year, for a growth rate of 7.1%. Organic ASV increased $35.4 million over the last three months.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Revenues and ASV</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60" w:type="dxa"/>
            <w:vAlign w:val="bottom"/>
            <w:tcBorders>
              <w:top w:val="single" w:sz="8" w:color="B6B6B6"/>
              <w:left w:val="single" w:sz="8" w:color="B6B6B6"/>
              <w:right w:val="single" w:sz="8" w:color="B6B6B6"/>
            </w:tcBorders>
          </w:tcPr>
          <w:p>
            <w:pPr>
              <w:spacing w:after="0"/>
              <w:rPr>
                <w:sz w:val="14"/>
                <w:szCs w:val="14"/>
                <w:color w:val="auto"/>
              </w:rPr>
            </w:pPr>
          </w:p>
        </w:tc>
        <w:tc>
          <w:tcPr>
            <w:tcW w:w="1400" w:type="dxa"/>
            <w:vAlign w:val="bottom"/>
            <w:tcBorders>
              <w:top w:val="single" w:sz="8" w:color="B6B6B6"/>
              <w:right w:val="single" w:sz="8" w:color="B6B6B6"/>
            </w:tcBorders>
            <w:vMerge w:val="restart"/>
          </w:tcPr>
          <w:p>
            <w:pPr>
              <w:jc w:val="center"/>
              <w:ind w:right="2"/>
              <w:spacing w:after="0"/>
              <w:rPr>
                <w:sz w:val="20"/>
                <w:szCs w:val="20"/>
                <w:color w:val="auto"/>
              </w:rPr>
            </w:pPr>
            <w:r>
              <w:rPr>
                <w:rFonts w:ascii="Arial" w:cs="Arial" w:eastAsia="Arial" w:hAnsi="Arial"/>
                <w:sz w:val="16"/>
                <w:szCs w:val="16"/>
                <w:b w:val="1"/>
                <w:bCs w:val="1"/>
                <w:color w:val="auto"/>
                <w:w w:val="98"/>
              </w:rPr>
              <w:t>May 31, 2026</w:t>
            </w:r>
          </w:p>
        </w:tc>
        <w:tc>
          <w:tcPr>
            <w:tcW w:w="1320" w:type="dxa"/>
            <w:vAlign w:val="bottom"/>
            <w:tcBorders>
              <w:top w:val="single" w:sz="8" w:color="B6B6B6"/>
              <w:right w:val="single" w:sz="8" w:color="B6B6B6"/>
            </w:tcBorders>
            <w:vMerge w:val="restart"/>
          </w:tcPr>
          <w:p>
            <w:pPr>
              <w:jc w:val="center"/>
              <w:ind w:right="2"/>
              <w:spacing w:after="0"/>
              <w:rPr>
                <w:sz w:val="20"/>
                <w:szCs w:val="20"/>
                <w:color w:val="auto"/>
              </w:rPr>
            </w:pPr>
            <w:r>
              <w:rPr>
                <w:rFonts w:ascii="Arial" w:cs="Arial" w:eastAsia="Arial" w:hAnsi="Arial"/>
                <w:sz w:val="16"/>
                <w:szCs w:val="16"/>
                <w:b w:val="1"/>
                <w:bCs w:val="1"/>
                <w:color w:val="auto"/>
                <w:w w:val="98"/>
              </w:rPr>
              <w:t>May 31, 2025</w:t>
            </w:r>
          </w:p>
        </w:tc>
        <w:tc>
          <w:tcPr>
            <w:tcW w:w="1340" w:type="dxa"/>
            <w:vAlign w:val="bottom"/>
            <w:tcBorders>
              <w:top w:val="single" w:sz="8" w:color="B6B6B6"/>
              <w:right w:val="single" w:sz="8" w:color="B6B6B6"/>
            </w:tcBorders>
            <w:vMerge w:val="restart"/>
          </w:tcPr>
          <w:p>
            <w:pPr>
              <w:jc w:val="center"/>
              <w:spacing w:after="0"/>
              <w:rPr>
                <w:sz w:val="20"/>
                <w:szCs w:val="20"/>
                <w:color w:val="auto"/>
              </w:rPr>
            </w:pPr>
            <w:r>
              <w:rPr>
                <w:rFonts w:ascii="Arial" w:cs="Arial" w:eastAsia="Arial" w:hAnsi="Arial"/>
                <w:sz w:val="16"/>
                <w:szCs w:val="16"/>
                <w:b w:val="1"/>
                <w:bCs w:val="1"/>
                <w:color w:val="auto"/>
                <w:w w:val="98"/>
              </w:rPr>
              <w:t>May 31, 2026</w:t>
            </w:r>
          </w:p>
        </w:tc>
        <w:tc>
          <w:tcPr>
            <w:tcW w:w="1340" w:type="dxa"/>
            <w:vAlign w:val="bottom"/>
            <w:tcBorders>
              <w:top w:val="single" w:sz="8" w:color="B6B6B6"/>
              <w:right w:val="single" w:sz="8" w:color="B6B6B6"/>
            </w:tcBorders>
            <w:vMerge w:val="restart"/>
          </w:tcPr>
          <w:p>
            <w:pPr>
              <w:ind w:left="160"/>
              <w:spacing w:after="0"/>
              <w:rPr>
                <w:sz w:val="20"/>
                <w:szCs w:val="20"/>
                <w:color w:val="auto"/>
              </w:rPr>
            </w:pPr>
            <w:r>
              <w:rPr>
                <w:rFonts w:ascii="Arial" w:cs="Arial" w:eastAsia="Arial" w:hAnsi="Arial"/>
                <w:sz w:val="16"/>
                <w:szCs w:val="16"/>
                <w:b w:val="1"/>
                <w:bCs w:val="1"/>
                <w:color w:val="auto"/>
              </w:rPr>
              <w:t>Organic ASV</w:t>
            </w:r>
          </w:p>
        </w:tc>
        <w:tc>
          <w:tcPr>
            <w:tcW w:w="1320" w:type="dxa"/>
            <w:vAlign w:val="bottom"/>
            <w:tcBorders>
              <w:top w:val="single" w:sz="8" w:color="B6B6B6"/>
              <w:right w:val="single" w:sz="8" w:color="B6B6B6"/>
            </w:tcBorders>
            <w:vMerge w:val="restart"/>
          </w:tcPr>
          <w:p>
            <w:pPr>
              <w:jc w:val="center"/>
              <w:spacing w:after="0"/>
              <w:rPr>
                <w:sz w:val="20"/>
                <w:szCs w:val="20"/>
                <w:color w:val="auto"/>
              </w:rPr>
            </w:pPr>
            <w:r>
              <w:rPr>
                <w:rFonts w:ascii="Arial" w:cs="Arial" w:eastAsia="Arial" w:hAnsi="Arial"/>
                <w:sz w:val="16"/>
                <w:szCs w:val="16"/>
                <w:b w:val="1"/>
                <w:bCs w:val="1"/>
                <w:color w:val="auto"/>
                <w:w w:val="96"/>
              </w:rPr>
              <w:t>Q3 FY26</w:t>
            </w:r>
          </w:p>
        </w:tc>
        <w:tc>
          <w:tcPr>
            <w:tcW w:w="1340" w:type="dxa"/>
            <w:vAlign w:val="bottom"/>
            <w:tcBorders>
              <w:top w:val="single" w:sz="8" w:color="B6B6B6"/>
              <w:right w:val="single" w:sz="8" w:color="B6B6B6"/>
            </w:tcBorders>
            <w:vMerge w:val="restart"/>
          </w:tcPr>
          <w:p>
            <w:pPr>
              <w:jc w:val="center"/>
              <w:spacing w:after="0"/>
              <w:rPr>
                <w:sz w:val="20"/>
                <w:szCs w:val="20"/>
                <w:color w:val="auto"/>
              </w:rPr>
            </w:pPr>
            <w:r>
              <w:rPr>
                <w:rFonts w:ascii="Arial" w:cs="Arial" w:eastAsia="Arial" w:hAnsi="Arial"/>
                <w:sz w:val="16"/>
                <w:szCs w:val="16"/>
                <w:b w:val="1"/>
                <w:bCs w:val="1"/>
                <w:color w:val="auto"/>
                <w:w w:val="99"/>
              </w:rPr>
              <w:t>Q3 FY25</w:t>
            </w:r>
          </w:p>
        </w:tc>
        <w:tc>
          <w:tcPr>
            <w:tcW w:w="1340" w:type="dxa"/>
            <w:vAlign w:val="bottom"/>
            <w:tcBorders>
              <w:top w:val="single" w:sz="8" w:color="B6B6B6"/>
              <w:right w:val="single" w:sz="8" w:color="B6B6B6"/>
            </w:tcBorders>
          </w:tcPr>
          <w:p>
            <w:pPr>
              <w:jc w:val="center"/>
              <w:spacing w:after="0" w:line="170" w:lineRule="exact"/>
              <w:rPr>
                <w:sz w:val="20"/>
                <w:szCs w:val="20"/>
                <w:color w:val="auto"/>
              </w:rPr>
            </w:pPr>
            <w:r>
              <w:rPr>
                <w:rFonts w:ascii="Arial" w:cs="Arial" w:eastAsia="Arial" w:hAnsi="Arial"/>
                <w:sz w:val="16"/>
                <w:szCs w:val="16"/>
                <w:b w:val="1"/>
                <w:bCs w:val="1"/>
                <w:color w:val="auto"/>
                <w:w w:val="95"/>
              </w:rPr>
              <w:t>Organic</w:t>
            </w:r>
          </w:p>
        </w:tc>
        <w:tc>
          <w:tcPr>
            <w:tcW w:w="0" w:type="dxa"/>
            <w:vAlign w:val="bottom"/>
          </w:tcPr>
          <w:p>
            <w:pPr>
              <w:spacing w:after="0"/>
              <w:rPr>
                <w:sz w:val="1"/>
                <w:szCs w:val="1"/>
                <w:color w:val="auto"/>
              </w:rPr>
            </w:pPr>
          </w:p>
        </w:tc>
      </w:tr>
      <w:tr>
        <w:trPr>
          <w:trHeight w:val="78"/>
        </w:trPr>
        <w:tc>
          <w:tcPr>
            <w:tcW w:w="1860" w:type="dxa"/>
            <w:vAlign w:val="bottom"/>
            <w:tcBorders>
              <w:left w:val="single" w:sz="8" w:color="B6B6B6"/>
              <w:right w:val="single" w:sz="8" w:color="B6B6B6"/>
            </w:tcBorders>
            <w:vMerge w:val="restart"/>
          </w:tcPr>
          <w:p>
            <w:pPr>
              <w:jc w:val="center"/>
              <w:spacing w:after="0" w:line="157" w:lineRule="exact"/>
              <w:rPr>
                <w:sz w:val="20"/>
                <w:szCs w:val="20"/>
                <w:color w:val="auto"/>
              </w:rPr>
            </w:pPr>
            <w:r>
              <w:rPr>
                <w:rFonts w:ascii="Arial" w:cs="Arial" w:eastAsia="Arial" w:hAnsi="Arial"/>
                <w:sz w:val="16"/>
                <w:szCs w:val="16"/>
                <w:color w:val="auto"/>
                <w:w w:val="98"/>
              </w:rPr>
              <w:t>(Results in millions)</w:t>
            </w:r>
          </w:p>
        </w:tc>
        <w:tc>
          <w:tcPr>
            <w:tcW w:w="1400" w:type="dxa"/>
            <w:vAlign w:val="bottom"/>
            <w:tcBorders>
              <w:right w:val="single" w:sz="8" w:color="B6B6B6"/>
            </w:tcBorders>
            <w:vMerge w:val="continue"/>
          </w:tcPr>
          <w:p>
            <w:pPr>
              <w:spacing w:after="0"/>
              <w:rPr>
                <w:sz w:val="6"/>
                <w:szCs w:val="6"/>
                <w:color w:val="auto"/>
              </w:rPr>
            </w:pPr>
          </w:p>
        </w:tc>
        <w:tc>
          <w:tcPr>
            <w:tcW w:w="1320" w:type="dxa"/>
            <w:vAlign w:val="bottom"/>
            <w:tcBorders>
              <w:right w:val="single" w:sz="8" w:color="B6B6B6"/>
            </w:tcBorders>
            <w:vMerge w:val="continue"/>
          </w:tcPr>
          <w:p>
            <w:pPr>
              <w:spacing w:after="0"/>
              <w:rPr>
                <w:sz w:val="6"/>
                <w:szCs w:val="6"/>
                <w:color w:val="auto"/>
              </w:rPr>
            </w:pPr>
          </w:p>
        </w:tc>
        <w:tc>
          <w:tcPr>
            <w:tcW w:w="1340" w:type="dxa"/>
            <w:vAlign w:val="bottom"/>
            <w:tcBorders>
              <w:right w:val="single" w:sz="8" w:color="B6B6B6"/>
            </w:tcBorders>
            <w:vMerge w:val="continue"/>
          </w:tcPr>
          <w:p>
            <w:pPr>
              <w:spacing w:after="0"/>
              <w:rPr>
                <w:sz w:val="6"/>
                <w:szCs w:val="6"/>
                <w:color w:val="auto"/>
              </w:rPr>
            </w:pPr>
          </w:p>
        </w:tc>
        <w:tc>
          <w:tcPr>
            <w:tcW w:w="1340" w:type="dxa"/>
            <w:vAlign w:val="bottom"/>
            <w:tcBorders>
              <w:right w:val="single" w:sz="8" w:color="B6B6B6"/>
            </w:tcBorders>
            <w:vMerge w:val="continue"/>
          </w:tcPr>
          <w:p>
            <w:pPr>
              <w:spacing w:after="0"/>
              <w:rPr>
                <w:sz w:val="6"/>
                <w:szCs w:val="6"/>
                <w:color w:val="auto"/>
              </w:rPr>
            </w:pPr>
          </w:p>
        </w:tc>
        <w:tc>
          <w:tcPr>
            <w:tcW w:w="1320" w:type="dxa"/>
            <w:vAlign w:val="bottom"/>
            <w:tcBorders>
              <w:right w:val="single" w:sz="8" w:color="B6B6B6"/>
            </w:tcBorders>
            <w:vMerge w:val="continue"/>
          </w:tcPr>
          <w:p>
            <w:pPr>
              <w:spacing w:after="0"/>
              <w:rPr>
                <w:sz w:val="6"/>
                <w:szCs w:val="6"/>
                <w:color w:val="auto"/>
              </w:rPr>
            </w:pPr>
          </w:p>
        </w:tc>
        <w:tc>
          <w:tcPr>
            <w:tcW w:w="1340" w:type="dxa"/>
            <w:vAlign w:val="bottom"/>
            <w:tcBorders>
              <w:right w:val="single" w:sz="8" w:color="B6B6B6"/>
            </w:tcBorders>
            <w:vMerge w:val="continue"/>
          </w:tcPr>
          <w:p>
            <w:pPr>
              <w:spacing w:after="0"/>
              <w:rPr>
                <w:sz w:val="6"/>
                <w:szCs w:val="6"/>
                <w:color w:val="auto"/>
              </w:rPr>
            </w:pPr>
          </w:p>
        </w:tc>
        <w:tc>
          <w:tcPr>
            <w:tcW w:w="1340" w:type="dxa"/>
            <w:vAlign w:val="bottom"/>
            <w:tcBorders>
              <w:right w:val="single" w:sz="8" w:color="B6B6B6"/>
            </w:tcBorders>
            <w:vMerge w:val="restart"/>
          </w:tcPr>
          <w:p>
            <w:pPr>
              <w:jc w:val="center"/>
              <w:spacing w:after="0" w:line="157" w:lineRule="exact"/>
              <w:rPr>
                <w:sz w:val="20"/>
                <w:szCs w:val="20"/>
                <w:color w:val="auto"/>
              </w:rPr>
            </w:pPr>
            <w:r>
              <w:rPr>
                <w:rFonts w:ascii="Arial" w:cs="Arial" w:eastAsia="Arial" w:hAnsi="Arial"/>
                <w:sz w:val="16"/>
                <w:szCs w:val="16"/>
                <w:b w:val="1"/>
                <w:bCs w:val="1"/>
                <w:color w:val="auto"/>
                <w:w w:val="97"/>
              </w:rPr>
              <w:t>Revenues</w:t>
            </w:r>
          </w:p>
        </w:tc>
        <w:tc>
          <w:tcPr>
            <w:tcW w:w="0" w:type="dxa"/>
            <w:vAlign w:val="bottom"/>
          </w:tcPr>
          <w:p>
            <w:pPr>
              <w:spacing w:after="0"/>
              <w:rPr>
                <w:sz w:val="1"/>
                <w:szCs w:val="1"/>
                <w:color w:val="auto"/>
              </w:rPr>
            </w:pPr>
          </w:p>
        </w:tc>
      </w:tr>
      <w:tr>
        <w:trPr>
          <w:trHeight w:val="78"/>
        </w:trPr>
        <w:tc>
          <w:tcPr>
            <w:tcW w:w="1860" w:type="dxa"/>
            <w:vAlign w:val="bottom"/>
            <w:tcBorders>
              <w:left w:val="single" w:sz="8" w:color="B6B6B6"/>
              <w:right w:val="single" w:sz="8" w:color="B6B6B6"/>
            </w:tcBorders>
            <w:vMerge w:val="continue"/>
          </w:tcPr>
          <w:p>
            <w:pPr>
              <w:spacing w:after="0"/>
              <w:rPr>
                <w:sz w:val="6"/>
                <w:szCs w:val="6"/>
                <w:color w:val="auto"/>
              </w:rPr>
            </w:pPr>
          </w:p>
        </w:tc>
        <w:tc>
          <w:tcPr>
            <w:tcW w:w="140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6"/>
                <w:szCs w:val="16"/>
                <w:b w:val="1"/>
                <w:bCs w:val="1"/>
                <w:color w:val="auto"/>
                <w:w w:val="97"/>
              </w:rPr>
              <w:t>ASV</w:t>
            </w:r>
          </w:p>
        </w:tc>
        <w:tc>
          <w:tcPr>
            <w:tcW w:w="132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6"/>
                <w:szCs w:val="16"/>
                <w:b w:val="1"/>
                <w:bCs w:val="1"/>
                <w:color w:val="auto"/>
                <w:w w:val="97"/>
              </w:rPr>
              <w:t>ASV</w:t>
            </w:r>
          </w:p>
        </w:tc>
        <w:tc>
          <w:tcPr>
            <w:tcW w:w="134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6"/>
                <w:szCs w:val="16"/>
                <w:b w:val="1"/>
                <w:bCs w:val="1"/>
                <w:color w:val="auto"/>
                <w:w w:val="98"/>
              </w:rPr>
              <w:t>Organic ASV</w:t>
            </w:r>
          </w:p>
        </w:tc>
        <w:tc>
          <w:tcPr>
            <w:tcW w:w="134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6"/>
                <w:szCs w:val="16"/>
                <w:b w:val="1"/>
                <w:bCs w:val="1"/>
                <w:color w:val="auto"/>
                <w:w w:val="96"/>
              </w:rPr>
              <w:t>Growth</w:t>
            </w:r>
          </w:p>
        </w:tc>
        <w:tc>
          <w:tcPr>
            <w:tcW w:w="1320" w:type="dxa"/>
            <w:vAlign w:val="bottom"/>
            <w:tcBorders>
              <w:right w:val="single" w:sz="8" w:color="B6B6B6"/>
            </w:tcBorders>
            <w:vMerge w:val="restart"/>
          </w:tcPr>
          <w:p>
            <w:pPr>
              <w:ind w:left="280"/>
              <w:spacing w:after="0"/>
              <w:rPr>
                <w:sz w:val="20"/>
                <w:szCs w:val="20"/>
                <w:color w:val="auto"/>
              </w:rPr>
            </w:pPr>
            <w:r>
              <w:rPr>
                <w:rFonts w:ascii="Arial" w:cs="Arial" w:eastAsia="Arial" w:hAnsi="Arial"/>
                <w:sz w:val="16"/>
                <w:szCs w:val="16"/>
                <w:b w:val="1"/>
                <w:bCs w:val="1"/>
                <w:color w:val="auto"/>
              </w:rPr>
              <w:t>Revenues</w:t>
            </w:r>
          </w:p>
        </w:tc>
        <w:tc>
          <w:tcPr>
            <w:tcW w:w="1340" w:type="dxa"/>
            <w:vAlign w:val="bottom"/>
            <w:tcBorders>
              <w:right w:val="single" w:sz="8" w:color="B6B6B6"/>
            </w:tcBorders>
            <w:vMerge w:val="restart"/>
          </w:tcPr>
          <w:p>
            <w:pPr>
              <w:ind w:left="280"/>
              <w:spacing w:after="0"/>
              <w:rPr>
                <w:sz w:val="20"/>
                <w:szCs w:val="20"/>
                <w:color w:val="auto"/>
              </w:rPr>
            </w:pPr>
            <w:r>
              <w:rPr>
                <w:rFonts w:ascii="Arial" w:cs="Arial" w:eastAsia="Arial" w:hAnsi="Arial"/>
                <w:sz w:val="16"/>
                <w:szCs w:val="16"/>
                <w:b w:val="1"/>
                <w:bCs w:val="1"/>
                <w:color w:val="auto"/>
              </w:rPr>
              <w:t>Revenues</w:t>
            </w:r>
          </w:p>
        </w:tc>
        <w:tc>
          <w:tcPr>
            <w:tcW w:w="1340" w:type="dxa"/>
            <w:vAlign w:val="bottom"/>
            <w:tcBorders>
              <w:right w:val="single" w:sz="8" w:color="B6B6B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860" w:type="dxa"/>
            <w:vAlign w:val="bottom"/>
            <w:tcBorders>
              <w:left w:val="single" w:sz="8" w:color="B6B6B6"/>
              <w:right w:val="single" w:sz="8" w:color="B6B6B6"/>
            </w:tcBorders>
          </w:tcPr>
          <w:p>
            <w:pPr>
              <w:spacing w:after="0"/>
              <w:rPr>
                <w:sz w:val="11"/>
                <w:szCs w:val="11"/>
                <w:color w:val="auto"/>
              </w:rPr>
            </w:pPr>
          </w:p>
        </w:tc>
        <w:tc>
          <w:tcPr>
            <w:tcW w:w="1400" w:type="dxa"/>
            <w:vAlign w:val="bottom"/>
            <w:tcBorders>
              <w:right w:val="single" w:sz="8" w:color="B6B6B6"/>
            </w:tcBorders>
            <w:vMerge w:val="continue"/>
          </w:tcPr>
          <w:p>
            <w:pPr>
              <w:spacing w:after="0"/>
              <w:rPr>
                <w:sz w:val="11"/>
                <w:szCs w:val="11"/>
                <w:color w:val="auto"/>
              </w:rPr>
            </w:pPr>
          </w:p>
        </w:tc>
        <w:tc>
          <w:tcPr>
            <w:tcW w:w="1320" w:type="dxa"/>
            <w:vAlign w:val="bottom"/>
            <w:tcBorders>
              <w:right w:val="single" w:sz="8" w:color="B6B6B6"/>
            </w:tcBorders>
            <w:vMerge w:val="continue"/>
          </w:tcPr>
          <w:p>
            <w:pPr>
              <w:spacing w:after="0"/>
              <w:rPr>
                <w:sz w:val="11"/>
                <w:szCs w:val="11"/>
                <w:color w:val="auto"/>
              </w:rPr>
            </w:pPr>
          </w:p>
        </w:tc>
        <w:tc>
          <w:tcPr>
            <w:tcW w:w="1340" w:type="dxa"/>
            <w:vAlign w:val="bottom"/>
            <w:tcBorders>
              <w:right w:val="single" w:sz="8" w:color="B6B6B6"/>
            </w:tcBorders>
            <w:vMerge w:val="continue"/>
          </w:tcPr>
          <w:p>
            <w:pPr>
              <w:spacing w:after="0"/>
              <w:rPr>
                <w:sz w:val="11"/>
                <w:szCs w:val="11"/>
                <w:color w:val="auto"/>
              </w:rPr>
            </w:pPr>
          </w:p>
        </w:tc>
        <w:tc>
          <w:tcPr>
            <w:tcW w:w="1340" w:type="dxa"/>
            <w:vAlign w:val="bottom"/>
            <w:tcBorders>
              <w:right w:val="single" w:sz="8" w:color="B6B6B6"/>
            </w:tcBorders>
            <w:vMerge w:val="continue"/>
          </w:tcPr>
          <w:p>
            <w:pPr>
              <w:spacing w:after="0"/>
              <w:rPr>
                <w:sz w:val="11"/>
                <w:szCs w:val="11"/>
                <w:color w:val="auto"/>
              </w:rPr>
            </w:pPr>
          </w:p>
        </w:tc>
        <w:tc>
          <w:tcPr>
            <w:tcW w:w="1320" w:type="dxa"/>
            <w:vAlign w:val="bottom"/>
            <w:tcBorders>
              <w:right w:val="single" w:sz="8" w:color="B6B6B6"/>
            </w:tcBorders>
            <w:vMerge w:val="continue"/>
          </w:tcPr>
          <w:p>
            <w:pPr>
              <w:spacing w:after="0"/>
              <w:rPr>
                <w:sz w:val="11"/>
                <w:szCs w:val="11"/>
                <w:color w:val="auto"/>
              </w:rPr>
            </w:pPr>
          </w:p>
        </w:tc>
        <w:tc>
          <w:tcPr>
            <w:tcW w:w="1340" w:type="dxa"/>
            <w:vAlign w:val="bottom"/>
            <w:tcBorders>
              <w:right w:val="single" w:sz="8" w:color="B6B6B6"/>
            </w:tcBorders>
            <w:vMerge w:val="continue"/>
          </w:tcPr>
          <w:p>
            <w:pPr>
              <w:spacing w:after="0"/>
              <w:rPr>
                <w:sz w:val="11"/>
                <w:szCs w:val="11"/>
                <w:color w:val="auto"/>
              </w:rPr>
            </w:pPr>
          </w:p>
        </w:tc>
        <w:tc>
          <w:tcPr>
            <w:tcW w:w="134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6"/>
                <w:szCs w:val="16"/>
                <w:b w:val="1"/>
                <w:bCs w:val="1"/>
                <w:color w:val="auto"/>
                <w:w w:val="96"/>
              </w:rPr>
              <w:t>Growth</w:t>
            </w:r>
          </w:p>
        </w:tc>
        <w:tc>
          <w:tcPr>
            <w:tcW w:w="0" w:type="dxa"/>
            <w:vAlign w:val="bottom"/>
          </w:tcPr>
          <w:p>
            <w:pPr>
              <w:spacing w:after="0"/>
              <w:rPr>
                <w:sz w:val="1"/>
                <w:szCs w:val="1"/>
                <w:color w:val="auto"/>
              </w:rPr>
            </w:pPr>
          </w:p>
        </w:tc>
      </w:tr>
      <w:tr>
        <w:trPr>
          <w:trHeight w:val="72"/>
        </w:trPr>
        <w:tc>
          <w:tcPr>
            <w:tcW w:w="1860" w:type="dxa"/>
            <w:vAlign w:val="bottom"/>
            <w:tcBorders>
              <w:left w:val="single" w:sz="8" w:color="B6B6B6"/>
              <w:bottom w:val="single" w:sz="8" w:color="B6B6B6"/>
              <w:right w:val="single" w:sz="8" w:color="B6B6B6"/>
            </w:tcBorders>
          </w:tcPr>
          <w:p>
            <w:pPr>
              <w:spacing w:after="0"/>
              <w:rPr>
                <w:sz w:val="6"/>
                <w:szCs w:val="6"/>
                <w:color w:val="auto"/>
              </w:rPr>
            </w:pPr>
          </w:p>
        </w:tc>
        <w:tc>
          <w:tcPr>
            <w:tcW w:w="1400" w:type="dxa"/>
            <w:vAlign w:val="bottom"/>
            <w:tcBorders>
              <w:bottom w:val="single" w:sz="8" w:color="B6B6B6"/>
              <w:right w:val="single" w:sz="8" w:color="B6B6B6"/>
            </w:tcBorders>
          </w:tcPr>
          <w:p>
            <w:pPr>
              <w:spacing w:after="0"/>
              <w:rPr>
                <w:sz w:val="6"/>
                <w:szCs w:val="6"/>
                <w:color w:val="auto"/>
              </w:rPr>
            </w:pPr>
          </w:p>
        </w:tc>
        <w:tc>
          <w:tcPr>
            <w:tcW w:w="1320" w:type="dxa"/>
            <w:vAlign w:val="bottom"/>
            <w:tcBorders>
              <w:bottom w:val="single" w:sz="8" w:color="B6B6B6"/>
              <w:right w:val="single" w:sz="8" w:color="B6B6B6"/>
            </w:tcBorders>
          </w:tcPr>
          <w:p>
            <w:pPr>
              <w:spacing w:after="0"/>
              <w:rPr>
                <w:sz w:val="6"/>
                <w:szCs w:val="6"/>
                <w:color w:val="auto"/>
              </w:rPr>
            </w:pPr>
          </w:p>
        </w:tc>
        <w:tc>
          <w:tcPr>
            <w:tcW w:w="1340" w:type="dxa"/>
            <w:vAlign w:val="bottom"/>
            <w:tcBorders>
              <w:bottom w:val="single" w:sz="8" w:color="B6B6B6"/>
              <w:right w:val="single" w:sz="8" w:color="B6B6B6"/>
            </w:tcBorders>
          </w:tcPr>
          <w:p>
            <w:pPr>
              <w:spacing w:after="0"/>
              <w:rPr>
                <w:sz w:val="6"/>
                <w:szCs w:val="6"/>
                <w:color w:val="auto"/>
              </w:rPr>
            </w:pPr>
          </w:p>
        </w:tc>
        <w:tc>
          <w:tcPr>
            <w:tcW w:w="1340" w:type="dxa"/>
            <w:vAlign w:val="bottom"/>
            <w:tcBorders>
              <w:bottom w:val="single" w:sz="8" w:color="B6B6B6"/>
              <w:right w:val="single" w:sz="8" w:color="B6B6B6"/>
            </w:tcBorders>
          </w:tcPr>
          <w:p>
            <w:pPr>
              <w:spacing w:after="0"/>
              <w:rPr>
                <w:sz w:val="6"/>
                <w:szCs w:val="6"/>
                <w:color w:val="auto"/>
              </w:rPr>
            </w:pPr>
          </w:p>
        </w:tc>
        <w:tc>
          <w:tcPr>
            <w:tcW w:w="1320" w:type="dxa"/>
            <w:vAlign w:val="bottom"/>
            <w:tcBorders>
              <w:bottom w:val="single" w:sz="8" w:color="B6B6B6"/>
              <w:right w:val="single" w:sz="8" w:color="B6B6B6"/>
            </w:tcBorders>
          </w:tcPr>
          <w:p>
            <w:pPr>
              <w:spacing w:after="0"/>
              <w:rPr>
                <w:sz w:val="6"/>
                <w:szCs w:val="6"/>
                <w:color w:val="auto"/>
              </w:rPr>
            </w:pPr>
          </w:p>
        </w:tc>
        <w:tc>
          <w:tcPr>
            <w:tcW w:w="1340" w:type="dxa"/>
            <w:vAlign w:val="bottom"/>
            <w:tcBorders>
              <w:bottom w:val="single" w:sz="8" w:color="B6B6B6"/>
              <w:right w:val="single" w:sz="8" w:color="B6B6B6"/>
            </w:tcBorders>
          </w:tcPr>
          <w:p>
            <w:pPr>
              <w:spacing w:after="0"/>
              <w:rPr>
                <w:sz w:val="6"/>
                <w:szCs w:val="6"/>
                <w:color w:val="auto"/>
              </w:rPr>
            </w:pPr>
          </w:p>
        </w:tc>
        <w:tc>
          <w:tcPr>
            <w:tcW w:w="1340" w:type="dxa"/>
            <w:vAlign w:val="bottom"/>
            <w:tcBorders>
              <w:bottom w:val="single" w:sz="8" w:color="B6B6B6"/>
              <w:right w:val="single" w:sz="8" w:color="B6B6B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B6B6B6"/>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8"/>
              </w:rPr>
              <w:t>Americas</w:t>
            </w:r>
          </w:p>
        </w:tc>
        <w:tc>
          <w:tcPr>
            <w:tcW w:w="1400" w:type="dxa"/>
            <w:vAlign w:val="bottom"/>
            <w:tcBorders>
              <w:bottom w:val="single" w:sz="8" w:color="B6B6B6"/>
              <w:right w:val="single" w:sz="8" w:color="B6B6B6"/>
            </w:tcBorders>
            <w:shd w:val="clear" w:color="auto" w:fill="CCEEFF"/>
          </w:tcPr>
          <w:p>
            <w:pPr>
              <w:jc w:val="right"/>
              <w:ind w:right="322"/>
              <w:spacing w:after="0"/>
              <w:rPr>
                <w:sz w:val="20"/>
                <w:szCs w:val="20"/>
                <w:color w:val="auto"/>
              </w:rPr>
            </w:pPr>
            <w:r>
              <w:rPr>
                <w:rFonts w:ascii="Arial" w:cs="Arial" w:eastAsia="Arial" w:hAnsi="Arial"/>
                <w:sz w:val="16"/>
                <w:szCs w:val="16"/>
                <w:color w:val="auto"/>
              </w:rPr>
              <w:t>$1,621.0</w:t>
            </w:r>
          </w:p>
        </w:tc>
        <w:tc>
          <w:tcPr>
            <w:tcW w:w="1320" w:type="dxa"/>
            <w:vAlign w:val="bottom"/>
            <w:tcBorders>
              <w:bottom w:val="single" w:sz="8" w:color="B6B6B6"/>
              <w:right w:val="single" w:sz="8" w:color="B6B6B6"/>
            </w:tcBorders>
            <w:shd w:val="clear" w:color="auto" w:fill="CCEEFF"/>
          </w:tcPr>
          <w:p>
            <w:pPr>
              <w:jc w:val="right"/>
              <w:ind w:right="282"/>
              <w:spacing w:after="0"/>
              <w:rPr>
                <w:sz w:val="20"/>
                <w:szCs w:val="20"/>
                <w:color w:val="auto"/>
              </w:rPr>
            </w:pPr>
            <w:r>
              <w:rPr>
                <w:rFonts w:ascii="Arial" w:cs="Arial" w:eastAsia="Arial" w:hAnsi="Arial"/>
                <w:sz w:val="16"/>
                <w:szCs w:val="16"/>
                <w:color w:val="auto"/>
              </w:rPr>
              <w:t>$1,513.1</w:t>
            </w:r>
          </w:p>
        </w:tc>
        <w:tc>
          <w:tcPr>
            <w:tcW w:w="1340" w:type="dxa"/>
            <w:vAlign w:val="bottom"/>
            <w:tcBorders>
              <w:bottom w:val="single" w:sz="8" w:color="B6B6B6"/>
              <w:right w:val="single" w:sz="8" w:color="B6B6B6"/>
            </w:tcBorders>
            <w:shd w:val="clear" w:color="auto" w:fill="CCEEFF"/>
          </w:tcPr>
          <w:p>
            <w:pPr>
              <w:jc w:val="right"/>
              <w:ind w:right="302"/>
              <w:spacing w:after="0"/>
              <w:rPr>
                <w:sz w:val="20"/>
                <w:szCs w:val="20"/>
                <w:color w:val="auto"/>
              </w:rPr>
            </w:pPr>
            <w:r>
              <w:rPr>
                <w:rFonts w:ascii="Arial" w:cs="Arial" w:eastAsia="Arial" w:hAnsi="Arial"/>
                <w:sz w:val="16"/>
                <w:szCs w:val="16"/>
                <w:color w:val="auto"/>
              </w:rPr>
              <w:t>$1,621.0</w:t>
            </w:r>
          </w:p>
        </w:tc>
        <w:tc>
          <w:tcPr>
            <w:tcW w:w="1340" w:type="dxa"/>
            <w:vAlign w:val="bottom"/>
            <w:tcBorders>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8"/>
              </w:rPr>
              <w:t>7.2%</w:t>
            </w:r>
          </w:p>
        </w:tc>
        <w:tc>
          <w:tcPr>
            <w:tcW w:w="1320" w:type="dxa"/>
            <w:vAlign w:val="bottom"/>
            <w:tcBorders>
              <w:bottom w:val="single" w:sz="8" w:color="B6B6B6"/>
              <w:right w:val="single" w:sz="8" w:color="B6B6B6"/>
            </w:tcBorders>
            <w:shd w:val="clear" w:color="auto" w:fill="CCEEFF"/>
          </w:tcPr>
          <w:p>
            <w:pPr>
              <w:jc w:val="right"/>
              <w:ind w:right="342"/>
              <w:spacing w:after="0"/>
              <w:rPr>
                <w:sz w:val="20"/>
                <w:szCs w:val="20"/>
                <w:color w:val="auto"/>
              </w:rPr>
            </w:pPr>
            <w:r>
              <w:rPr>
                <w:rFonts w:ascii="Arial" w:cs="Arial" w:eastAsia="Arial" w:hAnsi="Arial"/>
                <w:sz w:val="16"/>
                <w:szCs w:val="16"/>
                <w:color w:val="auto"/>
              </w:rPr>
              <w:t>$407.2</w:t>
            </w:r>
          </w:p>
        </w:tc>
        <w:tc>
          <w:tcPr>
            <w:tcW w:w="1340" w:type="dxa"/>
            <w:vAlign w:val="bottom"/>
            <w:tcBorders>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8"/>
              </w:rPr>
              <w:t>$380.5</w:t>
            </w:r>
          </w:p>
        </w:tc>
        <w:tc>
          <w:tcPr>
            <w:tcW w:w="1340" w:type="dxa"/>
            <w:vAlign w:val="bottom"/>
            <w:tcBorders>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8"/>
              </w:rPr>
              <w:t>7.0%</w:t>
            </w:r>
          </w:p>
        </w:tc>
        <w:tc>
          <w:tcPr>
            <w:tcW w:w="0" w:type="dxa"/>
            <w:vAlign w:val="bottom"/>
          </w:tcPr>
          <w:p>
            <w:pPr>
              <w:spacing w:after="0"/>
              <w:rPr>
                <w:sz w:val="1"/>
                <w:szCs w:val="1"/>
                <w:color w:val="auto"/>
              </w:rPr>
            </w:pPr>
          </w:p>
        </w:tc>
      </w:tr>
      <w:tr>
        <w:trPr>
          <w:trHeight w:val="202"/>
        </w:trPr>
        <w:tc>
          <w:tcPr>
            <w:tcW w:w="1860" w:type="dxa"/>
            <w:vAlign w:val="bottom"/>
            <w:tcBorders>
              <w:left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auto"/>
                <w:w w:val="96"/>
              </w:rPr>
              <w:t>EMEA</w:t>
            </w:r>
          </w:p>
        </w:tc>
        <w:tc>
          <w:tcPr>
            <w:tcW w:w="1400" w:type="dxa"/>
            <w:vAlign w:val="bottom"/>
            <w:tcBorders>
              <w:bottom w:val="single" w:sz="8" w:color="B6B6B6"/>
              <w:right w:val="single" w:sz="8" w:color="B6B6B6"/>
            </w:tcBorders>
          </w:tcPr>
          <w:p>
            <w:pPr>
              <w:jc w:val="right"/>
              <w:ind w:right="382"/>
              <w:spacing w:after="0"/>
              <w:rPr>
                <w:sz w:val="20"/>
                <w:szCs w:val="20"/>
                <w:color w:val="auto"/>
              </w:rPr>
            </w:pPr>
            <w:r>
              <w:rPr>
                <w:rFonts w:ascii="Arial" w:cs="Arial" w:eastAsia="Arial" w:hAnsi="Arial"/>
                <w:sz w:val="16"/>
                <w:szCs w:val="16"/>
                <w:color w:val="auto"/>
              </w:rPr>
              <w:t>$608.1</w:t>
            </w:r>
          </w:p>
        </w:tc>
        <w:tc>
          <w:tcPr>
            <w:tcW w:w="1320" w:type="dxa"/>
            <w:vAlign w:val="bottom"/>
            <w:tcBorders>
              <w:bottom w:val="single" w:sz="8" w:color="B6B6B6"/>
              <w:right w:val="single" w:sz="8" w:color="B6B6B6"/>
            </w:tcBorders>
          </w:tcPr>
          <w:p>
            <w:pPr>
              <w:jc w:val="right"/>
              <w:ind w:right="362"/>
              <w:spacing w:after="0"/>
              <w:rPr>
                <w:sz w:val="20"/>
                <w:szCs w:val="20"/>
                <w:color w:val="auto"/>
              </w:rPr>
            </w:pPr>
            <w:r>
              <w:rPr>
                <w:rFonts w:ascii="Arial" w:cs="Arial" w:eastAsia="Arial" w:hAnsi="Arial"/>
                <w:sz w:val="16"/>
                <w:szCs w:val="16"/>
                <w:color w:val="auto"/>
              </w:rPr>
              <w:t>$581.9</w:t>
            </w:r>
          </w:p>
        </w:tc>
        <w:tc>
          <w:tcPr>
            <w:tcW w:w="13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auto"/>
                <w:w w:val="98"/>
              </w:rPr>
              <w:t>$608.7</w:t>
            </w:r>
          </w:p>
        </w:tc>
        <w:tc>
          <w:tcPr>
            <w:tcW w:w="13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auto"/>
                <w:w w:val="98"/>
              </w:rPr>
              <w:t>5.6%</w:t>
            </w:r>
          </w:p>
        </w:tc>
        <w:tc>
          <w:tcPr>
            <w:tcW w:w="1320" w:type="dxa"/>
            <w:vAlign w:val="bottom"/>
            <w:tcBorders>
              <w:bottom w:val="single" w:sz="8" w:color="B6B6B6"/>
              <w:right w:val="single" w:sz="8" w:color="B6B6B6"/>
            </w:tcBorders>
          </w:tcPr>
          <w:p>
            <w:pPr>
              <w:jc w:val="right"/>
              <w:ind w:right="362"/>
              <w:spacing w:after="0"/>
              <w:rPr>
                <w:sz w:val="20"/>
                <w:szCs w:val="20"/>
                <w:color w:val="auto"/>
              </w:rPr>
            </w:pPr>
            <w:r>
              <w:rPr>
                <w:rFonts w:ascii="Arial" w:cs="Arial" w:eastAsia="Arial" w:hAnsi="Arial"/>
                <w:sz w:val="16"/>
                <w:szCs w:val="16"/>
                <w:color w:val="auto"/>
              </w:rPr>
              <w:t>$152.0</w:t>
            </w:r>
          </w:p>
        </w:tc>
        <w:tc>
          <w:tcPr>
            <w:tcW w:w="13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auto"/>
                <w:w w:val="98"/>
              </w:rPr>
              <w:t>$145.7</w:t>
            </w:r>
          </w:p>
        </w:tc>
        <w:tc>
          <w:tcPr>
            <w:tcW w:w="1340" w:type="dxa"/>
            <w:vAlign w:val="bottom"/>
            <w:tcBorders>
              <w:bottom w:val="single" w:sz="8" w:color="B6B6B6"/>
              <w:right w:val="single" w:sz="8" w:color="B6B6B6"/>
            </w:tcBorders>
          </w:tcPr>
          <w:p>
            <w:pPr>
              <w:jc w:val="right"/>
              <w:ind w:right="442"/>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2"/>
        </w:trPr>
        <w:tc>
          <w:tcPr>
            <w:tcW w:w="1860" w:type="dxa"/>
            <w:vAlign w:val="bottom"/>
            <w:tcBorders>
              <w:left w:val="single" w:sz="8" w:color="B6B6B6"/>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6"/>
              </w:rPr>
              <w:t>APAC</w:t>
            </w:r>
          </w:p>
        </w:tc>
        <w:tc>
          <w:tcPr>
            <w:tcW w:w="1400" w:type="dxa"/>
            <w:vAlign w:val="bottom"/>
            <w:tcBorders>
              <w:bottom w:val="single" w:sz="8" w:color="B6B6B6"/>
              <w:right w:val="single" w:sz="8" w:color="B6B6B6"/>
            </w:tcBorders>
            <w:shd w:val="clear" w:color="auto" w:fill="CCEEFF"/>
          </w:tcPr>
          <w:p>
            <w:pPr>
              <w:jc w:val="right"/>
              <w:ind w:right="402"/>
              <w:spacing w:after="0"/>
              <w:rPr>
                <w:sz w:val="20"/>
                <w:szCs w:val="20"/>
                <w:color w:val="auto"/>
              </w:rPr>
            </w:pPr>
            <w:r>
              <w:rPr>
                <w:rFonts w:ascii="Arial" w:cs="Arial" w:eastAsia="Arial" w:hAnsi="Arial"/>
                <w:sz w:val="16"/>
                <w:szCs w:val="16"/>
                <w:color w:val="auto"/>
              </w:rPr>
              <w:t>$255.2</w:t>
            </w:r>
          </w:p>
        </w:tc>
        <w:tc>
          <w:tcPr>
            <w:tcW w:w="1320" w:type="dxa"/>
            <w:vAlign w:val="bottom"/>
            <w:tcBorders>
              <w:bottom w:val="single" w:sz="8" w:color="B6B6B6"/>
              <w:right w:val="single" w:sz="8" w:color="B6B6B6"/>
            </w:tcBorders>
            <w:shd w:val="clear" w:color="auto" w:fill="CCEEFF"/>
          </w:tcPr>
          <w:p>
            <w:pPr>
              <w:jc w:val="right"/>
              <w:ind w:right="342"/>
              <w:spacing w:after="0"/>
              <w:rPr>
                <w:sz w:val="20"/>
                <w:szCs w:val="20"/>
                <w:color w:val="auto"/>
              </w:rPr>
            </w:pPr>
            <w:r>
              <w:rPr>
                <w:rFonts w:ascii="Arial" w:cs="Arial" w:eastAsia="Arial" w:hAnsi="Arial"/>
                <w:sz w:val="16"/>
                <w:szCs w:val="16"/>
                <w:color w:val="auto"/>
              </w:rPr>
              <w:t>$240.1</w:t>
            </w:r>
          </w:p>
        </w:tc>
        <w:tc>
          <w:tcPr>
            <w:tcW w:w="1340" w:type="dxa"/>
            <w:vAlign w:val="bottom"/>
            <w:tcBorders>
              <w:bottom w:val="single" w:sz="8" w:color="B6B6B6"/>
              <w:right w:val="single" w:sz="8" w:color="B6B6B6"/>
            </w:tcBorders>
            <w:shd w:val="clear" w:color="auto" w:fill="CCEEFF"/>
          </w:tcPr>
          <w:p>
            <w:pPr>
              <w:jc w:val="right"/>
              <w:ind w:right="362"/>
              <w:spacing w:after="0"/>
              <w:rPr>
                <w:sz w:val="20"/>
                <w:szCs w:val="20"/>
                <w:color w:val="auto"/>
              </w:rPr>
            </w:pPr>
            <w:r>
              <w:rPr>
                <w:rFonts w:ascii="Arial" w:cs="Arial" w:eastAsia="Arial" w:hAnsi="Arial"/>
                <w:sz w:val="16"/>
                <w:szCs w:val="16"/>
                <w:color w:val="auto"/>
              </w:rPr>
              <w:t>$255.9</w:t>
            </w:r>
          </w:p>
        </w:tc>
        <w:tc>
          <w:tcPr>
            <w:tcW w:w="1340" w:type="dxa"/>
            <w:vAlign w:val="bottom"/>
            <w:tcBorders>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1320" w:type="dxa"/>
            <w:vAlign w:val="bottom"/>
            <w:tcBorders>
              <w:bottom w:val="single" w:sz="8" w:color="B6B6B6"/>
              <w:right w:val="single" w:sz="8" w:color="B6B6B6"/>
            </w:tcBorders>
            <w:shd w:val="clear" w:color="auto" w:fill="CCEEFF"/>
          </w:tcPr>
          <w:p>
            <w:pPr>
              <w:jc w:val="right"/>
              <w:ind w:right="382"/>
              <w:spacing w:after="0"/>
              <w:rPr>
                <w:sz w:val="20"/>
                <w:szCs w:val="20"/>
                <w:color w:val="auto"/>
              </w:rPr>
            </w:pPr>
            <w:r>
              <w:rPr>
                <w:rFonts w:ascii="Arial" w:cs="Arial" w:eastAsia="Arial" w:hAnsi="Arial"/>
                <w:sz w:val="16"/>
                <w:szCs w:val="16"/>
                <w:color w:val="auto"/>
              </w:rPr>
              <w:t>$63.7</w:t>
            </w:r>
          </w:p>
        </w:tc>
        <w:tc>
          <w:tcPr>
            <w:tcW w:w="1340" w:type="dxa"/>
            <w:vAlign w:val="bottom"/>
            <w:tcBorders>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9"/>
              </w:rPr>
              <w:t>$59.3</w:t>
            </w:r>
          </w:p>
        </w:tc>
        <w:tc>
          <w:tcPr>
            <w:tcW w:w="1340" w:type="dxa"/>
            <w:vAlign w:val="bottom"/>
            <w:tcBorders>
              <w:bottom w:val="single" w:sz="8" w:color="B6B6B6"/>
              <w:right w:val="single" w:sz="8" w:color="B6B6B6"/>
            </w:tcBorders>
            <w:shd w:val="clear" w:color="auto" w:fill="CCEEFF"/>
          </w:tcPr>
          <w:p>
            <w:pPr>
              <w:jc w:val="right"/>
              <w:ind w:right="382"/>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 Repurchase Program</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FactSet repurchased 926,370 shares of its common stock for $203.1 million at an average price of $219.21 during the third quarter of fiscal 2026 under the Company’s share repurchase program. As of May 31, 2026, $494.0 million remained available for share repurchases under this program.</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Business Outlook</w:t>
      </w:r>
    </w:p>
    <w:p>
      <w:pPr>
        <w:spacing w:after="0" w:line="2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FactSet reaffirms its outlook for fiscal 2026 provided on March 31, 2026. The following forward-looking statements reflect FactSet's expectations as of today's date. Given the risk factors, uncertainties, and assumptions discussed below, actual results may differ materially. FactSet does not intend to update its forward-looking statements prior to its next quarterly results announcement.</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3</w:t>
      </w:r>
    </w:p>
    <w:p>
      <w:pPr>
        <w:sectPr>
          <w:pgSz w:w="11900" w:h="16838" w:orient="portrait"/>
          <w:cols w:equalWidth="0" w:num="1">
            <w:col w:w="11240"/>
          </w:cols>
          <w:pgMar w:left="320" w:top="963"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Reaffirmed Fiscal 2026 Expectations: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180" w:type="dxa"/>
            <w:vAlign w:val="bottom"/>
            <w:tcBorders>
              <w:top w:val="single" w:sz="8" w:color="B6B6B6"/>
              <w:left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6"/>
                <w:szCs w:val="16"/>
                <w:b w:val="1"/>
                <w:bCs w:val="1"/>
                <w:color w:val="auto"/>
                <w:w w:val="97"/>
              </w:rPr>
              <w:t>Metric</w:t>
            </w:r>
          </w:p>
        </w:tc>
        <w:tc>
          <w:tcPr>
            <w:tcW w:w="5400" w:type="dxa"/>
            <w:vAlign w:val="bottom"/>
            <w:tcBorders>
              <w:top w:val="single" w:sz="8" w:color="B6B6B6"/>
              <w:bottom w:val="single" w:sz="8" w:color="B6B6B6"/>
              <w:right w:val="single" w:sz="8" w:color="B6B6B6"/>
            </w:tcBorders>
            <w:gridSpan w:val="2"/>
          </w:tcPr>
          <w:p>
            <w:pPr>
              <w:jc w:val="center"/>
              <w:spacing w:after="0"/>
              <w:rPr>
                <w:sz w:val="20"/>
                <w:szCs w:val="20"/>
                <w:color w:val="auto"/>
              </w:rPr>
            </w:pPr>
            <w:r>
              <w:rPr>
                <w:rFonts w:ascii="Arial" w:cs="Arial" w:eastAsia="Arial" w:hAnsi="Arial"/>
                <w:sz w:val="16"/>
                <w:szCs w:val="16"/>
                <w:b w:val="1"/>
                <w:bCs w:val="1"/>
                <w:color w:val="auto"/>
                <w:w w:val="97"/>
              </w:rPr>
              <w:t>Fiscal 2026 Guidance</w:t>
            </w:r>
          </w:p>
        </w:tc>
      </w:tr>
      <w:tr>
        <w:trPr>
          <w:trHeight w:val="201"/>
        </w:trPr>
        <w:tc>
          <w:tcPr>
            <w:tcW w:w="5180" w:type="dxa"/>
            <w:vAlign w:val="bottom"/>
            <w:tcBorders>
              <w:left w:val="single" w:sz="8" w:color="B6B6B6"/>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7"/>
              </w:rPr>
              <w:t>Organic ASV growth</w:t>
            </w:r>
          </w:p>
        </w:tc>
        <w:tc>
          <w:tcPr>
            <w:tcW w:w="5400" w:type="dxa"/>
            <w:vAlign w:val="bottom"/>
            <w:tcBorders>
              <w:bottom w:val="single" w:sz="8" w:color="B6B6B6"/>
              <w:right w:val="single" w:sz="8" w:color="B6B6B6"/>
            </w:tcBorders>
            <w:gridSpan w:val="2"/>
            <w:shd w:val="clear" w:color="auto" w:fill="CCEEFF"/>
          </w:tcPr>
          <w:p>
            <w:pPr>
              <w:jc w:val="center"/>
              <w:spacing w:after="0"/>
              <w:rPr>
                <w:sz w:val="20"/>
                <w:szCs w:val="20"/>
                <w:color w:val="auto"/>
              </w:rPr>
            </w:pPr>
            <w:r>
              <w:rPr>
                <w:rFonts w:ascii="Arial" w:cs="Arial" w:eastAsia="Arial" w:hAnsi="Arial"/>
                <w:sz w:val="16"/>
                <w:szCs w:val="16"/>
                <w:color w:val="auto"/>
                <w:w w:val="98"/>
              </w:rPr>
              <w:t>$130 million - $160 million</w:t>
            </w:r>
          </w:p>
        </w:tc>
      </w:tr>
      <w:tr>
        <w:trPr>
          <w:trHeight w:val="202"/>
        </w:trPr>
        <w:tc>
          <w:tcPr>
            <w:tcW w:w="5180" w:type="dxa"/>
            <w:vAlign w:val="bottom"/>
            <w:tcBorders>
              <w:left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auto"/>
                <w:w w:val="97"/>
              </w:rPr>
              <w:t>GAAP revenues</w:t>
            </w:r>
          </w:p>
        </w:tc>
        <w:tc>
          <w:tcPr>
            <w:tcW w:w="5400" w:type="dxa"/>
            <w:vAlign w:val="bottom"/>
            <w:tcBorders>
              <w:bottom w:val="single" w:sz="8" w:color="B6B6B6"/>
              <w:right w:val="single" w:sz="8" w:color="B6B6B6"/>
            </w:tcBorders>
            <w:gridSpan w:val="2"/>
          </w:tcPr>
          <w:p>
            <w:pPr>
              <w:jc w:val="center"/>
              <w:spacing w:after="0"/>
              <w:rPr>
                <w:sz w:val="20"/>
                <w:szCs w:val="20"/>
                <w:color w:val="auto"/>
              </w:rPr>
            </w:pPr>
            <w:r>
              <w:rPr>
                <w:rFonts w:ascii="Arial" w:cs="Arial" w:eastAsia="Arial" w:hAnsi="Arial"/>
                <w:sz w:val="16"/>
                <w:szCs w:val="16"/>
                <w:color w:val="auto"/>
                <w:w w:val="97"/>
              </w:rPr>
              <w:t>$2,450 million - $2,470 million</w:t>
            </w:r>
          </w:p>
        </w:tc>
      </w:tr>
      <w:tr>
        <w:trPr>
          <w:trHeight w:val="202"/>
        </w:trPr>
        <w:tc>
          <w:tcPr>
            <w:tcW w:w="5180" w:type="dxa"/>
            <w:vAlign w:val="bottom"/>
            <w:tcBorders>
              <w:left w:val="single" w:sz="8" w:color="B6B6B6"/>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8"/>
              </w:rPr>
              <w:t>GAAP operating margin</w:t>
            </w:r>
          </w:p>
        </w:tc>
        <w:tc>
          <w:tcPr>
            <w:tcW w:w="5400" w:type="dxa"/>
            <w:vAlign w:val="bottom"/>
            <w:tcBorders>
              <w:bottom w:val="single" w:sz="8" w:color="B6B6B6"/>
              <w:right w:val="single" w:sz="8" w:color="B6B6B6"/>
            </w:tcBorders>
            <w:gridSpan w:val="2"/>
            <w:shd w:val="clear" w:color="auto" w:fill="CCEEFF"/>
          </w:tcPr>
          <w:p>
            <w:pPr>
              <w:jc w:val="right"/>
              <w:ind w:right="2102"/>
              <w:spacing w:after="0"/>
              <w:rPr>
                <w:sz w:val="20"/>
                <w:szCs w:val="20"/>
                <w:color w:val="auto"/>
              </w:rPr>
            </w:pPr>
            <w:r>
              <w:rPr>
                <w:rFonts w:ascii="Arial" w:cs="Arial" w:eastAsia="Arial" w:hAnsi="Arial"/>
                <w:sz w:val="16"/>
                <w:szCs w:val="16"/>
                <w:color w:val="auto"/>
              </w:rPr>
              <w:t>29.5% - 31.0%</w:t>
            </w:r>
          </w:p>
        </w:tc>
      </w:tr>
      <w:tr>
        <w:trPr>
          <w:trHeight w:val="202"/>
        </w:trPr>
        <w:tc>
          <w:tcPr>
            <w:tcW w:w="5180" w:type="dxa"/>
            <w:vAlign w:val="bottom"/>
            <w:tcBorders>
              <w:left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auto"/>
                <w:w w:val="97"/>
              </w:rPr>
              <w:t>Adjusted operating margin</w:t>
            </w:r>
          </w:p>
        </w:tc>
        <w:tc>
          <w:tcPr>
            <w:tcW w:w="264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34.0%</w:t>
            </w:r>
          </w:p>
        </w:tc>
        <w:tc>
          <w:tcPr>
            <w:tcW w:w="2760" w:type="dxa"/>
            <w:vAlign w:val="bottom"/>
            <w:tcBorders>
              <w:bottom w:val="single" w:sz="8" w:color="B6B6B6"/>
              <w:right w:val="single" w:sz="8" w:color="B6B6B6"/>
            </w:tcBorders>
          </w:tcPr>
          <w:p>
            <w:pPr>
              <w:ind w:left="20"/>
              <w:spacing w:after="0"/>
              <w:rPr>
                <w:sz w:val="20"/>
                <w:szCs w:val="20"/>
                <w:color w:val="auto"/>
              </w:rPr>
            </w:pPr>
            <w:r>
              <w:rPr>
                <w:rFonts w:ascii="Arial" w:cs="Arial" w:eastAsia="Arial" w:hAnsi="Arial"/>
                <w:sz w:val="16"/>
                <w:szCs w:val="16"/>
                <w:color w:val="auto"/>
              </w:rPr>
              <w:t>- 35.5%</w:t>
            </w:r>
          </w:p>
        </w:tc>
      </w:tr>
      <w:tr>
        <w:trPr>
          <w:trHeight w:val="202"/>
        </w:trPr>
        <w:tc>
          <w:tcPr>
            <w:tcW w:w="5180" w:type="dxa"/>
            <w:vAlign w:val="bottom"/>
            <w:tcBorders>
              <w:left w:val="single" w:sz="8" w:color="B6B6B6"/>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7"/>
              </w:rPr>
              <w:t>Annual effective tax rate</w:t>
            </w:r>
          </w:p>
        </w:tc>
        <w:tc>
          <w:tcPr>
            <w:tcW w:w="2640" w:type="dxa"/>
            <w:vAlign w:val="bottom"/>
            <w:tcBorders>
              <w:bottom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760" w:type="dxa"/>
            <w:vAlign w:val="bottom"/>
            <w:tcBorders>
              <w:bottom w:val="single" w:sz="8" w:color="B6B6B6"/>
              <w:right w:val="single" w:sz="8" w:color="B6B6B6"/>
            </w:tcBorders>
            <w:shd w:val="clear" w:color="auto" w:fill="CCEEFF"/>
          </w:tcPr>
          <w:p>
            <w:pPr>
              <w:ind w:left="20"/>
              <w:spacing w:after="0"/>
              <w:rPr>
                <w:sz w:val="20"/>
                <w:szCs w:val="20"/>
                <w:color w:val="auto"/>
              </w:rPr>
            </w:pPr>
            <w:r>
              <w:rPr>
                <w:rFonts w:ascii="Arial" w:cs="Arial" w:eastAsia="Arial" w:hAnsi="Arial"/>
                <w:sz w:val="16"/>
                <w:szCs w:val="16"/>
                <w:color w:val="auto"/>
              </w:rPr>
              <w:t>- 19.0%</w:t>
            </w:r>
          </w:p>
        </w:tc>
      </w:tr>
      <w:tr>
        <w:trPr>
          <w:trHeight w:val="202"/>
        </w:trPr>
        <w:tc>
          <w:tcPr>
            <w:tcW w:w="5180" w:type="dxa"/>
            <w:vAlign w:val="bottom"/>
            <w:tcBorders>
              <w:left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6"/>
                <w:szCs w:val="16"/>
                <w:color w:val="auto"/>
                <w:w w:val="98"/>
              </w:rPr>
              <w:t>GAAP diluted EPS</w:t>
            </w:r>
          </w:p>
        </w:tc>
        <w:tc>
          <w:tcPr>
            <w:tcW w:w="5400" w:type="dxa"/>
            <w:vAlign w:val="bottom"/>
            <w:tcBorders>
              <w:bottom w:val="single" w:sz="8" w:color="B6B6B6"/>
              <w:right w:val="single" w:sz="8" w:color="B6B6B6"/>
            </w:tcBorders>
            <w:gridSpan w:val="2"/>
          </w:tcPr>
          <w:p>
            <w:pPr>
              <w:jc w:val="right"/>
              <w:ind w:right="2062"/>
              <w:spacing w:after="0"/>
              <w:rPr>
                <w:sz w:val="20"/>
                <w:szCs w:val="20"/>
                <w:color w:val="auto"/>
              </w:rPr>
            </w:pPr>
            <w:r>
              <w:rPr>
                <w:rFonts w:ascii="Arial" w:cs="Arial" w:eastAsia="Arial" w:hAnsi="Arial"/>
                <w:sz w:val="16"/>
                <w:szCs w:val="16"/>
                <w:color w:val="auto"/>
              </w:rPr>
              <w:t>$14.85 - $15.35</w:t>
            </w:r>
          </w:p>
        </w:tc>
      </w:tr>
      <w:tr>
        <w:trPr>
          <w:trHeight w:val="202"/>
        </w:trPr>
        <w:tc>
          <w:tcPr>
            <w:tcW w:w="5180" w:type="dxa"/>
            <w:vAlign w:val="bottom"/>
            <w:tcBorders>
              <w:left w:val="single" w:sz="8" w:color="B6B6B6"/>
              <w:bottom w:val="single" w:sz="8" w:color="B6B6B6"/>
              <w:right w:val="single" w:sz="8" w:color="B6B6B6"/>
            </w:tcBorders>
            <w:shd w:val="clear" w:color="auto" w:fill="CCEEFF"/>
          </w:tcPr>
          <w:p>
            <w:pPr>
              <w:jc w:val="center"/>
              <w:spacing w:after="0"/>
              <w:rPr>
                <w:sz w:val="20"/>
                <w:szCs w:val="20"/>
                <w:color w:val="auto"/>
              </w:rPr>
            </w:pPr>
            <w:r>
              <w:rPr>
                <w:rFonts w:ascii="Arial" w:cs="Arial" w:eastAsia="Arial" w:hAnsi="Arial"/>
                <w:sz w:val="16"/>
                <w:szCs w:val="16"/>
                <w:color w:val="auto"/>
                <w:w w:val="97"/>
              </w:rPr>
              <w:t>Adjusted diluted EPS</w:t>
            </w:r>
          </w:p>
        </w:tc>
        <w:tc>
          <w:tcPr>
            <w:tcW w:w="2640" w:type="dxa"/>
            <w:vAlign w:val="bottom"/>
            <w:tcBorders>
              <w:bottom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2760" w:type="dxa"/>
            <w:vAlign w:val="bottom"/>
            <w:tcBorders>
              <w:bottom w:val="single" w:sz="8" w:color="B6B6B6"/>
              <w:right w:val="single" w:sz="8" w:color="B6B6B6"/>
            </w:tcBorders>
            <w:shd w:val="clear" w:color="auto" w:fill="CCEEFF"/>
          </w:tcPr>
          <w:p>
            <w:pPr>
              <w:ind w:left="20"/>
              <w:spacing w:after="0"/>
              <w:rPr>
                <w:sz w:val="20"/>
                <w:szCs w:val="20"/>
                <w:color w:val="auto"/>
              </w:rPr>
            </w:pPr>
            <w:r>
              <w:rPr>
                <w:rFonts w:ascii="Arial" w:cs="Arial" w:eastAsia="Arial" w:hAnsi="Arial"/>
                <w:sz w:val="16"/>
                <w:szCs w:val="16"/>
                <w:color w:val="auto"/>
              </w:rPr>
              <w:t>- $17.75</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Adjusted operating margin and adjusted diluted EPS guidance do not include certain effects of any non-recurring benefits or charges that may arise in fiscal 2026.</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Please see the back of this press release for a reconciliation of GAAP to adjusted metrics.</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Conference Call</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Third Quarter 2026 Conference Call Details</w:t>
      </w:r>
    </w:p>
    <w:p>
      <w:pPr>
        <w:spacing w:after="0" w:line="247"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Wednesday, July 1, 2026</w:t>
      </w:r>
    </w:p>
    <w:p>
      <w:pPr>
        <w:spacing w:after="0" w:line="2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Time:</w:t>
      </w:r>
      <w:r>
        <w:rPr>
          <w:sz w:val="20"/>
          <w:szCs w:val="20"/>
          <w:color w:val="auto"/>
        </w:rPr>
        <w:tab/>
      </w:r>
      <w:r>
        <w:rPr>
          <w:rFonts w:ascii="Arial" w:cs="Arial" w:eastAsia="Arial" w:hAnsi="Arial"/>
          <w:sz w:val="16"/>
          <w:szCs w:val="16"/>
          <w:color w:val="auto"/>
        </w:rPr>
        <w:t>9:00 a.m. Eastern Time</w:t>
      </w:r>
    </w:p>
    <w:p>
      <w:pPr>
        <w:spacing w:after="0" w:line="3"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Participant Registration:</w:t>
      </w:r>
      <w:r>
        <w:rPr>
          <w:sz w:val="20"/>
          <w:szCs w:val="20"/>
          <w:color w:val="auto"/>
        </w:rPr>
        <w:tab/>
      </w:r>
      <w:r>
        <w:rPr>
          <w:rFonts w:ascii="Arial" w:cs="Arial" w:eastAsia="Arial" w:hAnsi="Arial"/>
          <w:sz w:val="15"/>
          <w:szCs w:val="15"/>
          <w:color w:val="auto"/>
        </w:rPr>
        <w:t>FactSet Q3 2026 Earnings Call Registration</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Please register for the conference call using the above link in advance of the call start time. Upon registration, you will receive dial-in information and a unique access PIN. The earnings presentation will be available on FactSet’s Investor Relations website at 8:30 a.m. Eastern Time on July 1, 2026, 30 minutes before the earnings call begins.</w:t>
      </w:r>
    </w:p>
    <w:p>
      <w:pPr>
        <w:spacing w:after="0" w:line="2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replay will be available on the Investor Relations website after 1:00 p.m. Eastern Time on July 1, 2026, and will remain accessible through July 1, 2027. A transcript of the earnings call will be available via FactSet CallStreet.</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This press release contains forward-looking statements based on management's current expectations, estimates, forecasts and projections about future events, trends, contingencies, and circumstances, industries in which FactSet operates and the beliefs and assumptions of management. All statements that address expectations, guidance, outlook or projections about the future, including statements about the Company's strategy, product development, revenues, future financial results, anticipated growth, market position, subscriptions, expected expenditures or investments, trends in FactSet’s business and financial results, are forward-looking statements. Forward-looking statements may be identified by words like "may," "might," "will," "should," "expects," "plans," "anticipates," "believes," "estimates," "intends," "projects," "indicates," "predicts," "potential," or "continue," the negative of those terms, and similar expressions. Forward-looking statements are not guarantees of future performance, outcomes, events, or actions and involve a number of known and unknown risks, uncertainties, and assumptions. Many factors, including those discussed more fully elsewhere in this release and in FactSet's filings with the Securities and Exchange Commission, particularly its latest annual report on Form 10-K, including Item 1A, </w:t>
      </w:r>
      <w:r>
        <w:rPr>
          <w:rFonts w:ascii="Arial" w:cs="Arial" w:eastAsia="Arial" w:hAnsi="Arial"/>
          <w:sz w:val="16"/>
          <w:szCs w:val="16"/>
          <w:i w:val="1"/>
          <w:iCs w:val="1"/>
          <w:color w:val="auto"/>
        </w:rPr>
        <w:t>Risk Factors</w:t>
      </w:r>
      <w:r>
        <w:rPr>
          <w:rFonts w:ascii="Arial" w:cs="Arial" w:eastAsia="Arial" w:hAnsi="Arial"/>
          <w:sz w:val="16"/>
          <w:szCs w:val="16"/>
          <w:color w:val="auto"/>
        </w:rPr>
        <w:t>, and quarterly reports on Form 10-Q, as well as others, could cause results, performance, achievements, or activities to differ materially from those expressed or implied by the forward-looking statements. Accordingly, the Company cautions readers not to place undue reliance on any forward-looking statements, which speak only as of the date they are made. FactSet assumes no duty to and does not undertake to update or revise any forward-looking statement to reflect events or circumstances arising after the date on which it is made, except as required by applicable law. Future results could differ materially from historical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Non-GAAP Financial Measures</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reports its financial results in accordance with U.S. GAAP. The Company also refers to and presents certain additional non-GAAP financial measures. These measures include: organic revenues, adjusted operating margin, adjusted operating income, adjusted net income, EBITDA, adjusted EBITDA, adjusted diluted EPS, and free cash flow. The Company has included</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4</w:t>
      </w:r>
    </w:p>
    <w:p>
      <w:pPr>
        <w:sectPr>
          <w:pgSz w:w="11900" w:h="16838" w:orient="portrait"/>
          <w:cols w:equalWidth="0" w:num="1">
            <w:col w:w="11240"/>
          </w:cols>
          <w:pgMar w:left="320" w:top="1188" w:right="339" w:bottom="1440" w:gutter="0" w:footer="0" w:header="0"/>
        </w:sectPr>
      </w:pPr>
    </w:p>
    <w:bookmarkStart w:id="6" w:name="page7"/>
    <w:bookmarkEnd w:id="6"/>
    <w:p>
      <w:pPr>
        <w:jc w:val="both"/>
        <w:spacing w:after="0" w:line="284" w:lineRule="auto"/>
        <w:rPr>
          <w:sz w:val="20"/>
          <w:szCs w:val="20"/>
          <w:color w:val="auto"/>
        </w:rPr>
      </w:pPr>
      <w:r>
        <w:rPr>
          <w:rFonts w:ascii="Arial" w:cs="Arial" w:eastAsia="Arial" w:hAnsi="Arial"/>
          <w:sz w:val="16"/>
          <w:szCs w:val="16"/>
          <w:color w:val="auto"/>
        </w:rPr>
        <w:t>reconciliations of these non-GAAP financial measures to the most directly comparable financial measures calculated in accordance with GAAP at the back of this release.</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FactSet uses these non-GAAP financial measures both in presenting its results to stockholders and the investment community and in its internal evaluation and management of the business. The Company believes that these non-GAAP financial measures provide useful supplemental information to investors because they permit investors to view the Company’s performance using the same tools that management uses to gauge progress in achieving its goals. Investors may benefit from referring to these non-GAAP financial measures in assessing the Company’s performance and when planning, forecasting and analyzing future periods, and such measures may also facilitate comparisons to historical performance. The Company believes that organic revenues, adjusted operating margin, adjusted operating income, adjusted net income, EBITDA, adjusted EBITDA, and adjusted diluted EPS help to fully reflect the underlying economic performance of FactSet. The Company believes that free cash flow is useful to investors because it is an indication of cash flow that may be available to pay debt obligations, make strategic acquisitions and investments, pay dividends, repurchase stock, and strengthen the balance sheet. The presentation of this non-GAAP financial information should not be considered in isolation from, or as a substitute for, the financial information prepared and presented in accordance with GAAP. We are not able to provide reconciliations of certain forward-looking non-GAAP financial measures to comparable GAAP measures because certain items required for such reconciliations are outside of our control and/or cannot be reasonably predicted without unreasonable effort.</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FactSet</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FactSet (NYSE:FDS | NASDAQ:FDS) supercharges financial intelligence, offering enterprise data and information solutions that power our clients to maximize their potential. Our cutting-edge digital platform seamlessly integrates proprietary financial data, client datasets, third-party sources, and flexible technology to deliver tailored solutions across the buy-side, sell-side, wealth management, private equity, and corporate sectors. With over 47 years of expertise, offices in 19 countries, and extensive multi-asset class coverage, we leverage advanced data connectivity alongside AI and next-generation tools to streamline workflows, drive productivity, and enable smarter, faster decision-making. Serving more than 9,100 global clients and over 247,000 individual users, FactSet is a member of the S&amp;P 500 dedicated to innovation and long-term client success. Learn more at www.factset.com and follow us on X and LinkedIn.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Kevin Toomey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+1.212.209.5259</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Kevin.Toomey@factset.com</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Media Relations: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Alexandra Shevchenko</w:t>
      </w:r>
    </w:p>
    <w:p>
      <w:pPr>
        <w:spacing w:after="0" w:line="238" w:lineRule="auto"/>
        <w:rPr>
          <w:sz w:val="20"/>
          <w:szCs w:val="20"/>
          <w:color w:val="auto"/>
        </w:rPr>
      </w:pPr>
      <w:r>
        <w:rPr>
          <w:rFonts w:ascii="Arial" w:cs="Arial" w:eastAsia="Arial" w:hAnsi="Arial"/>
          <w:sz w:val="16"/>
          <w:szCs w:val="16"/>
          <w:color w:val="auto"/>
        </w:rPr>
        <w:t>+44 075 1813 1115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oleksandra.shevchenko@factset.com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5</w:t>
      </w:r>
    </w:p>
    <w:p>
      <w:pPr>
        <w:sectPr>
          <w:pgSz w:w="11900" w:h="16838" w:orient="portrait"/>
          <w:cols w:equalWidth="0" w:num="1">
            <w:col w:w="11240"/>
          </w:cols>
          <w:pgMar w:left="320" w:top="951" w:right="339" w:bottom="1440" w:gutter="0" w:footer="0" w:header="0"/>
        </w:sectPr>
      </w:pPr>
    </w:p>
    <w:bookmarkStart w:id="7" w:name="page8"/>
    <w:bookmarkEnd w:id="7"/>
    <w:p>
      <w:pPr>
        <w:ind w:left="4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744220</wp:posOffset>
            </wp:positionV>
            <wp:extent cx="7136765" cy="4224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4224020"/>
                    </a:xfrm>
                    <a:prstGeom prst="rect">
                      <a:avLst/>
                    </a:prstGeom>
                    <a:noFill/>
                  </pic:spPr>
                </pic:pic>
              </a:graphicData>
            </a:graphic>
          </wp:anchor>
        </w:drawing>
        <w:t xml:space="preserve">Consolidated Statements of Income </w:t>
      </w:r>
      <w:r>
        <w:rPr>
          <w:rFonts w:ascii="Arial" w:cs="Arial" w:eastAsia="Arial" w:hAnsi="Arial"/>
          <w:sz w:val="21"/>
          <w:szCs w:val="21"/>
          <w:b w:val="1"/>
          <w:bCs w:val="1"/>
          <w:i w:val="1"/>
          <w:iCs w:val="1"/>
          <w:color w:val="auto"/>
        </w:rPr>
        <w:t>(Unaudited)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3"/>
          </w:tcPr>
          <w:p>
            <w:pPr>
              <w:jc w:val="right"/>
              <w:ind w:right="882"/>
              <w:spacing w:after="0"/>
              <w:rPr>
                <w:sz w:val="20"/>
                <w:szCs w:val="20"/>
                <w:color w:val="auto"/>
              </w:rPr>
            </w:pPr>
            <w:r>
              <w:rPr>
                <w:rFonts w:ascii="Arial" w:cs="Arial" w:eastAsia="Arial" w:hAnsi="Arial"/>
                <w:sz w:val="16"/>
                <w:szCs w:val="16"/>
                <w:color w:val="auto"/>
              </w:rPr>
              <w:t>Three Months Ended</w:t>
            </w:r>
          </w:p>
        </w:tc>
        <w:tc>
          <w:tcPr>
            <w:tcW w:w="46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Nine Months Ended</w:t>
            </w:r>
          </w:p>
        </w:tc>
        <w:tc>
          <w:tcPr>
            <w:tcW w:w="1000" w:type="dxa"/>
            <w:vAlign w:val="bottom"/>
          </w:tcPr>
          <w:p>
            <w:pPr>
              <w:spacing w:after="0"/>
              <w:rPr>
                <w:sz w:val="17"/>
                <w:szCs w:val="17"/>
                <w:color w:val="auto"/>
              </w:rPr>
            </w:pPr>
          </w:p>
        </w:tc>
      </w:tr>
      <w:tr>
        <w:trPr>
          <w:trHeight w:val="235"/>
        </w:trPr>
        <w:tc>
          <w:tcPr>
            <w:tcW w:w="4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2"/>
          </w:tcPr>
          <w:p>
            <w:pPr>
              <w:jc w:val="right"/>
              <w:ind w:right="102"/>
              <w:spacing w:after="0"/>
              <w:rPr>
                <w:sz w:val="20"/>
                <w:szCs w:val="20"/>
                <w:color w:val="auto"/>
              </w:rPr>
            </w:pPr>
            <w:r>
              <w:rPr>
                <w:rFonts w:ascii="Arial" w:cs="Arial" w:eastAsia="Arial" w:hAnsi="Arial"/>
                <w:sz w:val="16"/>
                <w:szCs w:val="16"/>
                <w:color w:val="auto"/>
              </w:rPr>
              <w:t>May 31,</w:t>
            </w: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2"/>
          </w:tcPr>
          <w:p>
            <w:pPr>
              <w:jc w:val="right"/>
              <w:ind w:right="362"/>
              <w:spacing w:after="0"/>
              <w:rPr>
                <w:sz w:val="20"/>
                <w:szCs w:val="20"/>
                <w:color w:val="auto"/>
              </w:rPr>
            </w:pPr>
            <w:r>
              <w:rPr>
                <w:rFonts w:ascii="Arial" w:cs="Arial" w:eastAsia="Arial" w:hAnsi="Arial"/>
                <w:sz w:val="16"/>
                <w:szCs w:val="16"/>
                <w:color w:val="auto"/>
              </w:rPr>
              <w:t>May 31,</w:t>
            </w:r>
          </w:p>
        </w:tc>
        <w:tc>
          <w:tcPr>
            <w:tcW w:w="1000" w:type="dxa"/>
            <w:vAlign w:val="bottom"/>
          </w:tcPr>
          <w:p>
            <w:pPr>
              <w:spacing w:after="0"/>
              <w:rPr>
                <w:sz w:val="20"/>
                <w:szCs w:val="20"/>
                <w:color w:val="auto"/>
              </w:rPr>
            </w:pPr>
          </w:p>
        </w:tc>
      </w:tr>
      <w:tr>
        <w:trPr>
          <w:trHeight w:val="223"/>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2026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2025</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2026</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w w:val="95"/>
              </w:rPr>
              <w:t>2025</w:t>
            </w:r>
          </w:p>
        </w:tc>
      </w:tr>
      <w:tr>
        <w:trPr>
          <w:trHeight w:val="20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622,918</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585,520</w:t>
            </w:r>
          </w:p>
        </w:tc>
        <w:tc>
          <w:tcPr>
            <w:tcW w:w="4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1,841,558</w:t>
            </w:r>
          </w:p>
        </w:tc>
        <w:tc>
          <w:tcPr>
            <w:tcW w:w="7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1,724,847</w:t>
            </w:r>
          </w:p>
        </w:tc>
      </w:tr>
      <w:tr>
        <w:trPr>
          <w:trHeight w:val="208"/>
        </w:trPr>
        <w:tc>
          <w:tcPr>
            <w:tcW w:w="4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services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312,190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280,729</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896,848</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809,112</w:t>
            </w:r>
          </w:p>
        </w:tc>
      </w:tr>
      <w:tr>
        <w:trPr>
          <w:trHeight w:val="20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144,427</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110,636</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401,377</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344,753</w:t>
            </w:r>
          </w:p>
        </w:tc>
      </w:tr>
      <w:tr>
        <w:trPr>
          <w:trHeight w:val="20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456,617</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391,365</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1,298,225</w:t>
            </w: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1,153,865</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166,301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194,155</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543,333</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570,982</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8"/>
        </w:trPr>
        <w:tc>
          <w:tcPr>
            <w:tcW w:w="444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642</w:t>
            </w:r>
          </w:p>
        </w:tc>
        <w:tc>
          <w:tcPr>
            <w:tcW w:w="460" w:type="dxa"/>
            <w:vAlign w:val="bottom"/>
          </w:tcPr>
          <w:p>
            <w:pPr>
              <w:spacing w:after="0"/>
              <w:rPr>
                <w:sz w:val="18"/>
                <w:szCs w:val="18"/>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1,509</w:t>
            </w:r>
          </w:p>
        </w:tc>
        <w:tc>
          <w:tcPr>
            <w:tcW w:w="460" w:type="dxa"/>
            <w:vAlign w:val="bottom"/>
          </w:tcPr>
          <w:p>
            <w:pPr>
              <w:spacing w:after="0"/>
              <w:rPr>
                <w:sz w:val="18"/>
                <w:szCs w:val="18"/>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2,622</w:t>
            </w:r>
          </w:p>
        </w:tc>
        <w:tc>
          <w:tcPr>
            <w:tcW w:w="7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4,483</w:t>
            </w:r>
          </w:p>
        </w:tc>
      </w:tr>
      <w:tr>
        <w:trPr>
          <w:trHeight w:val="210"/>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(13,839)</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(15,122)</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(40,286)</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(43,438)</w:t>
            </w:r>
          </w:p>
        </w:tc>
      </w:tr>
      <w:tr>
        <w:trPr>
          <w:trHeight w:val="20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(594)</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(324)</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(12,180)</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(14,207)</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(37,988)</w:t>
            </w: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(38,975)</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154,121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179,948</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505,345</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532,007</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6D6D6D"/>
            </w:tcBorders>
            <w:shd w:val="clear" w:color="auto" w:fill="CCEEFF"/>
          </w:tcPr>
          <w:p>
            <w:pPr>
              <w:spacing w:after="0"/>
              <w:rPr>
                <w:sz w:val="18"/>
                <w:szCs w:val="18"/>
                <w:color w:val="auto"/>
              </w:rPr>
            </w:pPr>
          </w:p>
        </w:tc>
        <w:tc>
          <w:tcPr>
            <w:tcW w:w="122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auto"/>
              </w:rPr>
              <w:t>27,403</w:t>
            </w:r>
          </w:p>
        </w:tc>
        <w:tc>
          <w:tcPr>
            <w:tcW w:w="460" w:type="dxa"/>
            <w:vAlign w:val="bottom"/>
            <w:tcBorders>
              <w:bottom w:val="single" w:sz="8" w:color="6D6D6D"/>
            </w:tcBorders>
            <w:shd w:val="clear" w:color="auto" w:fill="CCEEFF"/>
          </w:tcPr>
          <w:p>
            <w:pPr>
              <w:spacing w:after="0"/>
              <w:rPr>
                <w:sz w:val="18"/>
                <w:szCs w:val="18"/>
                <w:color w:val="auto"/>
              </w:rPr>
            </w:pPr>
          </w:p>
        </w:tc>
        <w:tc>
          <w:tcPr>
            <w:tcW w:w="1240" w:type="dxa"/>
            <w:vAlign w:val="bottom"/>
            <w:tcBorders>
              <w:bottom w:val="single" w:sz="8" w:color="6D6D6D"/>
            </w:tcBorders>
            <w:shd w:val="clear" w:color="auto" w:fill="CCEEFF"/>
          </w:tcPr>
          <w:p>
            <w:pPr>
              <w:jc w:val="right"/>
              <w:ind w:right="82"/>
              <w:spacing w:after="0"/>
              <w:rPr>
                <w:sz w:val="20"/>
                <w:szCs w:val="20"/>
                <w:color w:val="auto"/>
              </w:rPr>
            </w:pPr>
            <w:r>
              <w:rPr>
                <w:rFonts w:ascii="Arial" w:cs="Arial" w:eastAsia="Arial" w:hAnsi="Arial"/>
                <w:sz w:val="16"/>
                <w:szCs w:val="16"/>
                <w:color w:val="auto"/>
              </w:rPr>
              <w:t>31,406</w:t>
            </w:r>
          </w:p>
        </w:tc>
        <w:tc>
          <w:tcPr>
            <w:tcW w:w="460" w:type="dxa"/>
            <w:vAlign w:val="bottom"/>
            <w:tcBorders>
              <w:bottom w:val="single" w:sz="8" w:color="6D6D6D"/>
            </w:tcBorders>
            <w:shd w:val="clear" w:color="auto" w:fill="CCEEFF"/>
          </w:tcPr>
          <w:p>
            <w:pPr>
              <w:spacing w:after="0"/>
              <w:rPr>
                <w:sz w:val="18"/>
                <w:szCs w:val="18"/>
                <w:color w:val="auto"/>
              </w:rPr>
            </w:pPr>
          </w:p>
        </w:tc>
        <w:tc>
          <w:tcPr>
            <w:tcW w:w="1340" w:type="dxa"/>
            <w:vAlign w:val="bottom"/>
            <w:tcBorders>
              <w:bottom w:val="single" w:sz="8" w:color="6D6D6D"/>
            </w:tcBorders>
            <w:shd w:val="clear" w:color="auto" w:fill="CCEEFF"/>
          </w:tcPr>
          <w:p>
            <w:pPr>
              <w:jc w:val="right"/>
              <w:ind w:right="82"/>
              <w:spacing w:after="0"/>
              <w:rPr>
                <w:sz w:val="20"/>
                <w:szCs w:val="20"/>
                <w:color w:val="auto"/>
              </w:rPr>
            </w:pPr>
            <w:r>
              <w:rPr>
                <w:rFonts w:ascii="Arial" w:cs="Arial" w:eastAsia="Arial" w:hAnsi="Arial"/>
                <w:sz w:val="16"/>
                <w:szCs w:val="16"/>
                <w:color w:val="auto"/>
              </w:rPr>
              <w:t>92,991</w:t>
            </w:r>
          </w:p>
        </w:tc>
        <w:tc>
          <w:tcPr>
            <w:tcW w:w="720" w:type="dxa"/>
            <w:vAlign w:val="bottom"/>
            <w:tcBorders>
              <w:bottom w:val="single" w:sz="8" w:color="6D6D6D"/>
            </w:tcBorders>
            <w:shd w:val="clear" w:color="auto" w:fill="CCEEFF"/>
          </w:tcPr>
          <w:p>
            <w:pPr>
              <w:spacing w:after="0"/>
              <w:rPr>
                <w:sz w:val="18"/>
                <w:szCs w:val="18"/>
                <w:color w:val="auto"/>
              </w:rPr>
            </w:pPr>
          </w:p>
        </w:tc>
        <w:tc>
          <w:tcPr>
            <w:tcW w:w="100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auto"/>
              </w:rPr>
              <w:t>88,583</w:t>
            </w:r>
          </w:p>
        </w:tc>
      </w:tr>
      <w:tr>
        <w:trPr>
          <w:trHeight w:val="201"/>
        </w:trPr>
        <w:tc>
          <w:tcPr>
            <w:tcW w:w="44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6D6D6D"/>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126,718</w:t>
            </w:r>
          </w:p>
        </w:tc>
        <w:tc>
          <w:tcPr>
            <w:tcW w:w="460" w:type="dxa"/>
            <w:vAlign w:val="bottom"/>
            <w:tcBorders>
              <w:bottom w:val="single" w:sz="8" w:color="6D6D6D"/>
            </w:tcBorders>
          </w:tcPr>
          <w:p>
            <w:pPr>
              <w:jc w:val="right"/>
              <w:ind w:right="26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6D6D6D"/>
            </w:tcBorders>
          </w:tcPr>
          <w:p>
            <w:pPr>
              <w:jc w:val="right"/>
              <w:ind w:right="82"/>
              <w:spacing w:after="0"/>
              <w:rPr>
                <w:sz w:val="20"/>
                <w:szCs w:val="20"/>
                <w:color w:val="auto"/>
              </w:rPr>
            </w:pPr>
            <w:r>
              <w:rPr>
                <w:rFonts w:ascii="Arial" w:cs="Arial" w:eastAsia="Arial" w:hAnsi="Arial"/>
                <w:sz w:val="16"/>
                <w:szCs w:val="16"/>
                <w:color w:val="auto"/>
              </w:rPr>
              <w:t>148,542</w:t>
            </w:r>
          </w:p>
        </w:tc>
        <w:tc>
          <w:tcPr>
            <w:tcW w:w="460" w:type="dxa"/>
            <w:vAlign w:val="bottom"/>
            <w:tcBorders>
              <w:bottom w:val="single" w:sz="8" w:color="6D6D6D"/>
            </w:tcBorders>
          </w:tcPr>
          <w:p>
            <w:pPr>
              <w:jc w:val="right"/>
              <w:ind w:right="18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6D6D6D"/>
            </w:tcBorders>
          </w:tcPr>
          <w:p>
            <w:pPr>
              <w:jc w:val="right"/>
              <w:ind w:right="82"/>
              <w:spacing w:after="0"/>
              <w:rPr>
                <w:sz w:val="20"/>
                <w:szCs w:val="20"/>
                <w:color w:val="auto"/>
              </w:rPr>
            </w:pPr>
            <w:r>
              <w:rPr>
                <w:rFonts w:ascii="Arial" w:cs="Arial" w:eastAsia="Arial" w:hAnsi="Arial"/>
                <w:sz w:val="16"/>
                <w:szCs w:val="16"/>
                <w:color w:val="auto"/>
              </w:rPr>
              <w:t>412,354</w:t>
            </w:r>
          </w:p>
        </w:tc>
        <w:tc>
          <w:tcPr>
            <w:tcW w:w="720" w:type="dxa"/>
            <w:vAlign w:val="bottom"/>
            <w:tcBorders>
              <w:bottom w:val="single" w:sz="8" w:color="6D6D6D"/>
            </w:tcBorders>
          </w:tcPr>
          <w:p>
            <w:pPr>
              <w:jc w:val="right"/>
              <w:ind w:right="44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auto"/>
              </w:rPr>
              <w:t>443,424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6D6D6D"/>
            </w:tcBorders>
          </w:tcPr>
          <w:p>
            <w:pPr>
              <w:spacing w:after="0" w:line="20" w:lineRule="exact"/>
              <w:rPr>
                <w:sz w:val="1"/>
                <w:szCs w:val="1"/>
                <w:color w:val="auto"/>
              </w:rPr>
            </w:pPr>
          </w:p>
        </w:tc>
        <w:tc>
          <w:tcPr>
            <w:tcW w:w="1220" w:type="dxa"/>
            <w:vAlign w:val="bottom"/>
            <w:tcBorders>
              <w:bottom w:val="single" w:sz="8" w:color="6D6D6D"/>
            </w:tcBorders>
          </w:tcPr>
          <w:p>
            <w:pPr>
              <w:spacing w:after="0" w:line="20" w:lineRule="exact"/>
              <w:rPr>
                <w:sz w:val="1"/>
                <w:szCs w:val="1"/>
                <w:color w:val="auto"/>
              </w:rPr>
            </w:pPr>
          </w:p>
        </w:tc>
        <w:tc>
          <w:tcPr>
            <w:tcW w:w="460" w:type="dxa"/>
            <w:vAlign w:val="bottom"/>
            <w:tcBorders>
              <w:bottom w:val="single" w:sz="8" w:color="6D6D6D"/>
            </w:tcBorders>
          </w:tcPr>
          <w:p>
            <w:pPr>
              <w:spacing w:after="0" w:line="20" w:lineRule="exact"/>
              <w:rPr>
                <w:sz w:val="1"/>
                <w:szCs w:val="1"/>
                <w:color w:val="auto"/>
              </w:rPr>
            </w:pPr>
          </w:p>
        </w:tc>
        <w:tc>
          <w:tcPr>
            <w:tcW w:w="1240" w:type="dxa"/>
            <w:vAlign w:val="bottom"/>
            <w:tcBorders>
              <w:bottom w:val="single" w:sz="8" w:color="6D6D6D"/>
            </w:tcBorders>
          </w:tcPr>
          <w:p>
            <w:pPr>
              <w:spacing w:after="0" w:line="20" w:lineRule="exact"/>
              <w:rPr>
                <w:sz w:val="1"/>
                <w:szCs w:val="1"/>
                <w:color w:val="auto"/>
              </w:rPr>
            </w:pPr>
          </w:p>
        </w:tc>
        <w:tc>
          <w:tcPr>
            <w:tcW w:w="460" w:type="dxa"/>
            <w:vAlign w:val="bottom"/>
            <w:tcBorders>
              <w:bottom w:val="single" w:sz="8" w:color="6D6D6D"/>
            </w:tcBorders>
          </w:tcPr>
          <w:p>
            <w:pPr>
              <w:spacing w:after="0" w:line="20" w:lineRule="exact"/>
              <w:rPr>
                <w:sz w:val="1"/>
                <w:szCs w:val="1"/>
                <w:color w:val="auto"/>
              </w:rPr>
            </w:pPr>
          </w:p>
        </w:tc>
        <w:tc>
          <w:tcPr>
            <w:tcW w:w="1340" w:type="dxa"/>
            <w:vAlign w:val="bottom"/>
            <w:tcBorders>
              <w:bottom w:val="single" w:sz="8" w:color="6D6D6D"/>
            </w:tcBorders>
          </w:tcPr>
          <w:p>
            <w:pPr>
              <w:spacing w:after="0" w:line="20" w:lineRule="exact"/>
              <w:rPr>
                <w:sz w:val="1"/>
                <w:szCs w:val="1"/>
                <w:color w:val="auto"/>
              </w:rPr>
            </w:pPr>
          </w:p>
        </w:tc>
        <w:tc>
          <w:tcPr>
            <w:tcW w:w="720" w:type="dxa"/>
            <w:vAlign w:val="bottom"/>
            <w:tcBorders>
              <w:bottom w:val="single" w:sz="8" w:color="6D6D6D"/>
            </w:tcBorders>
          </w:tcPr>
          <w:p>
            <w:pPr>
              <w:spacing w:after="0" w:line="20" w:lineRule="exact"/>
              <w:rPr>
                <w:sz w:val="1"/>
                <w:szCs w:val="1"/>
                <w:color w:val="auto"/>
              </w:rPr>
            </w:pPr>
          </w:p>
        </w:tc>
        <w:tc>
          <w:tcPr>
            <w:tcW w:w="1000" w:type="dxa"/>
            <w:vAlign w:val="bottom"/>
            <w:tcBorders>
              <w:bottom w:val="single" w:sz="8" w:color="6D6D6D"/>
            </w:tcBorders>
          </w:tcPr>
          <w:p>
            <w:pPr>
              <w:spacing w:after="0" w:line="20" w:lineRule="exact"/>
              <w:rPr>
                <w:sz w:val="1"/>
                <w:szCs w:val="1"/>
                <w:color w:val="auto"/>
              </w:rPr>
            </w:pPr>
          </w:p>
        </w:tc>
      </w:tr>
      <w:tr>
        <w:trPr>
          <w:trHeight w:val="229"/>
        </w:trPr>
        <w:tc>
          <w:tcPr>
            <w:tcW w:w="4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8"/>
        </w:trPr>
        <w:tc>
          <w:tcPr>
            <w:tcW w:w="4440" w:type="dxa"/>
            <w:vAlign w:val="bottom"/>
          </w:tcPr>
          <w:p>
            <w:pPr>
              <w:ind w:left="40"/>
              <w:spacing w:after="0"/>
              <w:rPr>
                <w:sz w:val="20"/>
                <w:szCs w:val="20"/>
                <w:color w:val="auto"/>
              </w:rPr>
            </w:pPr>
            <w:r>
              <w:rPr>
                <w:rFonts w:ascii="Arial" w:cs="Arial" w:eastAsia="Arial" w:hAnsi="Arial"/>
                <w:sz w:val="16"/>
                <w:szCs w:val="16"/>
                <w:color w:val="auto"/>
              </w:rPr>
              <w:t>Basic earnings per common share</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3.51</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3.92</w:t>
            </w:r>
          </w:p>
        </w:tc>
        <w:tc>
          <w:tcPr>
            <w:tcW w:w="4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11.20</w:t>
            </w:r>
          </w:p>
        </w:tc>
        <w:tc>
          <w:tcPr>
            <w:tcW w:w="7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11.68</w:t>
            </w:r>
          </w:p>
        </w:tc>
      </w:tr>
      <w:tr>
        <w:trPr>
          <w:trHeight w:val="21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3.87</w:t>
            </w:r>
          </w:p>
        </w:tc>
        <w:tc>
          <w:tcPr>
            <w:tcW w:w="4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11.16</w:t>
            </w:r>
          </w:p>
        </w:tc>
        <w:tc>
          <w:tcPr>
            <w:tcW w:w="7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11.53</w:t>
            </w:r>
          </w:p>
        </w:tc>
      </w:tr>
      <w:tr>
        <w:trPr>
          <w:trHeight w:val="261"/>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36,122</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37,907</w:t>
            </w:r>
          </w:p>
        </w:tc>
        <w:tc>
          <w:tcPr>
            <w:tcW w:w="4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36,819</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37,976</w:t>
            </w:r>
          </w:p>
        </w:tc>
      </w:tr>
      <w:tr>
        <w:trPr>
          <w:trHeight w:val="207"/>
        </w:trPr>
        <w:tc>
          <w:tcPr>
            <w:tcW w:w="4440" w:type="dxa"/>
            <w:vAlign w:val="bottom"/>
          </w:tcPr>
          <w:p>
            <w:pPr>
              <w:ind w:left="40"/>
              <w:spacing w:after="0"/>
              <w:rPr>
                <w:sz w:val="20"/>
                <w:szCs w:val="20"/>
                <w:color w:val="auto"/>
              </w:rPr>
            </w:pPr>
            <w:r>
              <w:rPr>
                <w:rFonts w:ascii="Arial" w:cs="Arial" w:eastAsia="Arial" w:hAnsi="Arial"/>
                <w:sz w:val="16"/>
                <w:szCs w:val="16"/>
                <w:color w:val="auto"/>
              </w:rPr>
              <w:t>Diluted weighted average common shares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36,191</w:t>
            </w:r>
          </w:p>
        </w:tc>
        <w:tc>
          <w:tcPr>
            <w:tcW w:w="460" w:type="dxa"/>
            <w:vAlign w:val="bottom"/>
          </w:tcPr>
          <w:p>
            <w:pPr>
              <w:spacing w:after="0"/>
              <w:rPr>
                <w:sz w:val="17"/>
                <w:szCs w:val="17"/>
                <w:color w:val="auto"/>
              </w:rPr>
            </w:pPr>
          </w:p>
        </w:tc>
        <w:tc>
          <w:tcPr>
            <w:tcW w:w="1240" w:type="dxa"/>
            <w:vAlign w:val="bottom"/>
          </w:tcPr>
          <w:p>
            <w:pPr>
              <w:jc w:val="right"/>
              <w:ind w:right="82"/>
              <w:spacing w:after="0"/>
              <w:rPr>
                <w:sz w:val="20"/>
                <w:szCs w:val="20"/>
                <w:color w:val="auto"/>
              </w:rPr>
            </w:pPr>
            <w:r>
              <w:rPr>
                <w:rFonts w:ascii="Arial" w:cs="Arial" w:eastAsia="Arial" w:hAnsi="Arial"/>
                <w:sz w:val="16"/>
                <w:szCs w:val="16"/>
                <w:color w:val="auto"/>
              </w:rPr>
              <w:t>38,344</w:t>
            </w:r>
          </w:p>
        </w:tc>
        <w:tc>
          <w:tcPr>
            <w:tcW w:w="460" w:type="dxa"/>
            <w:vAlign w:val="bottom"/>
          </w:tcPr>
          <w:p>
            <w:pPr>
              <w:spacing w:after="0"/>
              <w:rPr>
                <w:sz w:val="17"/>
                <w:szCs w:val="17"/>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36,957</w:t>
            </w:r>
          </w:p>
        </w:tc>
        <w:tc>
          <w:tcPr>
            <w:tcW w:w="72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38,457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Certain prior year figures have been conformed to the current year's presentation.</w:t>
      </w:r>
    </w:p>
    <w:p>
      <w:pPr>
        <w:spacing w:after="0" w:line="346" w:lineRule="exact"/>
        <w:rPr>
          <w:sz w:val="20"/>
          <w:szCs w:val="20"/>
          <w:color w:val="auto"/>
        </w:rPr>
      </w:pPr>
    </w:p>
    <w:p>
      <w:pPr>
        <w:ind w:left="11180"/>
        <w:spacing w:after="0"/>
        <w:rPr>
          <w:sz w:val="20"/>
          <w:szCs w:val="20"/>
          <w:color w:val="auto"/>
        </w:rPr>
      </w:pPr>
      <w:r>
        <w:rPr>
          <w:rFonts w:ascii="Arial" w:cs="Arial" w:eastAsia="Arial" w:hAnsi="Arial"/>
          <w:sz w:val="10"/>
          <w:szCs w:val="10"/>
          <w:color w:val="AFAFAF"/>
        </w:rPr>
        <w:t>6</w:t>
      </w:r>
    </w:p>
    <w:p>
      <w:pPr>
        <w:sectPr>
          <w:pgSz w:w="11900" w:h="16838" w:orient="portrait"/>
          <w:cols w:equalWidth="0" w:num="1">
            <w:col w:w="11240"/>
          </w:cols>
          <w:pgMar w:left="320" w:top="1433" w:right="339" w:bottom="1440" w:gutter="0" w:footer="0" w:header="0"/>
        </w:sectPr>
      </w:pPr>
    </w:p>
    <w:bookmarkStart w:id="8" w:name="page9"/>
    <w:bookmarkEnd w:id="8"/>
    <w:p>
      <w:pPr>
        <w:ind w:left="4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628015</wp:posOffset>
            </wp:positionV>
            <wp:extent cx="7128510" cy="5651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8510" cy="5651500"/>
                    </a:xfrm>
                    <a:prstGeom prst="rect">
                      <a:avLst/>
                    </a:prstGeom>
                    <a:noFill/>
                  </pic:spPr>
                </pic:pic>
              </a:graphicData>
            </a:graphic>
          </wp:anchor>
        </w:drawing>
        <w:t xml:space="preserve">Consolidated Balance Sheets </w:t>
      </w:r>
      <w:r>
        <w:rPr>
          <w:rFonts w:ascii="Arial" w:cs="Arial" w:eastAsia="Arial" w:hAnsi="Arial"/>
          <w:sz w:val="21"/>
          <w:szCs w:val="21"/>
          <w:b w:val="1"/>
          <w:bCs w:val="1"/>
          <w:i w:val="1"/>
          <w:iCs w:val="1"/>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May 31, 2026</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August 31, 2025</w:t>
            </w:r>
          </w:p>
        </w:tc>
        <w:tc>
          <w:tcPr>
            <w:tcW w:w="20" w:type="dxa"/>
            <w:vAlign w:val="bottom"/>
            <w:tcBorders>
              <w:bottom w:val="single" w:sz="8" w:color="auto"/>
            </w:tcBorders>
          </w:tcPr>
          <w:p>
            <w:pPr>
              <w:spacing w:after="0"/>
              <w:rPr>
                <w:sz w:val="18"/>
                <w:szCs w:val="18"/>
                <w:color w:val="auto"/>
              </w:rPr>
            </w:pPr>
          </w:p>
        </w:tc>
      </w:tr>
      <w:tr>
        <w:trPr>
          <w:trHeight w:val="20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288,114</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337,651</w:t>
            </w:r>
          </w:p>
        </w:tc>
        <w:tc>
          <w:tcPr>
            <w:tcW w:w="20" w:type="dxa"/>
            <w:vAlign w:val="bottom"/>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16,122</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17,445</w:t>
            </w:r>
          </w:p>
        </w:tc>
        <w:tc>
          <w:tcPr>
            <w:tcW w:w="20" w:type="dxa"/>
            <w:vAlign w:val="bottom"/>
          </w:tcPr>
          <w:p>
            <w:pPr>
              <w:spacing w:after="0"/>
              <w:rPr>
                <w:sz w:val="18"/>
                <w:szCs w:val="18"/>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Accounts receivable, net of reserves of $14,305 at May 31, 2026 and $13,789 at August 31, 2025</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289,990</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270,684</w:t>
            </w:r>
          </w:p>
        </w:tc>
        <w:tc>
          <w:tcPr>
            <w:tcW w:w="20" w:type="dxa"/>
            <w:vAlign w:val="bottom"/>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taxes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58,325</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33,600</w:t>
            </w:r>
          </w:p>
        </w:tc>
        <w:tc>
          <w:tcPr>
            <w:tcW w:w="20" w:type="dxa"/>
            <w:vAlign w:val="bottom"/>
          </w:tcPr>
          <w:p>
            <w:pPr>
              <w:spacing w:after="0"/>
              <w:rPr>
                <w:sz w:val="18"/>
                <w:szCs w:val="18"/>
                <w:color w:val="auto"/>
              </w:rPr>
            </w:pPr>
          </w:p>
        </w:tc>
      </w:tr>
      <w:tr>
        <w:trPr>
          <w:trHeight w:val="20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74,968</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70,379</w:t>
            </w:r>
          </w:p>
        </w:tc>
        <w:tc>
          <w:tcPr>
            <w:tcW w:w="20" w:type="dxa"/>
            <w:vAlign w:val="bottom"/>
            <w:tcBorders>
              <w:bottom w:val="single" w:sz="8" w:color="auto"/>
            </w:tcBorders>
          </w:tcPr>
          <w:p>
            <w:pPr>
              <w:spacing w:after="0"/>
              <w:rPr>
                <w:sz w:val="18"/>
                <w:szCs w:val="18"/>
                <w:color w:val="auto"/>
              </w:rPr>
            </w:pPr>
          </w:p>
        </w:tc>
      </w:tr>
      <w:tr>
        <w:trPr>
          <w:trHeight w:val="203"/>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727,519</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729,759</w:t>
            </w:r>
          </w:p>
        </w:tc>
        <w:tc>
          <w:tcPr>
            <w:tcW w:w="20" w:type="dxa"/>
            <w:vAlign w:val="bottom"/>
          </w:tcPr>
          <w:p>
            <w:pPr>
              <w:spacing w:after="0"/>
              <w:rPr>
                <w:sz w:val="17"/>
                <w:szCs w:val="17"/>
                <w:color w:val="auto"/>
              </w:rPr>
            </w:pPr>
          </w:p>
        </w:tc>
      </w:tr>
      <w:tr>
        <w:trPr>
          <w:trHeight w:val="196"/>
        </w:trPr>
        <w:tc>
          <w:tcPr>
            <w:tcW w:w="7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equipment and leasehold improvements, net</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82,319</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85,203</w:t>
            </w:r>
          </w:p>
        </w:tc>
        <w:tc>
          <w:tcPr>
            <w:tcW w:w="20" w:type="dxa"/>
            <w:vAlign w:val="bottom"/>
          </w:tcPr>
          <w:p>
            <w:pPr>
              <w:spacing w:after="0"/>
              <w:rPr>
                <w:sz w:val="18"/>
                <w:szCs w:val="18"/>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1,283,377</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1,284,708</w:t>
            </w:r>
          </w:p>
        </w:tc>
        <w:tc>
          <w:tcPr>
            <w:tcW w:w="20" w:type="dxa"/>
            <w:vAlign w:val="bottom"/>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1,868,418</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1,916,102</w:t>
            </w:r>
          </w:p>
        </w:tc>
        <w:tc>
          <w:tcPr>
            <w:tcW w:w="20" w:type="dxa"/>
            <w:vAlign w:val="bottom"/>
          </w:tcPr>
          <w:p>
            <w:pPr>
              <w:spacing w:after="0"/>
              <w:rPr>
                <w:sz w:val="18"/>
                <w:szCs w:val="18"/>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41,945</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61,226</w:t>
            </w:r>
          </w:p>
        </w:tc>
        <w:tc>
          <w:tcPr>
            <w:tcW w:w="20" w:type="dxa"/>
            <w:vAlign w:val="bottom"/>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right-of-use assets, net</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119,364</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121,776</w:t>
            </w:r>
          </w:p>
        </w:tc>
        <w:tc>
          <w:tcPr>
            <w:tcW w:w="20" w:type="dxa"/>
            <w:vAlign w:val="bottom"/>
          </w:tcPr>
          <w:p>
            <w:pPr>
              <w:spacing w:after="0"/>
              <w:rPr>
                <w:sz w:val="18"/>
                <w:szCs w:val="18"/>
                <w:color w:val="auto"/>
              </w:rPr>
            </w:pPr>
          </w:p>
        </w:tc>
      </w:tr>
      <w:tr>
        <w:trPr>
          <w:trHeight w:val="20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6D6D6D"/>
            </w:tcBorders>
          </w:tcPr>
          <w:p>
            <w:pPr>
              <w:spacing w:after="0"/>
              <w:rPr>
                <w:sz w:val="18"/>
                <w:szCs w:val="18"/>
                <w:color w:val="auto"/>
              </w:rPr>
            </w:pPr>
          </w:p>
        </w:tc>
        <w:tc>
          <w:tcPr>
            <w:tcW w:w="166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69,055</w:t>
            </w:r>
          </w:p>
        </w:tc>
        <w:tc>
          <w:tcPr>
            <w:tcW w:w="300" w:type="dxa"/>
            <w:vAlign w:val="bottom"/>
            <w:tcBorders>
              <w:bottom w:val="single" w:sz="8" w:color="6D6D6D"/>
            </w:tcBorders>
          </w:tcPr>
          <w:p>
            <w:pPr>
              <w:spacing w:after="0"/>
              <w:rPr>
                <w:sz w:val="18"/>
                <w:szCs w:val="18"/>
                <w:color w:val="auto"/>
              </w:rPr>
            </w:pPr>
          </w:p>
        </w:tc>
        <w:tc>
          <w:tcPr>
            <w:tcW w:w="174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auto"/>
              </w:rPr>
              <w:t>105,498</w:t>
            </w:r>
          </w:p>
        </w:tc>
        <w:tc>
          <w:tcPr>
            <w:tcW w:w="20" w:type="dxa"/>
            <w:vAlign w:val="bottom"/>
            <w:tcBorders>
              <w:bottom w:val="single" w:sz="8" w:color="6D6D6D"/>
            </w:tcBorders>
          </w:tcPr>
          <w:p>
            <w:pPr>
              <w:spacing w:after="0"/>
              <w:rPr>
                <w:sz w:val="18"/>
                <w:szCs w:val="18"/>
                <w:color w:val="auto"/>
              </w:rPr>
            </w:pPr>
          </w:p>
        </w:tc>
      </w:tr>
      <w:tr>
        <w:trPr>
          <w:trHeight w:val="222"/>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6D6D6D"/>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auto"/>
              </w:rPr>
              <w:t>4,191,997</w:t>
            </w:r>
          </w:p>
        </w:tc>
        <w:tc>
          <w:tcPr>
            <w:tcW w:w="300" w:type="dxa"/>
            <w:vAlign w:val="bottom"/>
            <w:tcBorders>
              <w:bottom w:val="single" w:sz="8" w:color="6D6D6D"/>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auto"/>
              </w:rPr>
              <w:t>4,304,272</w:t>
            </w:r>
          </w:p>
        </w:tc>
        <w:tc>
          <w:tcPr>
            <w:tcW w:w="20" w:type="dxa"/>
            <w:vAlign w:val="bottom"/>
            <w:tcBorders>
              <w:bottom w:val="single" w:sz="8" w:color="6D6D6D"/>
            </w:tcBorders>
          </w:tcPr>
          <w:p>
            <w:pPr>
              <w:spacing w:after="0"/>
              <w:rPr>
                <w:sz w:val="19"/>
                <w:szCs w:val="19"/>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6D6D6D"/>
            </w:tcBorders>
          </w:tcPr>
          <w:p>
            <w:pPr>
              <w:spacing w:after="0" w:line="20" w:lineRule="exact"/>
              <w:rPr>
                <w:sz w:val="1"/>
                <w:szCs w:val="1"/>
                <w:color w:val="auto"/>
              </w:rPr>
            </w:pPr>
          </w:p>
        </w:tc>
        <w:tc>
          <w:tcPr>
            <w:tcW w:w="1660" w:type="dxa"/>
            <w:vAlign w:val="bottom"/>
            <w:tcBorders>
              <w:top w:val="single" w:sz="8" w:color="CCEEFF"/>
              <w:bottom w:val="single" w:sz="8" w:color="6D6D6D"/>
            </w:tcBorders>
          </w:tcPr>
          <w:p>
            <w:pPr>
              <w:spacing w:after="0" w:line="20" w:lineRule="exact"/>
              <w:rPr>
                <w:sz w:val="1"/>
                <w:szCs w:val="1"/>
                <w:color w:val="auto"/>
              </w:rPr>
            </w:pPr>
          </w:p>
        </w:tc>
        <w:tc>
          <w:tcPr>
            <w:tcW w:w="300" w:type="dxa"/>
            <w:vAlign w:val="bottom"/>
            <w:tcBorders>
              <w:top w:val="single" w:sz="8" w:color="CCEEFF"/>
              <w:bottom w:val="single" w:sz="8" w:color="6D6D6D"/>
            </w:tcBorders>
          </w:tcPr>
          <w:p>
            <w:pPr>
              <w:spacing w:after="0" w:line="20" w:lineRule="exact"/>
              <w:rPr>
                <w:sz w:val="1"/>
                <w:szCs w:val="1"/>
                <w:color w:val="auto"/>
              </w:rPr>
            </w:pPr>
          </w:p>
        </w:tc>
        <w:tc>
          <w:tcPr>
            <w:tcW w:w="1740" w:type="dxa"/>
            <w:vAlign w:val="bottom"/>
            <w:tcBorders>
              <w:top w:val="single" w:sz="8" w:color="CCEEFF"/>
              <w:bottom w:val="single" w:sz="8" w:color="6D6D6D"/>
            </w:tcBorders>
          </w:tcPr>
          <w:p>
            <w:pPr>
              <w:spacing w:after="0" w:line="20" w:lineRule="exact"/>
              <w:rPr>
                <w:sz w:val="1"/>
                <w:szCs w:val="1"/>
                <w:color w:val="auto"/>
              </w:rPr>
            </w:pPr>
          </w:p>
        </w:tc>
        <w:tc>
          <w:tcPr>
            <w:tcW w:w="20" w:type="dxa"/>
            <w:vAlign w:val="bottom"/>
            <w:tcBorders>
              <w:bottom w:val="single" w:sz="8" w:color="6D6D6D"/>
            </w:tcBorders>
          </w:tcPr>
          <w:p>
            <w:pPr>
              <w:spacing w:after="0" w:line="20" w:lineRule="exact"/>
              <w:rPr>
                <w:sz w:val="1"/>
                <w:szCs w:val="1"/>
                <w:color w:val="auto"/>
              </w:rPr>
            </w:pPr>
          </w:p>
        </w:tc>
      </w:tr>
      <w:tr>
        <w:trPr>
          <w:trHeight w:val="143"/>
        </w:trPr>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shd w:val="clear" w:color="auto" w:fill="B6B6B6"/>
          </w:tcPr>
          <w:p>
            <w:pPr>
              <w:spacing w:after="0"/>
              <w:rPr>
                <w:sz w:val="12"/>
                <w:szCs w:val="12"/>
                <w:color w:val="auto"/>
              </w:rPr>
            </w:pP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B6B6B6"/>
          </w:tcPr>
          <w:p>
            <w:pPr>
              <w:spacing w:after="0"/>
              <w:rPr>
                <w:sz w:val="18"/>
                <w:szCs w:val="18"/>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163,982</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135,262</w:t>
            </w:r>
          </w:p>
        </w:tc>
        <w:tc>
          <w:tcPr>
            <w:tcW w:w="20" w:type="dxa"/>
            <w:vAlign w:val="bottom"/>
            <w:shd w:val="clear" w:color="auto" w:fill="B6B6B6"/>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debt</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499,159</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shd w:val="clear" w:color="auto" w:fill="B6B6B6"/>
          </w:tcPr>
          <w:p>
            <w:pPr>
              <w:spacing w:after="0"/>
              <w:rPr>
                <w:sz w:val="18"/>
                <w:szCs w:val="18"/>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Current lease liabilities</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33,963</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33,145</w:t>
            </w:r>
          </w:p>
        </w:tc>
        <w:tc>
          <w:tcPr>
            <w:tcW w:w="20" w:type="dxa"/>
            <w:vAlign w:val="bottom"/>
            <w:shd w:val="clear" w:color="auto" w:fill="B6B6B6"/>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137,431</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130,596</w:t>
            </w:r>
          </w:p>
        </w:tc>
        <w:tc>
          <w:tcPr>
            <w:tcW w:w="20" w:type="dxa"/>
            <w:vAlign w:val="bottom"/>
            <w:shd w:val="clear" w:color="auto" w:fill="B6B6B6"/>
          </w:tcPr>
          <w:p>
            <w:pPr>
              <w:spacing w:after="0"/>
              <w:rPr>
                <w:sz w:val="18"/>
                <w:szCs w:val="18"/>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Deferred revenues</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183,494</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167,852</w:t>
            </w:r>
          </w:p>
        </w:tc>
        <w:tc>
          <w:tcPr>
            <w:tcW w:w="20" w:type="dxa"/>
            <w:vAlign w:val="bottom"/>
            <w:shd w:val="clear" w:color="auto" w:fill="B6B6B6"/>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taxes payable</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13,041</w:t>
            </w:r>
          </w:p>
        </w:tc>
        <w:tc>
          <w:tcPr>
            <w:tcW w:w="20" w:type="dxa"/>
            <w:vAlign w:val="bottom"/>
            <w:shd w:val="clear" w:color="auto" w:fill="B6B6B6"/>
          </w:tcPr>
          <w:p>
            <w:pPr>
              <w:spacing w:after="0"/>
              <w:rPr>
                <w:sz w:val="18"/>
                <w:szCs w:val="18"/>
                <w:color w:val="auto"/>
              </w:rPr>
            </w:pPr>
          </w:p>
        </w:tc>
      </w:tr>
      <w:tr>
        <w:trPr>
          <w:trHeight w:val="20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Dividends payable</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41,500</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41,410</w:t>
            </w:r>
          </w:p>
        </w:tc>
        <w:tc>
          <w:tcPr>
            <w:tcW w:w="20" w:type="dxa"/>
            <w:vAlign w:val="bottom"/>
            <w:tcBorders>
              <w:bottom w:val="single" w:sz="8" w:color="B6B6B6"/>
            </w:tcBorders>
            <w:shd w:val="clear" w:color="auto" w:fill="B6B6B6"/>
          </w:tcPr>
          <w:p>
            <w:pPr>
              <w:spacing w:after="0"/>
              <w:rPr>
                <w:sz w:val="18"/>
                <w:szCs w:val="18"/>
                <w:color w:val="auto"/>
              </w:rPr>
            </w:pPr>
          </w:p>
        </w:tc>
      </w:tr>
      <w:tr>
        <w:trPr>
          <w:trHeight w:val="203"/>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1,064,711</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521,306</w:t>
            </w:r>
          </w:p>
        </w:tc>
        <w:tc>
          <w:tcPr>
            <w:tcW w:w="20" w:type="dxa"/>
            <w:vAlign w:val="bottom"/>
            <w:shd w:val="clear" w:color="auto" w:fill="B6B6B6"/>
          </w:tcPr>
          <w:p>
            <w:pPr>
              <w:spacing w:after="0"/>
              <w:rPr>
                <w:sz w:val="17"/>
                <w:szCs w:val="17"/>
                <w:color w:val="auto"/>
              </w:rPr>
            </w:pPr>
          </w:p>
        </w:tc>
      </w:tr>
      <w:tr>
        <w:trPr>
          <w:trHeight w:val="196"/>
        </w:trPr>
        <w:tc>
          <w:tcPr>
            <w:tcW w:w="7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shd w:val="clear" w:color="auto" w:fill="B6B6B6"/>
          </w:tcPr>
          <w:p>
            <w:pPr>
              <w:spacing w:after="0"/>
              <w:rPr>
                <w:sz w:val="17"/>
                <w:szCs w:val="17"/>
                <w:color w:val="auto"/>
              </w:rPr>
            </w:pPr>
          </w:p>
        </w:tc>
      </w:tr>
      <w:tr>
        <w:trPr>
          <w:trHeight w:val="20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890,542</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1,368,260</w:t>
            </w:r>
          </w:p>
        </w:tc>
        <w:tc>
          <w:tcPr>
            <w:tcW w:w="20" w:type="dxa"/>
            <w:vAlign w:val="bottom"/>
            <w:shd w:val="clear" w:color="auto" w:fill="B6B6B6"/>
          </w:tcPr>
          <w:p>
            <w:pPr>
              <w:spacing w:after="0"/>
              <w:rPr>
                <w:sz w:val="18"/>
                <w:szCs w:val="18"/>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Deferred tax liabilities</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13,040</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14,902</w:t>
            </w:r>
          </w:p>
        </w:tc>
        <w:tc>
          <w:tcPr>
            <w:tcW w:w="20" w:type="dxa"/>
            <w:vAlign w:val="bottom"/>
            <w:shd w:val="clear" w:color="auto" w:fill="B6B6B6"/>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payable</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41,315</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45,095</w:t>
            </w:r>
          </w:p>
        </w:tc>
        <w:tc>
          <w:tcPr>
            <w:tcW w:w="20" w:type="dxa"/>
            <w:vAlign w:val="bottom"/>
            <w:shd w:val="clear" w:color="auto" w:fill="B6B6B6"/>
          </w:tcPr>
          <w:p>
            <w:pPr>
              <w:spacing w:after="0"/>
              <w:rPr>
                <w:sz w:val="18"/>
                <w:szCs w:val="18"/>
                <w:color w:val="auto"/>
              </w:rPr>
            </w:pPr>
          </w:p>
        </w:tc>
      </w:tr>
      <w:tr>
        <w:trPr>
          <w:trHeight w:val="208"/>
        </w:trPr>
        <w:tc>
          <w:tcPr>
            <w:tcW w:w="7200" w:type="dxa"/>
            <w:vAlign w:val="bottom"/>
          </w:tcPr>
          <w:p>
            <w:pPr>
              <w:ind w:left="140"/>
              <w:spacing w:after="0"/>
              <w:rPr>
                <w:sz w:val="20"/>
                <w:szCs w:val="20"/>
                <w:color w:val="auto"/>
              </w:rPr>
            </w:pPr>
            <w:r>
              <w:rPr>
                <w:rFonts w:ascii="Arial" w:cs="Arial" w:eastAsia="Arial" w:hAnsi="Arial"/>
                <w:sz w:val="16"/>
                <w:szCs w:val="16"/>
                <w:color w:val="auto"/>
              </w:rPr>
              <w:t>Long-term lease liabilities</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146,978</w:t>
            </w:r>
          </w:p>
        </w:tc>
        <w:tc>
          <w:tcPr>
            <w:tcW w:w="3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157,104</w:t>
            </w:r>
          </w:p>
        </w:tc>
        <w:tc>
          <w:tcPr>
            <w:tcW w:w="20" w:type="dxa"/>
            <w:vAlign w:val="bottom"/>
            <w:shd w:val="clear" w:color="auto" w:fill="B6B6B6"/>
          </w:tcPr>
          <w:p>
            <w:pPr>
              <w:spacing w:after="0"/>
              <w:rPr>
                <w:sz w:val="18"/>
                <w:szCs w:val="18"/>
                <w:color w:val="auto"/>
              </w:rPr>
            </w:pPr>
          </w:p>
        </w:tc>
      </w:tr>
      <w:tr>
        <w:trPr>
          <w:trHeight w:val="210"/>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6D6D6D"/>
            </w:tcBorders>
            <w:shd w:val="clear" w:color="auto" w:fill="CCEEFF"/>
          </w:tcPr>
          <w:p>
            <w:pPr>
              <w:spacing w:after="0"/>
              <w:rPr>
                <w:sz w:val="18"/>
                <w:szCs w:val="18"/>
                <w:color w:val="auto"/>
              </w:rPr>
            </w:pPr>
          </w:p>
        </w:tc>
        <w:tc>
          <w:tcPr>
            <w:tcW w:w="166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300" w:type="dxa"/>
            <w:vAlign w:val="bottom"/>
            <w:tcBorders>
              <w:bottom w:val="single" w:sz="8" w:color="6D6D6D"/>
            </w:tcBorders>
            <w:shd w:val="clear" w:color="auto" w:fill="CCEEFF"/>
          </w:tcPr>
          <w:p>
            <w:pPr>
              <w:spacing w:after="0"/>
              <w:rPr>
                <w:sz w:val="18"/>
                <w:szCs w:val="18"/>
                <w:color w:val="auto"/>
              </w:rPr>
            </w:pPr>
          </w:p>
        </w:tc>
        <w:tc>
          <w:tcPr>
            <w:tcW w:w="174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auto"/>
              </w:rPr>
              <w:t>11,192</w:t>
            </w:r>
          </w:p>
        </w:tc>
        <w:tc>
          <w:tcPr>
            <w:tcW w:w="20" w:type="dxa"/>
            <w:vAlign w:val="bottom"/>
            <w:tcBorders>
              <w:bottom w:val="single" w:sz="8" w:color="B6B6B6"/>
            </w:tcBorders>
            <w:shd w:val="clear" w:color="auto" w:fill="B6B6B6"/>
          </w:tcPr>
          <w:p>
            <w:pPr>
              <w:spacing w:after="0"/>
              <w:rPr>
                <w:sz w:val="18"/>
                <w:szCs w:val="18"/>
                <w:color w:val="auto"/>
              </w:rPr>
            </w:pPr>
          </w:p>
        </w:tc>
      </w:tr>
      <w:tr>
        <w:trPr>
          <w:trHeight w:val="201"/>
        </w:trPr>
        <w:tc>
          <w:tcPr>
            <w:tcW w:w="7200" w:type="dxa"/>
            <w:vAlign w:val="bottom"/>
          </w:tcPr>
          <w:p>
            <w:pPr>
              <w:ind w:left="14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bottom w:val="single" w:sz="8" w:color="6D6D6D"/>
            </w:tcBorders>
          </w:tcPr>
          <w:p>
            <w:pPr>
              <w:jc w:val="right"/>
              <w:ind w:right="142"/>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2,159,707</w:t>
            </w:r>
          </w:p>
        </w:tc>
        <w:tc>
          <w:tcPr>
            <w:tcW w:w="300" w:type="dxa"/>
            <w:vAlign w:val="bottom"/>
            <w:tcBorders>
              <w:bottom w:val="single" w:sz="8" w:color="6D6D6D"/>
            </w:tcBorders>
          </w:tcPr>
          <w:p>
            <w:pPr>
              <w:jc w:val="right"/>
              <w:ind w:right="10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6D6D6D"/>
            </w:tcBorders>
          </w:tcPr>
          <w:p>
            <w:pPr>
              <w:jc w:val="right"/>
              <w:ind w:right="2"/>
              <w:spacing w:after="0"/>
              <w:rPr>
                <w:sz w:val="20"/>
                <w:szCs w:val="20"/>
                <w:color w:val="auto"/>
              </w:rPr>
            </w:pPr>
            <w:r>
              <w:rPr>
                <w:rFonts w:ascii="Arial" w:cs="Arial" w:eastAsia="Arial" w:hAnsi="Arial"/>
                <w:sz w:val="16"/>
                <w:szCs w:val="16"/>
                <w:color w:val="auto"/>
              </w:rPr>
              <w:t>2,117,859</w:t>
            </w:r>
          </w:p>
        </w:tc>
        <w:tc>
          <w:tcPr>
            <w:tcW w:w="20" w:type="dxa"/>
            <w:vAlign w:val="bottom"/>
            <w:tcBorders>
              <w:bottom w:val="single" w:sz="8" w:color="6D6D6D"/>
            </w:tcBorders>
            <w:shd w:val="clear" w:color="auto" w:fill="B6B6B6"/>
          </w:tcPr>
          <w:p>
            <w:pPr>
              <w:spacing w:after="0"/>
              <w:rPr>
                <w:sz w:val="17"/>
                <w:szCs w:val="17"/>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6D6D6D"/>
            </w:tcBorders>
          </w:tcPr>
          <w:p>
            <w:pPr>
              <w:spacing w:after="0" w:line="20" w:lineRule="exact"/>
              <w:rPr>
                <w:sz w:val="1"/>
                <w:szCs w:val="1"/>
                <w:color w:val="auto"/>
              </w:rPr>
            </w:pPr>
          </w:p>
        </w:tc>
        <w:tc>
          <w:tcPr>
            <w:tcW w:w="1660" w:type="dxa"/>
            <w:vAlign w:val="bottom"/>
            <w:tcBorders>
              <w:bottom w:val="single" w:sz="8" w:color="6D6D6D"/>
            </w:tcBorders>
          </w:tcPr>
          <w:p>
            <w:pPr>
              <w:spacing w:after="0" w:line="20" w:lineRule="exact"/>
              <w:rPr>
                <w:sz w:val="1"/>
                <w:szCs w:val="1"/>
                <w:color w:val="auto"/>
              </w:rPr>
            </w:pPr>
          </w:p>
        </w:tc>
        <w:tc>
          <w:tcPr>
            <w:tcW w:w="300" w:type="dxa"/>
            <w:vAlign w:val="bottom"/>
            <w:tcBorders>
              <w:bottom w:val="single" w:sz="8" w:color="6D6D6D"/>
            </w:tcBorders>
          </w:tcPr>
          <w:p>
            <w:pPr>
              <w:spacing w:after="0" w:line="20" w:lineRule="exact"/>
              <w:rPr>
                <w:sz w:val="1"/>
                <w:szCs w:val="1"/>
                <w:color w:val="auto"/>
              </w:rPr>
            </w:pPr>
          </w:p>
        </w:tc>
        <w:tc>
          <w:tcPr>
            <w:tcW w:w="1740" w:type="dxa"/>
            <w:vAlign w:val="bottom"/>
            <w:tcBorders>
              <w:bottom w:val="single" w:sz="8" w:color="6D6D6D"/>
            </w:tcBorders>
          </w:tcPr>
          <w:p>
            <w:pPr>
              <w:spacing w:after="0" w:line="20" w:lineRule="exact"/>
              <w:rPr>
                <w:sz w:val="1"/>
                <w:szCs w:val="1"/>
                <w:color w:val="auto"/>
              </w:rPr>
            </w:pPr>
          </w:p>
        </w:tc>
        <w:tc>
          <w:tcPr>
            <w:tcW w:w="20" w:type="dxa"/>
            <w:vAlign w:val="bottom"/>
            <w:tcBorders>
              <w:bottom w:val="single" w:sz="8" w:color="6D6D6D"/>
            </w:tcBorders>
          </w:tcPr>
          <w:p>
            <w:pPr>
              <w:spacing w:after="0" w:line="20" w:lineRule="exact"/>
              <w:rPr>
                <w:sz w:val="1"/>
                <w:szCs w:val="1"/>
                <w:color w:val="auto"/>
              </w:rPr>
            </w:pPr>
          </w:p>
        </w:tc>
      </w:tr>
      <w:tr>
        <w:trPr>
          <w:trHeight w:val="163"/>
        </w:trPr>
        <w:tc>
          <w:tcPr>
            <w:tcW w:w="7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0" w:type="dxa"/>
            <w:vAlign w:val="bottom"/>
            <w:shd w:val="clear" w:color="auto" w:fill="B6B6B6"/>
          </w:tcPr>
          <w:p>
            <w:pPr>
              <w:spacing w:after="0"/>
              <w:rPr>
                <w:sz w:val="14"/>
                <w:szCs w:val="14"/>
                <w:color w:val="auto"/>
              </w:rPr>
            </w:pPr>
          </w:p>
        </w:tc>
      </w:tr>
      <w:tr>
        <w:trPr>
          <w:trHeight w:val="209"/>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tcBorders>
              <w:bottom w:val="single" w:sz="8" w:color="6D6D6D"/>
            </w:tcBorders>
          </w:tcPr>
          <w:p>
            <w:pPr>
              <w:spacing w:after="0"/>
              <w:rPr>
                <w:sz w:val="18"/>
                <w:szCs w:val="18"/>
                <w:color w:val="auto"/>
              </w:rPr>
            </w:pPr>
          </w:p>
        </w:tc>
        <w:tc>
          <w:tcPr>
            <w:tcW w:w="1660" w:type="dxa"/>
            <w:vAlign w:val="bottom"/>
            <w:tcBorders>
              <w:bottom w:val="single" w:sz="8" w:color="6D6D6D"/>
            </w:tcBorders>
          </w:tcPr>
          <w:p>
            <w:pPr>
              <w:spacing w:after="0"/>
              <w:rPr>
                <w:sz w:val="18"/>
                <w:szCs w:val="18"/>
                <w:color w:val="auto"/>
              </w:rPr>
            </w:pPr>
          </w:p>
        </w:tc>
        <w:tc>
          <w:tcPr>
            <w:tcW w:w="300" w:type="dxa"/>
            <w:vAlign w:val="bottom"/>
            <w:tcBorders>
              <w:bottom w:val="single" w:sz="8" w:color="6D6D6D"/>
            </w:tcBorders>
          </w:tcPr>
          <w:p>
            <w:pPr>
              <w:spacing w:after="0"/>
              <w:rPr>
                <w:sz w:val="18"/>
                <w:szCs w:val="18"/>
                <w:color w:val="auto"/>
              </w:rPr>
            </w:pPr>
          </w:p>
        </w:tc>
        <w:tc>
          <w:tcPr>
            <w:tcW w:w="1740" w:type="dxa"/>
            <w:vAlign w:val="bottom"/>
            <w:tcBorders>
              <w:bottom w:val="single" w:sz="8" w:color="6D6D6D"/>
            </w:tcBorders>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r>
      <w:tr>
        <w:trPr>
          <w:trHeight w:val="201"/>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bottom w:val="single" w:sz="8" w:color="6D6D6D"/>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auto"/>
              </w:rPr>
              <w:t>2,032,290</w:t>
            </w:r>
          </w:p>
        </w:tc>
        <w:tc>
          <w:tcPr>
            <w:tcW w:w="300" w:type="dxa"/>
            <w:vAlign w:val="bottom"/>
            <w:tcBorders>
              <w:bottom w:val="single" w:sz="8" w:color="6D6D6D"/>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auto"/>
              </w:rPr>
              <w:t>2,186,413</w:t>
            </w:r>
          </w:p>
        </w:tc>
        <w:tc>
          <w:tcPr>
            <w:tcW w:w="20" w:type="dxa"/>
            <w:vAlign w:val="bottom"/>
            <w:tcBorders>
              <w:bottom w:val="single" w:sz="8" w:color="B6B6B6"/>
            </w:tcBorders>
            <w:shd w:val="clear" w:color="auto" w:fill="B6B6B6"/>
          </w:tcPr>
          <w:p>
            <w:pPr>
              <w:spacing w:after="0"/>
              <w:rPr>
                <w:sz w:val="17"/>
                <w:szCs w:val="17"/>
                <w:color w:val="auto"/>
              </w:rPr>
            </w:pPr>
          </w:p>
        </w:tc>
      </w:tr>
      <w:tr>
        <w:trPr>
          <w:trHeight w:val="177"/>
        </w:trPr>
        <w:tc>
          <w:tcPr>
            <w:tcW w:w="7200" w:type="dxa"/>
            <w:vAlign w:val="bottom"/>
            <w:tcBorders>
              <w:bottom w:val="single" w:sz="8" w:color="CCEEFF"/>
            </w:tcBorders>
          </w:tcPr>
          <w:p>
            <w:pPr>
              <w:spacing w:after="0"/>
              <w:rPr>
                <w:sz w:val="15"/>
                <w:szCs w:val="15"/>
                <w:color w:val="auto"/>
              </w:rPr>
            </w:pPr>
          </w:p>
        </w:tc>
        <w:tc>
          <w:tcPr>
            <w:tcW w:w="320" w:type="dxa"/>
            <w:vAlign w:val="bottom"/>
            <w:tcBorders>
              <w:bottom w:val="single" w:sz="8" w:color="6D6D6D"/>
            </w:tcBorders>
          </w:tcPr>
          <w:p>
            <w:pPr>
              <w:spacing w:after="0"/>
              <w:rPr>
                <w:sz w:val="15"/>
                <w:szCs w:val="15"/>
                <w:color w:val="auto"/>
              </w:rPr>
            </w:pPr>
          </w:p>
        </w:tc>
        <w:tc>
          <w:tcPr>
            <w:tcW w:w="1660" w:type="dxa"/>
            <w:vAlign w:val="bottom"/>
            <w:tcBorders>
              <w:bottom w:val="single" w:sz="8" w:color="6D6D6D"/>
            </w:tcBorders>
          </w:tcPr>
          <w:p>
            <w:pPr>
              <w:spacing w:after="0"/>
              <w:rPr>
                <w:sz w:val="15"/>
                <w:szCs w:val="15"/>
                <w:color w:val="auto"/>
              </w:rPr>
            </w:pPr>
          </w:p>
        </w:tc>
        <w:tc>
          <w:tcPr>
            <w:tcW w:w="300" w:type="dxa"/>
            <w:vAlign w:val="bottom"/>
            <w:tcBorders>
              <w:bottom w:val="single" w:sz="8" w:color="6D6D6D"/>
            </w:tcBorders>
          </w:tcPr>
          <w:p>
            <w:pPr>
              <w:spacing w:after="0"/>
              <w:rPr>
                <w:sz w:val="15"/>
                <w:szCs w:val="15"/>
                <w:color w:val="auto"/>
              </w:rPr>
            </w:pPr>
          </w:p>
        </w:tc>
        <w:tc>
          <w:tcPr>
            <w:tcW w:w="1740" w:type="dxa"/>
            <w:vAlign w:val="bottom"/>
            <w:tcBorders>
              <w:bottom w:val="single" w:sz="8" w:color="6D6D6D"/>
            </w:tcBorders>
          </w:tcPr>
          <w:p>
            <w:pPr>
              <w:spacing w:after="0"/>
              <w:rPr>
                <w:sz w:val="15"/>
                <w:szCs w:val="15"/>
                <w:color w:val="auto"/>
              </w:rPr>
            </w:pPr>
          </w:p>
        </w:tc>
        <w:tc>
          <w:tcPr>
            <w:tcW w:w="20" w:type="dxa"/>
            <w:vAlign w:val="bottom"/>
            <w:tcBorders>
              <w:bottom w:val="single" w:sz="8" w:color="B6B6B6"/>
            </w:tcBorders>
            <w:shd w:val="clear" w:color="auto" w:fill="B6B6B6"/>
          </w:tcPr>
          <w:p>
            <w:pPr>
              <w:spacing w:after="0"/>
              <w:rPr>
                <w:sz w:val="15"/>
                <w:szCs w:val="15"/>
                <w:color w:val="auto"/>
              </w:rPr>
            </w:pPr>
          </w:p>
        </w:tc>
      </w:tr>
      <w:tr>
        <w:trPr>
          <w:trHeight w:val="201"/>
        </w:trPr>
        <w:tc>
          <w:tcPr>
            <w:tcW w:w="7200" w:type="dxa"/>
            <w:vAlign w:val="bottom"/>
            <w:tcBorders>
              <w:bottom w:val="single" w:sz="8" w:color="B6B6B6"/>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B6B6B6"/>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4,191,997</w:t>
            </w:r>
          </w:p>
        </w:tc>
        <w:tc>
          <w:tcPr>
            <w:tcW w:w="300" w:type="dxa"/>
            <w:vAlign w:val="bottom"/>
            <w:tcBorders>
              <w:bottom w:val="single" w:sz="8" w:color="B6B6B6"/>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B6B6B6"/>
            </w:tcBorders>
            <w:shd w:val="clear" w:color="auto" w:fill="CCEEFF"/>
          </w:tcPr>
          <w:p>
            <w:pPr>
              <w:jc w:val="right"/>
              <w:ind w:right="2"/>
              <w:spacing w:after="0"/>
              <w:rPr>
                <w:sz w:val="20"/>
                <w:szCs w:val="20"/>
                <w:color w:val="auto"/>
              </w:rPr>
            </w:pPr>
            <w:r>
              <w:rPr>
                <w:rFonts w:ascii="Arial" w:cs="Arial" w:eastAsia="Arial" w:hAnsi="Arial"/>
                <w:sz w:val="16"/>
                <w:szCs w:val="16"/>
                <w:color w:val="auto"/>
              </w:rPr>
              <w:t>4,304,272</w:t>
            </w:r>
          </w:p>
        </w:tc>
        <w:tc>
          <w:tcPr>
            <w:tcW w:w="20" w:type="dxa"/>
            <w:vAlign w:val="bottom"/>
            <w:tcBorders>
              <w:bottom w:val="single" w:sz="8" w:color="B6B6B6"/>
            </w:tcBorders>
            <w:shd w:val="clear" w:color="auto" w:fill="B6B6B6"/>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7</w:t>
      </w:r>
    </w:p>
    <w:p>
      <w:pPr>
        <w:sectPr>
          <w:pgSz w:w="11900" w:h="16838" w:orient="portrait"/>
          <w:cols w:equalWidth="0" w:num="1">
            <w:col w:w="11240"/>
          </w:cols>
          <w:pgMar w:left="320" w:top="125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313"/>
        </w:trPr>
        <w:tc>
          <w:tcPr>
            <w:tcW w:w="8360" w:type="dxa"/>
            <w:vAlign w:val="bottom"/>
            <w:tcBorders>
              <w:top w:val="single" w:sz="8" w:color="B6B6B6"/>
              <w:left w:val="single" w:sz="8" w:color="B6B6B6"/>
            </w:tcBorders>
          </w:tcPr>
          <w:p>
            <w:pPr>
              <w:ind w:left="40"/>
              <w:spacing w:after="0"/>
              <w:rPr>
                <w:sz w:val="20"/>
                <w:szCs w:val="20"/>
                <w:color w:val="auto"/>
              </w:rPr>
            </w:pPr>
            <w:r>
              <w:rPr>
                <w:rFonts w:ascii="Arial" w:cs="Arial" w:eastAsia="Arial" w:hAnsi="Arial"/>
                <w:sz w:val="21"/>
                <w:szCs w:val="21"/>
                <w:b w:val="1"/>
                <w:bCs w:val="1"/>
                <w:color w:val="auto"/>
              </w:rPr>
              <w:t>Consolidated Statements of Cash Flows (Unaudited)</w:t>
            </w:r>
          </w:p>
        </w:tc>
        <w:tc>
          <w:tcPr>
            <w:tcW w:w="320" w:type="dxa"/>
            <w:vAlign w:val="bottom"/>
            <w:tcBorders>
              <w:top w:val="single" w:sz="8" w:color="B6B6B6"/>
            </w:tcBorders>
          </w:tcPr>
          <w:p>
            <w:pPr>
              <w:spacing w:after="0"/>
              <w:rPr>
                <w:sz w:val="24"/>
                <w:szCs w:val="24"/>
                <w:color w:val="auto"/>
              </w:rPr>
            </w:pPr>
          </w:p>
        </w:tc>
        <w:tc>
          <w:tcPr>
            <w:tcW w:w="1100" w:type="dxa"/>
            <w:vAlign w:val="bottom"/>
            <w:tcBorders>
              <w:top w:val="single" w:sz="8" w:color="B6B6B6"/>
            </w:tcBorders>
          </w:tcPr>
          <w:p>
            <w:pPr>
              <w:spacing w:after="0"/>
              <w:rPr>
                <w:sz w:val="24"/>
                <w:szCs w:val="24"/>
                <w:color w:val="auto"/>
              </w:rPr>
            </w:pPr>
          </w:p>
        </w:tc>
        <w:tc>
          <w:tcPr>
            <w:tcW w:w="420" w:type="dxa"/>
            <w:vAlign w:val="bottom"/>
            <w:tcBorders>
              <w:top w:val="single" w:sz="8" w:color="B6B6B6"/>
            </w:tcBorders>
          </w:tcPr>
          <w:p>
            <w:pPr>
              <w:spacing w:after="0"/>
              <w:rPr>
                <w:sz w:val="24"/>
                <w:szCs w:val="24"/>
                <w:color w:val="auto"/>
              </w:rPr>
            </w:pPr>
          </w:p>
        </w:tc>
        <w:tc>
          <w:tcPr>
            <w:tcW w:w="1060" w:type="dxa"/>
            <w:vAlign w:val="bottom"/>
            <w:tcBorders>
              <w:top w:val="single" w:sz="8" w:color="B6B6B6"/>
              <w:right w:val="single" w:sz="8" w:color="B6B6B6"/>
            </w:tcBorders>
          </w:tcPr>
          <w:p>
            <w:pPr>
              <w:spacing w:after="0"/>
              <w:rPr>
                <w:sz w:val="24"/>
                <w:szCs w:val="24"/>
                <w:color w:val="auto"/>
              </w:rPr>
            </w:pPr>
          </w:p>
        </w:tc>
      </w:tr>
      <w:tr>
        <w:trPr>
          <w:trHeight w:val="207"/>
        </w:trPr>
        <w:tc>
          <w:tcPr>
            <w:tcW w:w="8360" w:type="dxa"/>
            <w:vAlign w:val="bottom"/>
            <w:tcBorders>
              <w:left w:val="single" w:sz="8" w:color="B6B6B6"/>
            </w:tcBorders>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right w:val="single" w:sz="8" w:color="B6B6B6"/>
            </w:tcBorders>
            <w:gridSpan w:val="3"/>
          </w:tcPr>
          <w:p>
            <w:pPr>
              <w:jc w:val="right"/>
              <w:ind w:right="702"/>
              <w:spacing w:after="0"/>
              <w:rPr>
                <w:sz w:val="20"/>
                <w:szCs w:val="20"/>
                <w:color w:val="auto"/>
              </w:rPr>
            </w:pPr>
            <w:r>
              <w:rPr>
                <w:rFonts w:ascii="Arial" w:cs="Arial" w:eastAsia="Arial" w:hAnsi="Arial"/>
                <w:sz w:val="16"/>
                <w:szCs w:val="16"/>
                <w:color w:val="auto"/>
              </w:rPr>
              <w:t>Nine Months Ended</w:t>
            </w:r>
          </w:p>
        </w:tc>
      </w:tr>
      <w:tr>
        <w:trPr>
          <w:trHeight w:val="209"/>
        </w:trPr>
        <w:tc>
          <w:tcPr>
            <w:tcW w:w="8360" w:type="dxa"/>
            <w:vAlign w:val="bottom"/>
            <w:tcBorders>
              <w:left w:val="single" w:sz="8" w:color="B6B6B6"/>
            </w:tcBorders>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42"/>
              <w:spacing w:after="0"/>
              <w:rPr>
                <w:sz w:val="20"/>
                <w:szCs w:val="20"/>
                <w:color w:val="auto"/>
              </w:rPr>
            </w:pPr>
            <w:r>
              <w:rPr>
                <w:rFonts w:ascii="Arial" w:cs="Arial" w:eastAsia="Arial" w:hAnsi="Arial"/>
                <w:sz w:val="16"/>
                <w:szCs w:val="16"/>
                <w:color w:val="auto"/>
              </w:rPr>
              <w:t>May 31,</w:t>
            </w:r>
          </w:p>
        </w:tc>
        <w:tc>
          <w:tcPr>
            <w:tcW w:w="1060" w:type="dxa"/>
            <w:vAlign w:val="bottom"/>
            <w:tcBorders>
              <w:right w:val="single" w:sz="8" w:color="B6B6B6"/>
            </w:tcBorders>
          </w:tcPr>
          <w:p>
            <w:pPr>
              <w:spacing w:after="0"/>
              <w:rPr>
                <w:sz w:val="18"/>
                <w:szCs w:val="18"/>
                <w:color w:val="auto"/>
              </w:rPr>
            </w:pPr>
          </w:p>
        </w:tc>
      </w:tr>
      <w:tr>
        <w:trPr>
          <w:trHeight w:val="210"/>
        </w:trPr>
        <w:tc>
          <w:tcPr>
            <w:tcW w:w="8360" w:type="dxa"/>
            <w:vAlign w:val="bottom"/>
            <w:tcBorders>
              <w:left w:val="single" w:sz="8" w:color="B6B6B6"/>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2026</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B6B6B6"/>
            </w:tcBorders>
          </w:tcPr>
          <w:p>
            <w:pPr>
              <w:jc w:val="right"/>
              <w:ind w:right="502"/>
              <w:spacing w:after="0"/>
              <w:rPr>
                <w:sz w:val="20"/>
                <w:szCs w:val="20"/>
                <w:color w:val="auto"/>
              </w:rPr>
            </w:pPr>
            <w:r>
              <w:rPr>
                <w:rFonts w:ascii="Arial" w:cs="Arial" w:eastAsia="Arial" w:hAnsi="Arial"/>
                <w:sz w:val="16"/>
                <w:szCs w:val="16"/>
                <w:color w:val="auto"/>
              </w:rPr>
              <w:t>2025</w:t>
            </w:r>
          </w:p>
        </w:tc>
      </w:tr>
      <w:tr>
        <w:trPr>
          <w:trHeight w:val="203"/>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tcBorders>
              <w:right w:val="single" w:sz="8" w:color="B6B6B6"/>
            </w:tcBorders>
            <w:shd w:val="clear" w:color="auto" w:fill="CCEEFF"/>
          </w:tcPr>
          <w:p>
            <w:pPr>
              <w:spacing w:after="0"/>
              <w:rPr>
                <w:sz w:val="17"/>
                <w:szCs w:val="17"/>
                <w:color w:val="auto"/>
              </w:rPr>
            </w:pPr>
          </w:p>
        </w:tc>
      </w:tr>
      <w:tr>
        <w:trPr>
          <w:trHeight w:val="208"/>
        </w:trPr>
        <w:tc>
          <w:tcPr>
            <w:tcW w:w="836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412,354</w:t>
            </w: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B6B6B6"/>
            </w:tcBorders>
          </w:tcPr>
          <w:p>
            <w:pPr>
              <w:jc w:val="right"/>
              <w:ind w:right="22"/>
              <w:spacing w:after="0"/>
              <w:rPr>
                <w:sz w:val="20"/>
                <w:szCs w:val="20"/>
                <w:color w:val="auto"/>
              </w:rPr>
            </w:pPr>
            <w:r>
              <w:rPr>
                <w:rFonts w:ascii="Arial" w:cs="Arial" w:eastAsia="Arial" w:hAnsi="Arial"/>
                <w:sz w:val="16"/>
                <w:szCs w:val="16"/>
                <w:color w:val="auto"/>
              </w:rPr>
              <w:t>443,424</w:t>
            </w:r>
          </w:p>
        </w:tc>
      </w:tr>
      <w:tr>
        <w:trPr>
          <w:trHeight w:val="210"/>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spacing w:after="0"/>
              <w:rPr>
                <w:sz w:val="18"/>
                <w:szCs w:val="18"/>
                <w:color w:val="auto"/>
              </w:rPr>
            </w:pPr>
          </w:p>
        </w:tc>
      </w:tr>
      <w:tr>
        <w:trPr>
          <w:trHeight w:val="208"/>
        </w:trPr>
        <w:tc>
          <w:tcPr>
            <w:tcW w:w="8360" w:type="dxa"/>
            <w:vAlign w:val="bottom"/>
            <w:tcBorders>
              <w:left w:val="single" w:sz="8" w:color="B6B6B6"/>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133,708</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ind w:right="22"/>
              <w:spacing w:after="0"/>
              <w:rPr>
                <w:sz w:val="20"/>
                <w:szCs w:val="20"/>
                <w:color w:val="auto"/>
              </w:rPr>
            </w:pPr>
            <w:r>
              <w:rPr>
                <w:rFonts w:ascii="Arial" w:cs="Arial" w:eastAsia="Arial" w:hAnsi="Arial"/>
                <w:sz w:val="16"/>
                <w:szCs w:val="16"/>
                <w:color w:val="auto"/>
              </w:rPr>
              <w:t>114,972</w:t>
            </w:r>
          </w:p>
        </w:tc>
      </w:tr>
      <w:tr>
        <w:trPr>
          <w:trHeight w:val="210"/>
        </w:trPr>
        <w:tc>
          <w:tcPr>
            <w:tcW w:w="8360" w:type="dxa"/>
            <w:vAlign w:val="bottom"/>
            <w:tcBorders>
              <w:left w:val="single" w:sz="8" w:color="B6B6B6"/>
            </w:tcBorders>
            <w:shd w:val="clear" w:color="auto" w:fill="CCEEFF"/>
          </w:tcPr>
          <w:p>
            <w:pPr>
              <w:ind w:left="140"/>
              <w:spacing w:after="0"/>
              <w:rPr>
                <w:sz w:val="20"/>
                <w:szCs w:val="20"/>
                <w:color w:val="auto"/>
              </w:rPr>
            </w:pPr>
            <w:r>
              <w:rPr>
                <w:rFonts w:ascii="Arial" w:cs="Arial" w:eastAsia="Arial" w:hAnsi="Arial"/>
                <w:sz w:val="16"/>
                <w:szCs w:val="16"/>
                <w:color w:val="auto"/>
              </w:rPr>
              <w:t>Amortization of lease right-of-use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24,269</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23,152</w:t>
            </w:r>
          </w:p>
        </w:tc>
      </w:tr>
      <w:tr>
        <w:trPr>
          <w:trHeight w:val="208"/>
        </w:trPr>
        <w:tc>
          <w:tcPr>
            <w:tcW w:w="8360" w:type="dxa"/>
            <w:vAlign w:val="bottom"/>
            <w:tcBorders>
              <w:left w:val="single" w:sz="8" w:color="B6B6B6"/>
            </w:tcBorders>
          </w:tcPr>
          <w:p>
            <w:pPr>
              <w:ind w:left="1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61,541</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ind w:right="22"/>
              <w:spacing w:after="0"/>
              <w:rPr>
                <w:sz w:val="20"/>
                <w:szCs w:val="20"/>
                <w:color w:val="auto"/>
              </w:rPr>
            </w:pPr>
            <w:r>
              <w:rPr>
                <w:rFonts w:ascii="Arial" w:cs="Arial" w:eastAsia="Arial" w:hAnsi="Arial"/>
                <w:sz w:val="16"/>
                <w:szCs w:val="16"/>
                <w:color w:val="auto"/>
              </w:rPr>
              <w:t>47,154</w:t>
            </w:r>
          </w:p>
        </w:tc>
      </w:tr>
      <w:tr>
        <w:trPr>
          <w:trHeight w:val="210"/>
        </w:trPr>
        <w:tc>
          <w:tcPr>
            <w:tcW w:w="8360" w:type="dxa"/>
            <w:vAlign w:val="bottom"/>
            <w:tcBorders>
              <w:left w:val="single" w:sz="8" w:color="B6B6B6"/>
            </w:tcBorders>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20,808</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3,154</w:t>
            </w:r>
          </w:p>
        </w:tc>
      </w:tr>
      <w:tr>
        <w:trPr>
          <w:trHeight w:val="208"/>
        </w:trPr>
        <w:tc>
          <w:tcPr>
            <w:tcW w:w="8360" w:type="dxa"/>
            <w:vAlign w:val="bottom"/>
            <w:tcBorders>
              <w:left w:val="single" w:sz="8" w:color="B6B6B6"/>
            </w:tcBorders>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14,436</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ind w:right="22"/>
              <w:spacing w:after="0"/>
              <w:rPr>
                <w:sz w:val="20"/>
                <w:szCs w:val="20"/>
                <w:color w:val="auto"/>
              </w:rPr>
            </w:pPr>
            <w:r>
              <w:rPr>
                <w:rFonts w:ascii="Arial" w:cs="Arial" w:eastAsia="Arial" w:hAnsi="Arial"/>
                <w:sz w:val="16"/>
                <w:szCs w:val="16"/>
                <w:color w:val="auto"/>
              </w:rPr>
              <w:t>7,428</w:t>
            </w:r>
          </w:p>
        </w:tc>
      </w:tr>
      <w:tr>
        <w:trPr>
          <w:trHeight w:val="210"/>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 net of effects of acquisitions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spacing w:after="0"/>
              <w:rPr>
                <w:sz w:val="18"/>
                <w:szCs w:val="18"/>
                <w:color w:val="auto"/>
              </w:rPr>
            </w:pPr>
          </w:p>
        </w:tc>
      </w:tr>
      <w:tr>
        <w:trPr>
          <w:trHeight w:val="208"/>
        </w:trPr>
        <w:tc>
          <w:tcPr>
            <w:tcW w:w="8360" w:type="dxa"/>
            <w:vAlign w:val="bottom"/>
            <w:tcBorders>
              <w:left w:val="single" w:sz="8" w:color="B6B6B6"/>
            </w:tcBorders>
          </w:tcPr>
          <w:p>
            <w:pPr>
              <w:ind w:left="1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(24,376)</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(41,492)</w:t>
            </w:r>
          </w:p>
        </w:tc>
      </w:tr>
      <w:tr>
        <w:trPr>
          <w:trHeight w:val="210"/>
        </w:trPr>
        <w:tc>
          <w:tcPr>
            <w:tcW w:w="8360" w:type="dxa"/>
            <w:vAlign w:val="bottom"/>
            <w:tcBorders>
              <w:left w:val="single" w:sz="8" w:color="B6B6B6"/>
            </w:tcBorders>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6,699</w:t>
            </w:r>
          </w:p>
        </w:tc>
      </w:tr>
      <w:tr>
        <w:trPr>
          <w:trHeight w:val="208"/>
        </w:trPr>
        <w:tc>
          <w:tcPr>
            <w:tcW w:w="8360" w:type="dxa"/>
            <w:vAlign w:val="bottom"/>
            <w:tcBorders>
              <w:left w:val="single" w:sz="8" w:color="B6B6B6"/>
            </w:tcBorders>
          </w:tcPr>
          <w:p>
            <w:pPr>
              <w:ind w:left="14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22,793</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(49,717)</w:t>
            </w:r>
          </w:p>
        </w:tc>
      </w:tr>
      <w:tr>
        <w:trPr>
          <w:trHeight w:val="210"/>
        </w:trPr>
        <w:tc>
          <w:tcPr>
            <w:tcW w:w="8360" w:type="dxa"/>
            <w:vAlign w:val="bottom"/>
            <w:tcBorders>
              <w:left w:val="single" w:sz="8" w:color="B6B6B6"/>
            </w:tcBorders>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7,541</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3,789</w:t>
            </w:r>
          </w:p>
        </w:tc>
      </w:tr>
      <w:tr>
        <w:trPr>
          <w:trHeight w:val="208"/>
        </w:trPr>
        <w:tc>
          <w:tcPr>
            <w:tcW w:w="8360" w:type="dxa"/>
            <w:vAlign w:val="bottom"/>
            <w:tcBorders>
              <w:left w:val="single" w:sz="8" w:color="B6B6B6"/>
            </w:tcBorders>
          </w:tcPr>
          <w:p>
            <w:pPr>
              <w:ind w:left="140"/>
              <w:spacing w:after="0"/>
              <w:rPr>
                <w:sz w:val="20"/>
                <w:szCs w:val="20"/>
                <w:color w:val="auto"/>
              </w:rPr>
            </w:pPr>
            <w:r>
              <w:rPr>
                <w:rFonts w:ascii="Arial" w:cs="Arial" w:eastAsia="Arial" w:hAnsi="Arial"/>
                <w:sz w:val="16"/>
                <w:szCs w:val="16"/>
                <w:color w:val="auto"/>
              </w:rPr>
              <w:t>Deferred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15,030</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ind w:right="22"/>
              <w:spacing w:after="0"/>
              <w:rPr>
                <w:sz w:val="20"/>
                <w:szCs w:val="20"/>
                <w:color w:val="auto"/>
              </w:rPr>
            </w:pPr>
            <w:r>
              <w:rPr>
                <w:rFonts w:ascii="Arial" w:cs="Arial" w:eastAsia="Arial" w:hAnsi="Arial"/>
                <w:sz w:val="16"/>
                <w:szCs w:val="16"/>
                <w:color w:val="auto"/>
              </w:rPr>
              <w:t>4,955</w:t>
            </w:r>
          </w:p>
        </w:tc>
      </w:tr>
      <w:tr>
        <w:trPr>
          <w:trHeight w:val="210"/>
        </w:trPr>
        <w:tc>
          <w:tcPr>
            <w:tcW w:w="8360" w:type="dxa"/>
            <w:vAlign w:val="bottom"/>
            <w:tcBorders>
              <w:left w:val="single" w:sz="8" w:color="B6B6B6"/>
            </w:tcBorders>
            <w:shd w:val="clear" w:color="auto" w:fill="CCEEFF"/>
          </w:tcPr>
          <w:p>
            <w:pPr>
              <w:ind w:left="140"/>
              <w:spacing w:after="0"/>
              <w:rPr>
                <w:sz w:val="20"/>
                <w:szCs w:val="20"/>
                <w:color w:val="auto"/>
              </w:rPr>
            </w:pPr>
            <w:r>
              <w:rPr>
                <w:rFonts w:ascii="Arial" w:cs="Arial" w:eastAsia="Arial" w:hAnsi="Arial"/>
                <w:sz w:val="16"/>
                <w:szCs w:val="16"/>
                <w:color w:val="auto"/>
              </w:rPr>
              <w:t>Taxes payable, net of prepaid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(36,320)</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(19,108)</w:t>
            </w:r>
          </w:p>
        </w:tc>
      </w:tr>
      <w:tr>
        <w:trPr>
          <w:trHeight w:val="208"/>
        </w:trPr>
        <w:tc>
          <w:tcPr>
            <w:tcW w:w="8360" w:type="dxa"/>
            <w:vAlign w:val="bottom"/>
            <w:tcBorders>
              <w:left w:val="single" w:sz="8" w:color="B6B6B6"/>
              <w:bottom w:val="single" w:sz="8" w:color="CCEEFF"/>
            </w:tcBorders>
          </w:tcPr>
          <w:p>
            <w:pPr>
              <w:ind w:left="140"/>
              <w:spacing w:after="0"/>
              <w:rPr>
                <w:sz w:val="20"/>
                <w:szCs w:val="20"/>
                <w:color w:val="auto"/>
              </w:rPr>
            </w:pPr>
            <w:r>
              <w:rPr>
                <w:rFonts w:ascii="Arial" w:cs="Arial" w:eastAsia="Arial" w:hAnsi="Arial"/>
                <w:sz w:val="16"/>
                <w:szCs w:val="16"/>
                <w:color w:val="auto"/>
              </w:rPr>
              <w:t>Lease liabilities,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(30,533)</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B6B6B6"/>
            </w:tcBorders>
          </w:tcPr>
          <w:p>
            <w:pPr>
              <w:jc w:val="right"/>
              <w:spacing w:after="0"/>
              <w:rPr>
                <w:sz w:val="20"/>
                <w:szCs w:val="20"/>
                <w:color w:val="auto"/>
              </w:rPr>
            </w:pPr>
            <w:r>
              <w:rPr>
                <w:rFonts w:ascii="Arial" w:cs="Arial" w:eastAsia="Arial" w:hAnsi="Arial"/>
                <w:sz w:val="16"/>
                <w:szCs w:val="16"/>
                <w:color w:val="auto"/>
              </w:rPr>
              <w:t>(30,250)</w:t>
            </w:r>
          </w:p>
        </w:tc>
      </w:tr>
      <w:tr>
        <w:trPr>
          <w:trHeight w:val="202"/>
        </w:trPr>
        <w:tc>
          <w:tcPr>
            <w:tcW w:w="8360" w:type="dxa"/>
            <w:vAlign w:val="bottom"/>
            <w:tcBorders>
              <w:left w:val="single" w:sz="8" w:color="B6B6B6"/>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617,492</w:t>
            </w: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514,160</w:t>
            </w:r>
          </w:p>
        </w:tc>
      </w:tr>
      <w:tr>
        <w:trPr>
          <w:trHeight w:val="138"/>
        </w:trPr>
        <w:tc>
          <w:tcPr>
            <w:tcW w:w="8360" w:type="dxa"/>
            <w:vAlign w:val="bottom"/>
            <w:tcBorders>
              <w:left w:val="single" w:sz="8" w:color="B6B6B6"/>
            </w:tcBorders>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Borders>
              <w:right w:val="single" w:sz="8" w:color="B6B6B6"/>
            </w:tcBorders>
          </w:tcPr>
          <w:p>
            <w:pPr>
              <w:spacing w:after="0"/>
              <w:rPr>
                <w:sz w:val="11"/>
                <w:szCs w:val="11"/>
                <w:color w:val="auto"/>
              </w:rPr>
            </w:pPr>
          </w:p>
        </w:tc>
      </w:tr>
      <w:tr>
        <w:trPr>
          <w:trHeight w:val="209"/>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spacing w:after="0"/>
              <w:rPr>
                <w:sz w:val="18"/>
                <w:szCs w:val="18"/>
                <w:color w:val="auto"/>
              </w:rPr>
            </w:pPr>
          </w:p>
        </w:tc>
      </w:tr>
      <w:tr>
        <w:trPr>
          <w:trHeight w:val="228"/>
        </w:trPr>
        <w:tc>
          <w:tcPr>
            <w:tcW w:w="836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Purchases of property, equipment, leasehold improvements and capitalized internal-use software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(87,319)</w:t>
            </w:r>
          </w:p>
        </w:tc>
        <w:tc>
          <w:tcPr>
            <w:tcW w:w="420" w:type="dxa"/>
            <w:vAlign w:val="bottom"/>
          </w:tcPr>
          <w:p>
            <w:pPr>
              <w:spacing w:after="0"/>
              <w:rPr>
                <w:sz w:val="19"/>
                <w:szCs w:val="19"/>
                <w:color w:val="auto"/>
              </w:rPr>
            </w:pPr>
          </w:p>
        </w:tc>
        <w:tc>
          <w:tcPr>
            <w:tcW w:w="106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(74,840)</w:t>
            </w:r>
          </w:p>
        </w:tc>
      </w:tr>
      <w:tr>
        <w:trPr>
          <w:trHeight w:val="243"/>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Acquisition of businesses, net of cash and cash equivalents acquired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106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(348,255)</w:t>
            </w:r>
          </w:p>
        </w:tc>
      </w:tr>
      <w:tr>
        <w:trPr>
          <w:trHeight w:val="208"/>
        </w:trPr>
        <w:tc>
          <w:tcPr>
            <w:tcW w:w="836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Purchases of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(18,086)</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(4,433)</w:t>
            </w:r>
          </w:p>
        </w:tc>
      </w:tr>
      <w:tr>
        <w:trPr>
          <w:trHeight w:val="236"/>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Proceeds from maturity or sale of investments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36,050</w:t>
            </w: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58,155</w:t>
            </w:r>
          </w:p>
        </w:tc>
      </w:tr>
      <w:tr>
        <w:trPr>
          <w:trHeight w:val="201"/>
        </w:trPr>
        <w:tc>
          <w:tcPr>
            <w:tcW w:w="8360" w:type="dxa"/>
            <w:vAlign w:val="bottom"/>
            <w:tcBorders>
              <w:left w:val="single" w:sz="8" w:color="B6B6B6"/>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(69,355)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B6B6B6"/>
            </w:tcBorders>
          </w:tcPr>
          <w:p>
            <w:pPr>
              <w:jc w:val="right"/>
              <w:spacing w:after="0"/>
              <w:rPr>
                <w:sz w:val="20"/>
                <w:szCs w:val="20"/>
                <w:color w:val="auto"/>
              </w:rPr>
            </w:pPr>
            <w:r>
              <w:rPr>
                <w:rFonts w:ascii="Arial" w:cs="Arial" w:eastAsia="Arial" w:hAnsi="Arial"/>
                <w:sz w:val="16"/>
                <w:szCs w:val="16"/>
                <w:color w:val="auto"/>
              </w:rPr>
              <w:t>(369,373)</w:t>
            </w:r>
          </w:p>
        </w:tc>
      </w:tr>
      <w:tr>
        <w:trPr>
          <w:trHeight w:val="86"/>
        </w:trPr>
        <w:tc>
          <w:tcPr>
            <w:tcW w:w="8360" w:type="dxa"/>
            <w:vAlign w:val="bottom"/>
            <w:tcBorders>
              <w:left w:val="single" w:sz="8" w:color="B6B6B6"/>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60" w:type="dxa"/>
            <w:vAlign w:val="bottom"/>
            <w:tcBorders>
              <w:right w:val="single" w:sz="8" w:color="B6B6B6"/>
            </w:tcBorders>
            <w:shd w:val="clear" w:color="auto" w:fill="CCEEFF"/>
          </w:tcPr>
          <w:p>
            <w:pPr>
              <w:spacing w:after="0"/>
              <w:rPr>
                <w:sz w:val="7"/>
                <w:szCs w:val="7"/>
                <w:color w:val="auto"/>
              </w:rPr>
            </w:pPr>
          </w:p>
        </w:tc>
      </w:tr>
      <w:tr>
        <w:trPr>
          <w:trHeight w:val="209"/>
        </w:trPr>
        <w:tc>
          <w:tcPr>
            <w:tcW w:w="8360" w:type="dxa"/>
            <w:vAlign w:val="bottom"/>
            <w:tcBorders>
              <w:left w:val="single" w:sz="8" w:color="B6B6B6"/>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Borders>
              <w:right w:val="single" w:sz="8" w:color="B6B6B6"/>
            </w:tcBorders>
          </w:tcPr>
          <w:p>
            <w:pPr>
              <w:spacing w:after="0"/>
              <w:rPr>
                <w:sz w:val="18"/>
                <w:szCs w:val="18"/>
                <w:color w:val="auto"/>
              </w:rPr>
            </w:pPr>
          </w:p>
        </w:tc>
      </w:tr>
      <w:tr>
        <w:trPr>
          <w:trHeight w:val="209"/>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Proceeds from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803,410</w:t>
            </w:r>
          </w:p>
        </w:tc>
      </w:tr>
      <w:tr>
        <w:trPr>
          <w:trHeight w:val="208"/>
        </w:trPr>
        <w:tc>
          <w:tcPr>
            <w:tcW w:w="836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Repayments of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(75,000)</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(742,500)</w:t>
            </w:r>
          </w:p>
        </w:tc>
      </w:tr>
      <w:tr>
        <w:trPr>
          <w:trHeight w:val="210"/>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Dividend payments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(122,684)</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(118,329)</w:t>
            </w:r>
          </w:p>
        </w:tc>
      </w:tr>
      <w:tr>
        <w:trPr>
          <w:trHeight w:val="208"/>
        </w:trPr>
        <w:tc>
          <w:tcPr>
            <w:tcW w:w="836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Proceeds from employee stock plans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27,534</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ind w:right="22"/>
              <w:spacing w:after="0"/>
              <w:rPr>
                <w:sz w:val="20"/>
                <w:szCs w:val="20"/>
                <w:color w:val="auto"/>
              </w:rPr>
            </w:pPr>
            <w:r>
              <w:rPr>
                <w:rFonts w:ascii="Arial" w:cs="Arial" w:eastAsia="Arial" w:hAnsi="Arial"/>
                <w:sz w:val="16"/>
                <w:szCs w:val="16"/>
                <w:color w:val="auto"/>
              </w:rPr>
              <w:t>72,616</w:t>
            </w:r>
          </w:p>
        </w:tc>
      </w:tr>
      <w:tr>
        <w:trPr>
          <w:trHeight w:val="210"/>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Repurchases of common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(506,000)</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(193,838)</w:t>
            </w:r>
          </w:p>
        </w:tc>
      </w:tr>
      <w:tr>
        <w:trPr>
          <w:trHeight w:val="208"/>
        </w:trPr>
        <w:tc>
          <w:tcPr>
            <w:tcW w:w="836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Deferred acquisition consideration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(16,176)</w:t>
            </w:r>
          </w:p>
        </w:tc>
        <w:tc>
          <w:tcPr>
            <w:tcW w:w="420" w:type="dxa"/>
            <w:vAlign w:val="bottom"/>
          </w:tcPr>
          <w:p>
            <w:pPr>
              <w:spacing w:after="0"/>
              <w:rPr>
                <w:sz w:val="18"/>
                <w:szCs w:val="18"/>
                <w:color w:val="auto"/>
              </w:rPr>
            </w:pPr>
          </w:p>
        </w:tc>
        <w:tc>
          <w:tcPr>
            <w:tcW w:w="106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(4,699)</w:t>
            </w:r>
          </w:p>
        </w:tc>
      </w:tr>
      <w:tr>
        <w:trPr>
          <w:trHeight w:val="210"/>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(15,987)</w:t>
            </w:r>
          </w:p>
        </w:tc>
      </w:tr>
      <w:tr>
        <w:trPr>
          <w:trHeight w:val="201"/>
        </w:trPr>
        <w:tc>
          <w:tcPr>
            <w:tcW w:w="8360" w:type="dxa"/>
            <w:vAlign w:val="bottom"/>
            <w:tcBorders>
              <w:left w:val="single" w:sz="8" w:color="B6B6B6"/>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(603,744)</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B6B6B6"/>
            </w:tcBorders>
          </w:tcPr>
          <w:p>
            <w:pPr>
              <w:jc w:val="right"/>
              <w:spacing w:after="0"/>
              <w:rPr>
                <w:sz w:val="20"/>
                <w:szCs w:val="20"/>
                <w:color w:val="auto"/>
              </w:rPr>
            </w:pPr>
            <w:r>
              <w:rPr>
                <w:rFonts w:ascii="Arial" w:cs="Arial" w:eastAsia="Arial" w:hAnsi="Arial"/>
                <w:sz w:val="16"/>
                <w:szCs w:val="16"/>
                <w:color w:val="auto"/>
              </w:rPr>
              <w:t>(199,327)</w:t>
            </w:r>
          </w:p>
        </w:tc>
      </w:tr>
      <w:tr>
        <w:trPr>
          <w:trHeight w:val="86"/>
        </w:trPr>
        <w:tc>
          <w:tcPr>
            <w:tcW w:w="8360" w:type="dxa"/>
            <w:vAlign w:val="bottom"/>
            <w:tcBorders>
              <w:left w:val="single" w:sz="8" w:color="B6B6B6"/>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60" w:type="dxa"/>
            <w:vAlign w:val="bottom"/>
            <w:tcBorders>
              <w:right w:val="single" w:sz="8" w:color="B6B6B6"/>
            </w:tcBorders>
            <w:shd w:val="clear" w:color="auto" w:fill="CCEEFF"/>
          </w:tcPr>
          <w:p>
            <w:pPr>
              <w:spacing w:after="0"/>
              <w:rPr>
                <w:sz w:val="7"/>
                <w:szCs w:val="7"/>
                <w:color w:val="auto"/>
              </w:rPr>
            </w:pPr>
          </w:p>
        </w:tc>
      </w:tr>
      <w:tr>
        <w:trPr>
          <w:trHeight w:val="208"/>
        </w:trPr>
        <w:tc>
          <w:tcPr>
            <w:tcW w:w="8360" w:type="dxa"/>
            <w:vAlign w:val="bottom"/>
            <w:tcBorders>
              <w:left w:val="single" w:sz="8" w:color="B6B6B6"/>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B6B6B6"/>
            </w:tcBorders>
          </w:tcPr>
          <w:p>
            <w:pPr>
              <w:jc w:val="right"/>
              <w:ind w:right="22"/>
              <w:spacing w:after="0"/>
              <w:rPr>
                <w:sz w:val="20"/>
                <w:szCs w:val="20"/>
                <w:color w:val="auto"/>
              </w:rPr>
            </w:pPr>
            <w:r>
              <w:rPr>
                <w:rFonts w:ascii="Arial" w:cs="Arial" w:eastAsia="Arial" w:hAnsi="Arial"/>
                <w:sz w:val="16"/>
                <w:szCs w:val="16"/>
                <w:color w:val="auto"/>
              </w:rPr>
              <w:t>1,966</w:t>
            </w:r>
          </w:p>
        </w:tc>
      </w:tr>
      <w:tr>
        <w:trPr>
          <w:trHeight w:val="203"/>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(57,285)</w:t>
            </w:r>
          </w:p>
        </w:tc>
        <w:tc>
          <w:tcPr>
            <w:tcW w:w="420" w:type="dxa"/>
            <w:vAlign w:val="bottom"/>
            <w:shd w:val="clear" w:color="auto" w:fill="CCEEFF"/>
          </w:tcPr>
          <w:p>
            <w:pPr>
              <w:spacing w:after="0"/>
              <w:rPr>
                <w:sz w:val="17"/>
                <w:szCs w:val="17"/>
                <w:color w:val="auto"/>
              </w:rPr>
            </w:pPr>
          </w:p>
        </w:tc>
        <w:tc>
          <w:tcPr>
            <w:tcW w:w="106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(52,574)</w:t>
            </w:r>
          </w:p>
        </w:tc>
      </w:tr>
      <w:tr>
        <w:trPr>
          <w:trHeight w:val="208"/>
        </w:trPr>
        <w:tc>
          <w:tcPr>
            <w:tcW w:w="8360" w:type="dxa"/>
            <w:vAlign w:val="bottom"/>
            <w:tcBorders>
              <w:left w:val="single" w:sz="8" w:color="B6B6B6"/>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6D6D6D"/>
            </w:tcBorders>
          </w:tcPr>
          <w:p>
            <w:pPr>
              <w:spacing w:after="0"/>
              <w:rPr>
                <w:sz w:val="18"/>
                <w:szCs w:val="18"/>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351,695</w:t>
            </w:r>
          </w:p>
        </w:tc>
        <w:tc>
          <w:tcPr>
            <w:tcW w:w="420" w:type="dxa"/>
            <w:vAlign w:val="bottom"/>
            <w:tcBorders>
              <w:bottom w:val="single" w:sz="8" w:color="6D6D6D"/>
            </w:tcBorders>
          </w:tcPr>
          <w:p>
            <w:pPr>
              <w:spacing w:after="0"/>
              <w:rPr>
                <w:sz w:val="18"/>
                <w:szCs w:val="18"/>
                <w:color w:val="auto"/>
              </w:rPr>
            </w:pPr>
          </w:p>
        </w:tc>
        <w:tc>
          <w:tcPr>
            <w:tcW w:w="1060" w:type="dxa"/>
            <w:vAlign w:val="bottom"/>
            <w:tcBorders>
              <w:bottom w:val="single" w:sz="8" w:color="6D6D6D"/>
              <w:right w:val="single" w:sz="8" w:color="B6B6B6"/>
            </w:tcBorders>
          </w:tcPr>
          <w:p>
            <w:pPr>
              <w:jc w:val="right"/>
              <w:ind w:right="22"/>
              <w:spacing w:after="0"/>
              <w:rPr>
                <w:sz w:val="20"/>
                <w:szCs w:val="20"/>
                <w:color w:val="auto"/>
              </w:rPr>
            </w:pPr>
            <w:r>
              <w:rPr>
                <w:rFonts w:ascii="Arial" w:cs="Arial" w:eastAsia="Arial" w:hAnsi="Arial"/>
                <w:sz w:val="16"/>
                <w:szCs w:val="16"/>
                <w:color w:val="auto"/>
              </w:rPr>
              <w:t>422,979</w:t>
            </w:r>
          </w:p>
        </w:tc>
      </w:tr>
      <w:tr>
        <w:trPr>
          <w:trHeight w:val="227"/>
        </w:trPr>
        <w:tc>
          <w:tcPr>
            <w:tcW w:w="8360" w:type="dxa"/>
            <w:vAlign w:val="bottom"/>
            <w:tcBorders>
              <w:left w:val="single" w:sz="8" w:color="B6B6B6"/>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20" w:type="dxa"/>
            <w:vAlign w:val="bottom"/>
            <w:tcBorders>
              <w:bottom w:val="single" w:sz="8" w:color="6D6D6D"/>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auto"/>
              </w:rPr>
              <w:t>294,410</w:t>
            </w:r>
          </w:p>
        </w:tc>
        <w:tc>
          <w:tcPr>
            <w:tcW w:w="420" w:type="dxa"/>
            <w:vAlign w:val="bottom"/>
            <w:tcBorders>
              <w:bottom w:val="single" w:sz="8" w:color="6D6D6D"/>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6D6D6D"/>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370,405</w:t>
            </w:r>
          </w:p>
        </w:tc>
      </w:tr>
      <w:tr>
        <w:trPr>
          <w:trHeight w:val="72"/>
        </w:trPr>
        <w:tc>
          <w:tcPr>
            <w:tcW w:w="8360" w:type="dxa"/>
            <w:vAlign w:val="bottom"/>
            <w:tcBorders>
              <w:top w:val="single" w:sz="8" w:color="CCEEFF"/>
              <w:left w:val="single" w:sz="8" w:color="B6B6B6"/>
            </w:tcBorders>
          </w:tcPr>
          <w:p>
            <w:pPr>
              <w:spacing w:after="0"/>
              <w:rPr>
                <w:sz w:val="6"/>
                <w:szCs w:val="6"/>
                <w:color w:val="auto"/>
              </w:rPr>
            </w:pPr>
          </w:p>
        </w:tc>
        <w:tc>
          <w:tcPr>
            <w:tcW w:w="320" w:type="dxa"/>
            <w:vAlign w:val="bottom"/>
            <w:tcBorders>
              <w:top w:val="single" w:sz="8" w:color="CCEEFF"/>
              <w:bottom w:val="single" w:sz="8" w:color="6D6D6D"/>
            </w:tcBorders>
          </w:tcPr>
          <w:p>
            <w:pPr>
              <w:spacing w:after="0"/>
              <w:rPr>
                <w:sz w:val="6"/>
                <w:szCs w:val="6"/>
                <w:color w:val="auto"/>
              </w:rPr>
            </w:pPr>
          </w:p>
        </w:tc>
        <w:tc>
          <w:tcPr>
            <w:tcW w:w="1100" w:type="dxa"/>
            <w:vAlign w:val="bottom"/>
            <w:tcBorders>
              <w:top w:val="single" w:sz="8" w:color="CCEEFF"/>
              <w:bottom w:val="single" w:sz="8" w:color="6D6D6D"/>
            </w:tcBorders>
          </w:tcPr>
          <w:p>
            <w:pPr>
              <w:spacing w:after="0"/>
              <w:rPr>
                <w:sz w:val="6"/>
                <w:szCs w:val="6"/>
                <w:color w:val="auto"/>
              </w:rPr>
            </w:pPr>
          </w:p>
        </w:tc>
        <w:tc>
          <w:tcPr>
            <w:tcW w:w="420" w:type="dxa"/>
            <w:vAlign w:val="bottom"/>
            <w:tcBorders>
              <w:top w:val="single" w:sz="8" w:color="CCEEFF"/>
              <w:bottom w:val="single" w:sz="8" w:color="6D6D6D"/>
            </w:tcBorders>
          </w:tcPr>
          <w:p>
            <w:pPr>
              <w:spacing w:after="0"/>
              <w:rPr>
                <w:sz w:val="6"/>
                <w:szCs w:val="6"/>
                <w:color w:val="auto"/>
              </w:rPr>
            </w:pPr>
          </w:p>
        </w:tc>
        <w:tc>
          <w:tcPr>
            <w:tcW w:w="1060" w:type="dxa"/>
            <w:vAlign w:val="bottom"/>
            <w:tcBorders>
              <w:top w:val="single" w:sz="8" w:color="CCEEFF"/>
              <w:bottom w:val="single" w:sz="8" w:color="6D6D6D"/>
            </w:tcBorders>
          </w:tcPr>
          <w:p>
            <w:pPr>
              <w:spacing w:after="0"/>
              <w:rPr>
                <w:sz w:val="6"/>
                <w:szCs w:val="6"/>
                <w:color w:val="auto"/>
              </w:rPr>
            </w:pPr>
          </w:p>
        </w:tc>
      </w:tr>
      <w:tr>
        <w:trPr>
          <w:trHeight w:val="209"/>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total cash, cash equivalents and restricted cash:</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spacing w:after="0"/>
              <w:rPr>
                <w:sz w:val="18"/>
                <w:szCs w:val="18"/>
                <w:color w:val="auto"/>
              </w:rPr>
            </w:pPr>
          </w:p>
        </w:tc>
      </w:tr>
      <w:tr>
        <w:trPr>
          <w:trHeight w:val="208"/>
        </w:trPr>
        <w:tc>
          <w:tcPr>
            <w:tcW w:w="836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288,114</w:t>
            </w: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B6B6B6"/>
            </w:tcBorders>
          </w:tcPr>
          <w:p>
            <w:pPr>
              <w:jc w:val="right"/>
              <w:ind w:right="22"/>
              <w:spacing w:after="0"/>
              <w:rPr>
                <w:sz w:val="20"/>
                <w:szCs w:val="20"/>
                <w:color w:val="auto"/>
              </w:rPr>
            </w:pPr>
            <w:r>
              <w:rPr>
                <w:rFonts w:ascii="Arial" w:cs="Arial" w:eastAsia="Arial" w:hAnsi="Arial"/>
                <w:sz w:val="16"/>
                <w:szCs w:val="16"/>
                <w:color w:val="auto"/>
              </w:rPr>
              <w:t>356,361</w:t>
            </w:r>
          </w:p>
        </w:tc>
      </w:tr>
      <w:tr>
        <w:trPr>
          <w:trHeight w:val="210"/>
        </w:trPr>
        <w:tc>
          <w:tcPr>
            <w:tcW w:w="836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Restricted cash included in Prepaid expenses and other 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w:t>
            </w:r>
          </w:p>
        </w:tc>
        <w:tc>
          <w:tcPr>
            <w:tcW w:w="420" w:type="dxa"/>
            <w:vAlign w:val="bottom"/>
            <w:shd w:val="clear" w:color="auto" w:fill="CCEEFF"/>
          </w:tcPr>
          <w:p>
            <w:pPr>
              <w:spacing w:after="0"/>
              <w:rPr>
                <w:sz w:val="18"/>
                <w:szCs w:val="18"/>
                <w:color w:val="auto"/>
              </w:rPr>
            </w:pPr>
          </w:p>
        </w:tc>
        <w:tc>
          <w:tcPr>
            <w:tcW w:w="1060" w:type="dxa"/>
            <w:vAlign w:val="bottom"/>
            <w:tcBorders>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6,522</w:t>
            </w:r>
          </w:p>
        </w:tc>
      </w:tr>
      <w:tr>
        <w:trPr>
          <w:trHeight w:val="208"/>
        </w:trPr>
        <w:tc>
          <w:tcPr>
            <w:tcW w:w="8360" w:type="dxa"/>
            <w:vAlign w:val="bottom"/>
            <w:tcBorders>
              <w:left w:val="single" w:sz="8" w:color="B6B6B6"/>
              <w:bottom w:val="single" w:sz="8" w:color="CCEEFF"/>
            </w:tcBorders>
          </w:tcPr>
          <w:p>
            <w:pPr>
              <w:ind w:left="40"/>
              <w:spacing w:after="0"/>
              <w:rPr>
                <w:sz w:val="20"/>
                <w:szCs w:val="20"/>
                <w:color w:val="auto"/>
              </w:rPr>
            </w:pPr>
            <w:r>
              <w:rPr>
                <w:rFonts w:ascii="Arial" w:cs="Arial" w:eastAsia="Arial" w:hAnsi="Arial"/>
                <w:sz w:val="16"/>
                <w:szCs w:val="16"/>
                <w:color w:val="auto"/>
              </w:rPr>
              <w:t>Restricted cash included in Other assets</w:t>
            </w:r>
          </w:p>
        </w:tc>
        <w:tc>
          <w:tcPr>
            <w:tcW w:w="320" w:type="dxa"/>
            <w:vAlign w:val="bottom"/>
            <w:tcBorders>
              <w:bottom w:val="single" w:sz="8" w:color="6D6D6D"/>
            </w:tcBorders>
          </w:tcPr>
          <w:p>
            <w:pPr>
              <w:spacing w:after="0"/>
              <w:rPr>
                <w:sz w:val="18"/>
                <w:szCs w:val="18"/>
                <w:color w:val="auto"/>
              </w:rPr>
            </w:pPr>
          </w:p>
        </w:tc>
        <w:tc>
          <w:tcPr>
            <w:tcW w:w="11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Borders>
              <w:bottom w:val="single" w:sz="8" w:color="6D6D6D"/>
            </w:tcBorders>
          </w:tcPr>
          <w:p>
            <w:pPr>
              <w:spacing w:after="0"/>
              <w:rPr>
                <w:sz w:val="18"/>
                <w:szCs w:val="18"/>
                <w:color w:val="auto"/>
              </w:rPr>
            </w:pPr>
          </w:p>
        </w:tc>
        <w:tc>
          <w:tcPr>
            <w:tcW w:w="1060" w:type="dxa"/>
            <w:vAlign w:val="bottom"/>
            <w:tcBorders>
              <w:bottom w:val="single" w:sz="8" w:color="6D6D6D"/>
              <w:right w:val="single" w:sz="8" w:color="B6B6B6"/>
            </w:tcBorders>
          </w:tcPr>
          <w:p>
            <w:pPr>
              <w:jc w:val="right"/>
              <w:ind w:right="22"/>
              <w:spacing w:after="0"/>
              <w:rPr>
                <w:sz w:val="20"/>
                <w:szCs w:val="20"/>
                <w:color w:val="auto"/>
              </w:rPr>
            </w:pPr>
            <w:r>
              <w:rPr>
                <w:rFonts w:ascii="Arial" w:cs="Arial" w:eastAsia="Arial" w:hAnsi="Arial"/>
                <w:sz w:val="16"/>
                <w:szCs w:val="16"/>
                <w:color w:val="auto"/>
              </w:rPr>
              <w:t>7,522</w:t>
            </w:r>
          </w:p>
        </w:tc>
      </w:tr>
      <w:tr>
        <w:trPr>
          <w:trHeight w:val="202"/>
        </w:trPr>
        <w:tc>
          <w:tcPr>
            <w:tcW w:w="8360" w:type="dxa"/>
            <w:vAlign w:val="bottom"/>
            <w:tcBorders>
              <w:left w:val="single" w:sz="8" w:color="B6B6B6"/>
              <w:bottom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bottom w:val="single" w:sz="8" w:color="B6B6B6"/>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294,410</w:t>
            </w:r>
          </w:p>
        </w:tc>
        <w:tc>
          <w:tcPr>
            <w:tcW w:w="420" w:type="dxa"/>
            <w:vAlign w:val="bottom"/>
            <w:tcBorders>
              <w:bottom w:val="single" w:sz="8" w:color="B6B6B6"/>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6B6B6"/>
              <w:right w:val="single" w:sz="8" w:color="B6B6B6"/>
            </w:tcBorders>
            <w:shd w:val="clear" w:color="auto" w:fill="CCEEFF"/>
          </w:tcPr>
          <w:p>
            <w:pPr>
              <w:jc w:val="right"/>
              <w:ind w:right="22"/>
              <w:spacing w:after="0"/>
              <w:rPr>
                <w:sz w:val="20"/>
                <w:szCs w:val="20"/>
                <w:color w:val="auto"/>
              </w:rPr>
            </w:pPr>
            <w:r>
              <w:rPr>
                <w:rFonts w:ascii="Arial" w:cs="Arial" w:eastAsia="Arial" w:hAnsi="Arial"/>
                <w:sz w:val="16"/>
                <w:szCs w:val="16"/>
                <w:color w:val="auto"/>
              </w:rPr>
              <w:t>370,405</w:t>
            </w: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Certain prior year figures have been conformed to the current year's presentation.</w:t>
      </w:r>
    </w:p>
    <w:p>
      <w:pPr>
        <w:spacing w:after="0" w:line="320" w:lineRule="exact"/>
        <w:rPr>
          <w:sz w:val="20"/>
          <w:szCs w:val="20"/>
          <w:color w:val="auto"/>
        </w:rPr>
      </w:pPr>
    </w:p>
    <w:p>
      <w:pPr>
        <w:ind w:left="11180"/>
        <w:spacing w:after="0"/>
        <w:rPr>
          <w:sz w:val="20"/>
          <w:szCs w:val="20"/>
          <w:color w:val="auto"/>
        </w:rPr>
      </w:pPr>
      <w:r>
        <w:rPr>
          <w:rFonts w:ascii="Arial" w:cs="Arial" w:eastAsia="Arial" w:hAnsi="Arial"/>
          <w:sz w:val="10"/>
          <w:szCs w:val="10"/>
          <w:color w:val="AFAFAF"/>
        </w:rPr>
        <w:t>8</w:t>
      </w:r>
    </w:p>
    <w:p>
      <w:pPr>
        <w:sectPr>
          <w:pgSz w:w="11900" w:h="16838" w:orient="portrait"/>
          <w:cols w:equalWidth="0" w:num="1">
            <w:col w:w="11240"/>
          </w:cols>
          <w:pgMar w:left="320" w:top="969" w:right="33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color w:val="auto"/>
        </w:rPr>
        <w:t>Reconciliation of U.S. GAAP Results to Adjusted Financial Measures</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Organic Revenues</w:t>
      </w:r>
    </w:p>
    <w:p>
      <w:pPr>
        <w:spacing w:after="0" w:line="120"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Organic revenues exclude the current year impact of revenues from acquisitions and the comparable impact of dispositions and discontinued lines of business, effected within the past 12 months and the current year impact of foreign currency movements. The table below provides a reconciliation of revenues to organic revenues: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7620" w:type="dxa"/>
            <w:vAlign w:val="bottom"/>
            <w:tcBorders>
              <w:top w:val="single" w:sz="8" w:color="B6B6B6"/>
              <w:left w:val="single" w:sz="8" w:color="B6B6B6"/>
            </w:tcBorders>
          </w:tcPr>
          <w:p>
            <w:pPr>
              <w:ind w:left="40"/>
              <w:spacing w:after="0"/>
              <w:rPr>
                <w:sz w:val="20"/>
                <w:szCs w:val="20"/>
                <w:color w:val="auto"/>
              </w:rPr>
            </w:pPr>
            <w:r>
              <w:rPr>
                <w:rFonts w:ascii="Arial" w:cs="Arial" w:eastAsia="Arial" w:hAnsi="Arial"/>
                <w:sz w:val="16"/>
                <w:szCs w:val="16"/>
                <w:i w:val="1"/>
                <w:iCs w:val="1"/>
                <w:color w:val="auto"/>
              </w:rPr>
              <w:t>(Unaudited)</w:t>
            </w:r>
          </w:p>
        </w:tc>
        <w:tc>
          <w:tcPr>
            <w:tcW w:w="280" w:type="dxa"/>
            <w:vAlign w:val="bottom"/>
            <w:tcBorders>
              <w:top w:val="single" w:sz="8" w:color="B6B6B6"/>
            </w:tcBorders>
          </w:tcPr>
          <w:p>
            <w:pPr>
              <w:spacing w:after="0"/>
              <w:rPr>
                <w:sz w:val="19"/>
                <w:szCs w:val="19"/>
                <w:color w:val="auto"/>
              </w:rPr>
            </w:pPr>
          </w:p>
        </w:tc>
        <w:tc>
          <w:tcPr>
            <w:tcW w:w="2280" w:type="dxa"/>
            <w:vAlign w:val="bottom"/>
            <w:tcBorders>
              <w:top w:val="single" w:sz="8" w:color="B6B6B6"/>
            </w:tcBorders>
            <w:gridSpan w:val="3"/>
          </w:tcPr>
          <w:p>
            <w:pPr>
              <w:jc w:val="right"/>
              <w:ind w:right="462"/>
              <w:spacing w:after="0"/>
              <w:rPr>
                <w:sz w:val="20"/>
                <w:szCs w:val="20"/>
                <w:color w:val="auto"/>
              </w:rPr>
            </w:pPr>
            <w:r>
              <w:rPr>
                <w:rFonts w:ascii="Arial" w:cs="Arial" w:eastAsia="Arial" w:hAnsi="Arial"/>
                <w:sz w:val="16"/>
                <w:szCs w:val="16"/>
                <w:color w:val="auto"/>
              </w:rPr>
              <w:t>Three Months Ended</w:t>
            </w:r>
          </w:p>
        </w:tc>
        <w:tc>
          <w:tcPr>
            <w:tcW w:w="1080" w:type="dxa"/>
            <w:vAlign w:val="bottom"/>
            <w:tcBorders>
              <w:top w:val="single" w:sz="8" w:color="B6B6B6"/>
              <w:right w:val="single" w:sz="8" w:color="B6B6B6"/>
            </w:tcBorders>
          </w:tcPr>
          <w:p>
            <w:pPr>
              <w:spacing w:after="0"/>
              <w:rPr>
                <w:sz w:val="19"/>
                <w:szCs w:val="19"/>
                <w:color w:val="auto"/>
              </w:rPr>
            </w:pPr>
          </w:p>
        </w:tc>
      </w:tr>
      <w:tr>
        <w:trPr>
          <w:trHeight w:val="209"/>
        </w:trPr>
        <w:tc>
          <w:tcPr>
            <w:tcW w:w="7620" w:type="dxa"/>
            <w:vAlign w:val="bottom"/>
            <w:tcBorders>
              <w:left w:val="single" w:sz="8" w:color="B6B6B6"/>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
              <w:spacing w:after="0"/>
              <w:rPr>
                <w:sz w:val="20"/>
                <w:szCs w:val="20"/>
                <w:color w:val="auto"/>
              </w:rPr>
            </w:pPr>
            <w:r>
              <w:rPr>
                <w:rFonts w:ascii="Arial" w:cs="Arial" w:eastAsia="Arial" w:hAnsi="Arial"/>
                <w:sz w:val="16"/>
                <w:szCs w:val="16"/>
                <w:color w:val="auto"/>
              </w:rPr>
              <w:t>May 31,</w:t>
            </w:r>
          </w:p>
        </w:tc>
        <w:tc>
          <w:tcPr>
            <w:tcW w:w="900" w:type="dxa"/>
            <w:vAlign w:val="bottom"/>
          </w:tcPr>
          <w:p>
            <w:pPr>
              <w:spacing w:after="0"/>
              <w:rPr>
                <w:sz w:val="18"/>
                <w:szCs w:val="18"/>
                <w:color w:val="auto"/>
              </w:rPr>
            </w:pPr>
          </w:p>
        </w:tc>
        <w:tc>
          <w:tcPr>
            <w:tcW w:w="1080" w:type="dxa"/>
            <w:vAlign w:val="bottom"/>
            <w:tcBorders>
              <w:right w:val="single" w:sz="8" w:color="B6B6B6"/>
            </w:tcBorders>
          </w:tcPr>
          <w:p>
            <w:pPr>
              <w:spacing w:after="0"/>
              <w:rPr>
                <w:sz w:val="18"/>
                <w:szCs w:val="18"/>
                <w:color w:val="auto"/>
              </w:rPr>
            </w:pPr>
          </w:p>
        </w:tc>
      </w:tr>
      <w:tr>
        <w:trPr>
          <w:trHeight w:val="236"/>
        </w:trPr>
        <w:tc>
          <w:tcPr>
            <w:tcW w:w="7620" w:type="dxa"/>
            <w:vAlign w:val="bottom"/>
            <w:tcBorders>
              <w:left w:val="single" w:sz="8" w:color="B6B6B6"/>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2026</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2025</w:t>
            </w:r>
          </w:p>
        </w:tc>
        <w:tc>
          <w:tcPr>
            <w:tcW w:w="1080" w:type="dxa"/>
            <w:vAlign w:val="bottom"/>
            <w:tcBorders>
              <w:bottom w:val="single" w:sz="8" w:color="auto"/>
              <w:right w:val="single" w:sz="8" w:color="B6B6B6"/>
            </w:tcBorders>
          </w:tcPr>
          <w:p>
            <w:pPr>
              <w:jc w:val="right"/>
              <w:ind w:right="206"/>
              <w:spacing w:after="0"/>
              <w:rPr>
                <w:sz w:val="20"/>
                <w:szCs w:val="20"/>
                <w:color w:val="auto"/>
              </w:rPr>
            </w:pPr>
            <w:r>
              <w:rPr>
                <w:rFonts w:ascii="Arial" w:cs="Arial" w:eastAsia="Arial" w:hAnsi="Arial"/>
                <w:sz w:val="16"/>
                <w:szCs w:val="16"/>
                <w:color w:val="auto"/>
              </w:rPr>
              <w:t>Change</w:t>
            </w:r>
          </w:p>
        </w:tc>
      </w:tr>
      <w:tr>
        <w:trPr>
          <w:trHeight w:val="203"/>
        </w:trPr>
        <w:tc>
          <w:tcPr>
            <w:tcW w:w="762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622,918</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585,520</w:t>
            </w:r>
          </w:p>
        </w:tc>
        <w:tc>
          <w:tcPr>
            <w:tcW w:w="108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08"/>
        </w:trPr>
        <w:tc>
          <w:tcPr>
            <w:tcW w:w="7620" w:type="dxa"/>
            <w:vAlign w:val="bottom"/>
            <w:tcBorders>
              <w:left w:val="single" w:sz="8" w:color="B6B6B6"/>
            </w:tcBorders>
          </w:tcPr>
          <w:p>
            <w:pPr>
              <w:ind w:left="240"/>
              <w:spacing w:after="0"/>
              <w:rPr>
                <w:sz w:val="20"/>
                <w:szCs w:val="20"/>
                <w:color w:val="auto"/>
              </w:rPr>
            </w:pPr>
            <w:r>
              <w:rPr>
                <w:rFonts w:ascii="Arial" w:cs="Arial" w:eastAsia="Arial" w:hAnsi="Arial"/>
                <w:sz w:val="16"/>
                <w:szCs w:val="16"/>
                <w:color w:val="auto"/>
              </w:rPr>
              <w:t>Disposition revenues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(3,296)</w:t>
            </w:r>
          </w:p>
        </w:tc>
        <w:tc>
          <w:tcPr>
            <w:tcW w:w="1080" w:type="dxa"/>
            <w:vAlign w:val="bottom"/>
            <w:tcBorders>
              <w:right w:val="single" w:sz="8" w:color="B6B6B6"/>
            </w:tcBorders>
          </w:tcPr>
          <w:p>
            <w:pPr>
              <w:spacing w:after="0"/>
              <w:rPr>
                <w:sz w:val="18"/>
                <w:szCs w:val="18"/>
                <w:color w:val="auto"/>
              </w:rPr>
            </w:pPr>
          </w:p>
        </w:tc>
      </w:tr>
      <w:tr>
        <w:trPr>
          <w:trHeight w:val="210"/>
        </w:trPr>
        <w:tc>
          <w:tcPr>
            <w:tcW w:w="7620" w:type="dxa"/>
            <w:vAlign w:val="bottom"/>
            <w:tcBorders>
              <w:left w:val="single" w:sz="8" w:color="B6B6B6"/>
            </w:tcBorders>
            <w:shd w:val="clear" w:color="auto" w:fill="CCEEFF"/>
          </w:tcPr>
          <w:p>
            <w:pPr>
              <w:ind w:left="260"/>
              <w:spacing w:after="0"/>
              <w:rPr>
                <w:sz w:val="20"/>
                <w:szCs w:val="20"/>
                <w:color w:val="auto"/>
              </w:rPr>
            </w:pPr>
            <w:r>
              <w:rPr>
                <w:rFonts w:ascii="Arial" w:cs="Arial" w:eastAsia="Arial" w:hAnsi="Arial"/>
                <w:sz w:val="16"/>
                <w:szCs w:val="16"/>
                <w:color w:val="auto"/>
              </w:rPr>
              <w:t>Currency impact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B6B6B6"/>
            </w:tcBorders>
            <w:shd w:val="clear" w:color="auto" w:fill="CCEEFF"/>
          </w:tcPr>
          <w:p>
            <w:pPr>
              <w:spacing w:after="0"/>
              <w:rPr>
                <w:sz w:val="18"/>
                <w:szCs w:val="18"/>
                <w:color w:val="auto"/>
              </w:rPr>
            </w:pPr>
          </w:p>
        </w:tc>
      </w:tr>
      <w:tr>
        <w:trPr>
          <w:trHeight w:val="201"/>
        </w:trPr>
        <w:tc>
          <w:tcPr>
            <w:tcW w:w="76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6"/>
                <w:szCs w:val="16"/>
                <w:color w:val="auto"/>
              </w:rPr>
              <w:t>Organic revenues</w:t>
            </w:r>
          </w:p>
        </w:tc>
        <w:tc>
          <w:tcPr>
            <w:tcW w:w="280" w:type="dxa"/>
            <w:vAlign w:val="bottom"/>
            <w:tcBorders>
              <w:bottom w:val="single" w:sz="8" w:color="B6B6B6"/>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622,866</w:t>
            </w:r>
          </w:p>
        </w:tc>
        <w:tc>
          <w:tcPr>
            <w:tcW w:w="380" w:type="dxa"/>
            <w:vAlign w:val="bottom"/>
            <w:tcBorders>
              <w:bottom w:val="single" w:sz="8" w:color="B6B6B6"/>
            </w:tcBorders>
          </w:tcPr>
          <w:p>
            <w:pPr>
              <w:jc w:val="right"/>
              <w:ind w:right="2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582,224</w:t>
            </w:r>
          </w:p>
        </w:tc>
        <w:tc>
          <w:tcPr>
            <w:tcW w:w="10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6"/>
                <w:szCs w:val="16"/>
                <w:color w:val="auto"/>
              </w:rPr>
              <w:t>7.0 %</w:t>
            </w:r>
          </w:p>
        </w:tc>
      </w:tr>
      <w:tr>
        <w:trPr>
          <w:trHeight w:val="803"/>
        </w:trPr>
        <w:tc>
          <w:tcPr>
            <w:tcW w:w="7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FAFAF"/>
              </w:rPr>
              <w:t>9</w:t>
            </w:r>
          </w:p>
        </w:tc>
      </w:tr>
    </w:tbl>
    <w:p>
      <w:pPr>
        <w:sectPr>
          <w:pgSz w:w="11900" w:h="16838" w:orient="portrait"/>
          <w:cols w:equalWidth="0" w:num="1">
            <w:col w:w="11240"/>
          </w:cols>
          <w:pgMar w:left="320" w:top="950" w:right="339"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Non-GAAP Financial Measures</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table below provides a reconciliation of operating income, operating margin, net income and diluted EPS to adjusted operating income, adjusted operating margin, adjusted net income, EBITDA, adjusted EBITDA, and adjusted diluted EPS.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operating income and margin, adjusted net income, and adjusted diluted earnings per share exclude acquisition-related intangible asset amortization and non-recurring items. EBITDA represents earnings before interest expense, provision for income taxes and depreciation and amortization expense, while adjusted EBITDA further excludes non-recurring non-cash expenses.</w:t>
      </w:r>
    </w:p>
    <w:tbl>
      <w:tblPr>
        <w:tblLayout w:type="fixed"/>
        <w:tblInd w:w="10" w:type="dxa"/>
        <w:tblCellMar>
          <w:top w:w="0" w:type="dxa"/>
          <w:left w:w="0" w:type="dxa"/>
          <w:bottom w:w="0" w:type="dxa"/>
          <w:right w:w="0" w:type="dxa"/>
        </w:tblCellMar>
      </w:tblPr>
      <w:tr>
        <w:trPr>
          <w:trHeight w:val="213"/>
        </w:trPr>
        <w:tc>
          <w:tcPr>
            <w:tcW w:w="7600" w:type="dxa"/>
            <w:vAlign w:val="bottom"/>
            <w:tcBorders>
              <w:top w:val="single" w:sz="8" w:color="B6B6B6"/>
              <w:left w:val="single" w:sz="8" w:color="B6B6B6"/>
            </w:tcBorders>
          </w:tcPr>
          <w:p>
            <w:pPr>
              <w:spacing w:after="0"/>
              <w:rPr>
                <w:sz w:val="18"/>
                <w:szCs w:val="18"/>
                <w:color w:val="auto"/>
              </w:rPr>
            </w:pPr>
          </w:p>
        </w:tc>
        <w:tc>
          <w:tcPr>
            <w:tcW w:w="260" w:type="dxa"/>
            <w:vAlign w:val="bottom"/>
            <w:tcBorders>
              <w:top w:val="single" w:sz="8" w:color="B6B6B6"/>
            </w:tcBorders>
          </w:tcPr>
          <w:p>
            <w:pPr>
              <w:spacing w:after="0"/>
              <w:rPr>
                <w:sz w:val="18"/>
                <w:szCs w:val="18"/>
                <w:color w:val="auto"/>
              </w:rPr>
            </w:pPr>
          </w:p>
        </w:tc>
        <w:tc>
          <w:tcPr>
            <w:tcW w:w="2160" w:type="dxa"/>
            <w:vAlign w:val="bottom"/>
            <w:tcBorders>
              <w:top w:val="single" w:sz="8" w:color="B6B6B6"/>
            </w:tcBorders>
            <w:gridSpan w:val="3"/>
          </w:tcPr>
          <w:p>
            <w:pPr>
              <w:jc w:val="right"/>
              <w:ind w:right="402"/>
              <w:spacing w:after="0"/>
              <w:rPr>
                <w:sz w:val="20"/>
                <w:szCs w:val="20"/>
                <w:color w:val="auto"/>
              </w:rPr>
            </w:pPr>
            <w:r>
              <w:rPr>
                <w:rFonts w:ascii="Arial" w:cs="Arial" w:eastAsia="Arial" w:hAnsi="Arial"/>
                <w:sz w:val="16"/>
                <w:szCs w:val="16"/>
                <w:color w:val="auto"/>
              </w:rPr>
              <w:t>Three Months Ended</w:t>
            </w:r>
          </w:p>
        </w:tc>
        <w:tc>
          <w:tcPr>
            <w:tcW w:w="1240" w:type="dxa"/>
            <w:vAlign w:val="bottom"/>
            <w:tcBorders>
              <w:top w:val="single" w:sz="8" w:color="B6B6B6"/>
              <w:right w:val="single" w:sz="8" w:color="B6B6B6"/>
            </w:tcBorders>
          </w:tcPr>
          <w:p>
            <w:pPr>
              <w:spacing w:after="0"/>
              <w:rPr>
                <w:sz w:val="18"/>
                <w:szCs w:val="18"/>
                <w:color w:val="auto"/>
              </w:rPr>
            </w:pPr>
          </w:p>
        </w:tc>
      </w:tr>
      <w:tr>
        <w:trPr>
          <w:trHeight w:val="222"/>
        </w:trPr>
        <w:tc>
          <w:tcPr>
            <w:tcW w:w="7600" w:type="dxa"/>
            <w:vAlign w:val="bottom"/>
            <w:tcBorders>
              <w:left w:val="single" w:sz="8" w:color="B6B6B6"/>
            </w:tcBorders>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May 31,</w:t>
            </w:r>
          </w:p>
        </w:tc>
        <w:tc>
          <w:tcPr>
            <w:tcW w:w="860" w:type="dxa"/>
            <w:vAlign w:val="bottom"/>
          </w:tcPr>
          <w:p>
            <w:pPr>
              <w:spacing w:after="0"/>
              <w:rPr>
                <w:sz w:val="19"/>
                <w:szCs w:val="19"/>
                <w:color w:val="auto"/>
              </w:rPr>
            </w:pPr>
          </w:p>
        </w:tc>
        <w:tc>
          <w:tcPr>
            <w:tcW w:w="1240" w:type="dxa"/>
            <w:vAlign w:val="bottom"/>
            <w:tcBorders>
              <w:right w:val="single" w:sz="8" w:color="B6B6B6"/>
            </w:tcBorders>
          </w:tcPr>
          <w:p>
            <w:pPr>
              <w:spacing w:after="0"/>
              <w:rPr>
                <w:sz w:val="19"/>
                <w:szCs w:val="19"/>
                <w:color w:val="auto"/>
              </w:rPr>
            </w:pPr>
          </w:p>
        </w:tc>
      </w:tr>
      <w:tr>
        <w:trPr>
          <w:trHeight w:val="231"/>
        </w:trPr>
        <w:tc>
          <w:tcPr>
            <w:tcW w:w="7600" w:type="dxa"/>
            <w:vAlign w:val="bottom"/>
            <w:tcBorders>
              <w:left w:val="single" w:sz="8" w:color="B6B6B6"/>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2026</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2025</w:t>
            </w:r>
          </w:p>
        </w:tc>
        <w:tc>
          <w:tcPr>
            <w:tcW w:w="1240" w:type="dxa"/>
            <w:vAlign w:val="bottom"/>
            <w:tcBorders>
              <w:bottom w:val="single" w:sz="8" w:color="auto"/>
              <w:right w:val="single" w:sz="8" w:color="B6B6B6"/>
            </w:tcBorders>
          </w:tcPr>
          <w:p>
            <w:pPr>
              <w:jc w:val="right"/>
              <w:ind w:right="182"/>
              <w:spacing w:after="0"/>
              <w:rPr>
                <w:sz w:val="20"/>
                <w:szCs w:val="20"/>
                <w:color w:val="auto"/>
              </w:rPr>
            </w:pPr>
            <w:r>
              <w:rPr>
                <w:rFonts w:ascii="Arial" w:cs="Arial" w:eastAsia="Arial" w:hAnsi="Arial"/>
                <w:sz w:val="16"/>
                <w:szCs w:val="16"/>
                <w:color w:val="auto"/>
              </w:rPr>
              <w:t>% Change</w:t>
            </w:r>
          </w:p>
        </w:tc>
      </w:tr>
      <w:tr>
        <w:trPr>
          <w:trHeight w:val="209"/>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166,301</w:t>
            </w:r>
          </w:p>
        </w:tc>
        <w:tc>
          <w:tcPr>
            <w:tcW w:w="4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194,155</w:t>
            </w:r>
          </w:p>
        </w:tc>
        <w:tc>
          <w:tcPr>
            <w:tcW w:w="124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8"/>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Intangible asset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18,981</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19,182</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Restructuring/severance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9"/>
        </w:trPr>
        <w:tc>
          <w:tcPr>
            <w:tcW w:w="7600" w:type="dxa"/>
            <w:vAlign w:val="bottom"/>
            <w:tcBorders>
              <w:left w:val="single" w:sz="8" w:color="B6B6B6"/>
            </w:tcBorders>
          </w:tcPr>
          <w:p>
            <w:pPr>
              <w:ind w:left="40"/>
              <w:spacing w:after="0" w:line="209" w:lineRule="exact"/>
              <w:rPr>
                <w:sz w:val="20"/>
                <w:szCs w:val="20"/>
                <w:color w:val="auto"/>
              </w:rPr>
            </w:pPr>
            <w:r>
              <w:rPr>
                <w:rFonts w:ascii="Arial" w:cs="Arial" w:eastAsia="Arial" w:hAnsi="Arial"/>
                <w:sz w:val="16"/>
                <w:szCs w:val="16"/>
                <w:color w:val="auto"/>
              </w:rPr>
              <w:t>CEO compensation costs</w:t>
            </w:r>
            <w:r>
              <w:rPr>
                <w:rFonts w:ascii="Arial" w:cs="Arial" w:eastAsia="Arial" w:hAnsi="Arial"/>
                <w:sz w:val="20"/>
                <w:szCs w:val="20"/>
                <w:color w:val="auto"/>
                <w:vertAlign w:val="superscript"/>
              </w:rPr>
              <w:t>(1)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4,322</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tcPr>
          <w:p>
            <w:pPr>
              <w:spacing w:after="0"/>
              <w:rPr>
                <w:sz w:val="18"/>
                <w:szCs w:val="18"/>
                <w:color w:val="auto"/>
              </w:rPr>
            </w:pPr>
          </w:p>
        </w:tc>
      </w:tr>
      <w:tr>
        <w:trPr>
          <w:trHeight w:val="209"/>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Business disposition, acquisitions and related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1,976</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8"/>
        </w:trPr>
        <w:tc>
          <w:tcPr>
            <w:tcW w:w="7600" w:type="dxa"/>
            <w:vAlign w:val="bottom"/>
            <w:tcBorders>
              <w:left w:val="single" w:sz="8" w:color="B6B6B6"/>
              <w:bottom w:val="single" w:sz="8" w:color="CCEEFF"/>
            </w:tcBorders>
          </w:tcPr>
          <w:p>
            <w:pPr>
              <w:ind w:left="40"/>
              <w:spacing w:after="0"/>
              <w:rPr>
                <w:sz w:val="20"/>
                <w:szCs w:val="20"/>
                <w:color w:val="auto"/>
              </w:rPr>
            </w:pPr>
            <w:r>
              <w:rPr>
                <w:rFonts w:ascii="Arial" w:cs="Arial" w:eastAsia="Arial" w:hAnsi="Arial"/>
                <w:sz w:val="16"/>
                <w:szCs w:val="16"/>
                <w:color w:val="auto"/>
              </w:rPr>
              <w:t>Client bankruptcy charges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right w:val="single" w:sz="8" w:color="B6B6B6"/>
            </w:tcBorders>
          </w:tcPr>
          <w:p>
            <w:pPr>
              <w:spacing w:after="0"/>
              <w:rPr>
                <w:sz w:val="18"/>
                <w:szCs w:val="18"/>
                <w:color w:val="auto"/>
              </w:rPr>
            </w:pPr>
          </w:p>
        </w:tc>
      </w:tr>
      <w:tr>
        <w:trPr>
          <w:trHeight w:val="203"/>
        </w:trPr>
        <w:tc>
          <w:tcPr>
            <w:tcW w:w="7600" w:type="dxa"/>
            <w:vAlign w:val="bottom"/>
            <w:tcBorders>
              <w:left w:val="single" w:sz="8" w:color="B6B6B6"/>
            </w:tcBorders>
            <w:shd w:val="clear" w:color="auto" w:fill="CCEEFF"/>
          </w:tcPr>
          <w:p>
            <w:pPr>
              <w:ind w:left="240"/>
              <w:spacing w:after="0"/>
              <w:rPr>
                <w:sz w:val="20"/>
                <w:szCs w:val="20"/>
                <w:color w:val="auto"/>
              </w:rPr>
            </w:pPr>
            <w:r>
              <w:rPr>
                <w:rFonts w:ascii="Arial" w:cs="Arial" w:eastAsia="Arial" w:hAnsi="Arial"/>
                <w:sz w:val="16"/>
                <w:szCs w:val="16"/>
                <w:color w:val="auto"/>
              </w:rPr>
              <w:t>Adjusted operating income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211,752</w:t>
            </w:r>
          </w:p>
        </w:tc>
        <w:tc>
          <w:tcPr>
            <w:tcW w:w="4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215,313</w:t>
            </w:r>
          </w:p>
        </w:tc>
        <w:tc>
          <w:tcPr>
            <w:tcW w:w="124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8"/>
        </w:trPr>
        <w:tc>
          <w:tcPr>
            <w:tcW w:w="7600" w:type="dxa"/>
            <w:vAlign w:val="bottom"/>
            <w:tcBorders>
              <w:left w:val="single" w:sz="8" w:color="B6B6B6"/>
            </w:tcBorders>
          </w:tcPr>
          <w:p>
            <w:pPr>
              <w:ind w:left="240"/>
              <w:spacing w:after="0"/>
              <w:rPr>
                <w:sz w:val="20"/>
                <w:szCs w:val="20"/>
                <w:color w:val="auto"/>
              </w:rPr>
            </w:pPr>
            <w:r>
              <w:rPr>
                <w:rFonts w:ascii="Arial" w:cs="Arial" w:eastAsia="Arial" w:hAnsi="Arial"/>
                <w:sz w:val="16"/>
                <w:szCs w:val="16"/>
                <w:i w:val="1"/>
                <w:iCs w:val="1"/>
                <w:color w:val="auto"/>
              </w:rPr>
              <w:t>Operating margin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26.7%</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i w:val="1"/>
                <w:iCs w:val="1"/>
                <w:color w:val="auto"/>
              </w:rPr>
              <w:t>33.2%</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bottom w:val="single" w:sz="8" w:color="auto"/>
            </w:tcBorders>
            <w:shd w:val="clear" w:color="auto" w:fill="CCEEFF"/>
          </w:tcPr>
          <w:p>
            <w:pPr>
              <w:ind w:left="240"/>
              <w:spacing w:after="0" w:line="210" w:lineRule="exact"/>
              <w:rPr>
                <w:sz w:val="20"/>
                <w:szCs w:val="20"/>
                <w:color w:val="auto"/>
              </w:rPr>
            </w:pPr>
            <w:r>
              <w:rPr>
                <w:rFonts w:ascii="Arial" w:cs="Arial" w:eastAsia="Arial" w:hAnsi="Arial"/>
                <w:sz w:val="16"/>
                <w:szCs w:val="16"/>
                <w:i w:val="1"/>
                <w:iCs w:val="1"/>
                <w:color w:val="auto"/>
              </w:rPr>
              <w:t>Adjusted operating margin</w:t>
            </w:r>
            <w:r>
              <w:rPr>
                <w:rFonts w:ascii="Arial" w:cs="Arial" w:eastAsia="Arial" w:hAnsi="Arial"/>
                <w:sz w:val="20"/>
                <w:szCs w:val="20"/>
                <w:color w:val="auto"/>
                <w:vertAlign w:val="superscript"/>
              </w:rPr>
              <w:t>(2)</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34.0%</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i w:val="1"/>
                <w:iCs w:val="1"/>
                <w:color w:val="auto"/>
              </w:rPr>
              <w:t>36.8%</w:t>
            </w:r>
          </w:p>
        </w:tc>
        <w:tc>
          <w:tcPr>
            <w:tcW w:w="1240" w:type="dxa"/>
            <w:vAlign w:val="bottom"/>
            <w:tcBorders>
              <w:bottom w:val="single" w:sz="8" w:color="auto"/>
              <w:right w:val="single" w:sz="8" w:color="B6B6B6"/>
            </w:tcBorders>
            <w:shd w:val="clear" w:color="auto" w:fill="CCEEFF"/>
          </w:tcPr>
          <w:p>
            <w:pPr>
              <w:spacing w:after="0"/>
              <w:rPr>
                <w:sz w:val="18"/>
                <w:szCs w:val="18"/>
                <w:color w:val="auto"/>
              </w:rPr>
            </w:pPr>
          </w:p>
        </w:tc>
      </w:tr>
      <w:tr>
        <w:trPr>
          <w:trHeight w:val="201"/>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126,718</w:t>
            </w:r>
          </w:p>
        </w:tc>
        <w:tc>
          <w:tcPr>
            <w:tcW w:w="4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148,542</w:t>
            </w:r>
          </w:p>
        </w:tc>
        <w:tc>
          <w:tcPr>
            <w:tcW w:w="124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(14.7)%</w:t>
            </w:r>
          </w:p>
        </w:tc>
      </w:tr>
      <w:tr>
        <w:trPr>
          <w:trHeight w:val="210"/>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Intangible asset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13,943</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8"/>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Restructuring/severance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15,030</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tcBorders>
            <w:shd w:val="clear" w:color="auto" w:fill="CCEEFF"/>
          </w:tcPr>
          <w:p>
            <w:pPr>
              <w:ind w:left="40"/>
              <w:spacing w:after="0" w:line="210" w:lineRule="exact"/>
              <w:rPr>
                <w:sz w:val="20"/>
                <w:szCs w:val="20"/>
                <w:color w:val="auto"/>
              </w:rPr>
            </w:pPr>
            <w:r>
              <w:rPr>
                <w:rFonts w:ascii="Arial" w:cs="Arial" w:eastAsia="Arial" w:hAnsi="Arial"/>
                <w:sz w:val="16"/>
                <w:szCs w:val="16"/>
                <w:color w:val="auto"/>
              </w:rPr>
              <w:t>CEO compensation costs</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8"/>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Business disposition, acquisitions and related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1,355</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1,436</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tcBorders>
            <w:shd w:val="clear" w:color="auto" w:fill="CCEEFF"/>
          </w:tcPr>
          <w:p>
            <w:pPr>
              <w:ind w:left="40"/>
              <w:spacing w:after="0" w:line="210" w:lineRule="exact"/>
              <w:rPr>
                <w:sz w:val="20"/>
                <w:szCs w:val="20"/>
                <w:color w:val="auto"/>
              </w:rPr>
            </w:pPr>
            <w:r>
              <w:rPr>
                <w:rFonts w:ascii="Arial" w:cs="Arial" w:eastAsia="Arial" w:hAnsi="Arial"/>
                <w:sz w:val="16"/>
                <w:szCs w:val="16"/>
                <w:color w:val="auto"/>
              </w:rPr>
              <w:t>Impairment within Other assets</w:t>
            </w:r>
            <w:r>
              <w:rPr>
                <w:rFonts w:ascii="Arial" w:cs="Arial" w:eastAsia="Arial" w:hAnsi="Arial"/>
                <w:sz w:val="20"/>
                <w:szCs w:val="20"/>
                <w:color w:val="auto"/>
                <w:vertAlign w:val="superscript"/>
              </w:rPr>
              <w:t>(3)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8"/>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Client bankruptcy charges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Non-operating income from business disposition</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2"/>
        </w:trPr>
        <w:tc>
          <w:tcPr>
            <w:tcW w:w="7600" w:type="dxa"/>
            <w:vAlign w:val="bottom"/>
            <w:tcBorders>
              <w:left w:val="single" w:sz="8" w:color="B6B6B6"/>
              <w:bottom w:val="single" w:sz="8" w:color="auto"/>
            </w:tcBorders>
          </w:tcPr>
          <w:p>
            <w:pPr>
              <w:ind w:left="240"/>
              <w:spacing w:after="0" w:line="202" w:lineRule="exact"/>
              <w:rPr>
                <w:sz w:val="20"/>
                <w:szCs w:val="20"/>
                <w:color w:val="auto"/>
              </w:rPr>
            </w:pPr>
            <w:r>
              <w:rPr>
                <w:rFonts w:ascii="Arial" w:cs="Arial" w:eastAsia="Arial" w:hAnsi="Arial"/>
                <w:sz w:val="16"/>
                <w:szCs w:val="16"/>
                <w:color w:val="auto"/>
              </w:rPr>
              <w:t>Adjusted net income</w:t>
            </w:r>
            <w:r>
              <w:rPr>
                <w:rFonts w:ascii="Arial" w:cs="Arial" w:eastAsia="Arial" w:hAnsi="Arial"/>
                <w:sz w:val="20"/>
                <w:szCs w:val="20"/>
                <w:color w:val="auto"/>
                <w:vertAlign w:val="superscript"/>
              </w:rPr>
              <w:t>(4)</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163,769</w:t>
            </w:r>
          </w:p>
        </w:tc>
        <w:tc>
          <w:tcPr>
            <w:tcW w:w="4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163,921</w:t>
            </w:r>
          </w:p>
        </w:tc>
        <w:tc>
          <w:tcPr>
            <w:tcW w:w="1240" w:type="dxa"/>
            <w:vAlign w:val="bottom"/>
            <w:tcBorders>
              <w:bottom w:val="single" w:sz="8" w:color="auto"/>
              <w:right w:val="single" w:sz="8" w:color="B6B6B6"/>
            </w:tcBorders>
          </w:tcPr>
          <w:p>
            <w:pPr>
              <w:jc w:val="right"/>
              <w:spacing w:after="0"/>
              <w:rPr>
                <w:sz w:val="20"/>
                <w:szCs w:val="20"/>
                <w:color w:val="auto"/>
              </w:rPr>
            </w:pPr>
            <w:r>
              <w:rPr>
                <w:rFonts w:ascii="Arial" w:cs="Arial" w:eastAsia="Arial" w:hAnsi="Arial"/>
                <w:sz w:val="16"/>
                <w:szCs w:val="16"/>
                <w:color w:val="auto"/>
              </w:rPr>
              <w:t>(0.1)%</w:t>
            </w:r>
          </w:p>
        </w:tc>
      </w:tr>
      <w:tr>
        <w:trPr>
          <w:trHeight w:val="202"/>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126,718</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148,542</w:t>
            </w:r>
          </w:p>
        </w:tc>
        <w:tc>
          <w:tcPr>
            <w:tcW w:w="124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08"/>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13,839</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15,122</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31,406</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8"/>
        </w:trPr>
        <w:tc>
          <w:tcPr>
            <w:tcW w:w="7600" w:type="dxa"/>
            <w:vAlign w:val="bottom"/>
            <w:tcBorders>
              <w:left w:val="single" w:sz="8" w:color="B6B6B6"/>
              <w:bottom w:val="single" w:sz="8" w:color="CCEEFF"/>
            </w:tcBorders>
          </w:tcPr>
          <w:p>
            <w:pPr>
              <w:ind w:left="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45,869</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40,845</w:t>
            </w:r>
          </w:p>
        </w:tc>
        <w:tc>
          <w:tcPr>
            <w:tcW w:w="1240" w:type="dxa"/>
            <w:vAlign w:val="bottom"/>
            <w:tcBorders>
              <w:bottom w:val="single" w:sz="8" w:color="CCEEFF"/>
              <w:right w:val="single" w:sz="8" w:color="B6B6B6"/>
            </w:tcBorders>
          </w:tcPr>
          <w:p>
            <w:pPr>
              <w:spacing w:after="0"/>
              <w:rPr>
                <w:sz w:val="18"/>
                <w:szCs w:val="18"/>
                <w:color w:val="auto"/>
              </w:rPr>
            </w:pPr>
          </w:p>
        </w:tc>
      </w:tr>
      <w:tr>
        <w:trPr>
          <w:trHeight w:val="202"/>
        </w:trPr>
        <w:tc>
          <w:tcPr>
            <w:tcW w:w="7600" w:type="dxa"/>
            <w:vAlign w:val="bottom"/>
            <w:tcBorders>
              <w:left w:val="single" w:sz="8" w:color="B6B6B6"/>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EBITDA</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213,829</w:t>
            </w:r>
          </w:p>
        </w:tc>
        <w:tc>
          <w:tcPr>
            <w:tcW w:w="4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235,915</w:t>
            </w:r>
          </w:p>
        </w:tc>
        <w:tc>
          <w:tcPr>
            <w:tcW w:w="1240" w:type="dxa"/>
            <w:vAlign w:val="bottom"/>
            <w:tcBorders>
              <w:bottom w:val="single" w:sz="8" w:color="auto"/>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3"/>
        </w:trPr>
        <w:tc>
          <w:tcPr>
            <w:tcW w:w="7600" w:type="dxa"/>
            <w:vAlign w:val="bottom"/>
            <w:tcBorders>
              <w:left w:val="single" w:sz="8" w:color="B6B6B6"/>
              <w:bottom w:val="single" w:sz="8" w:color="CCEEFF"/>
            </w:tcBorders>
          </w:tcPr>
          <w:p>
            <w:pPr>
              <w:ind w:left="40"/>
              <w:spacing w:after="0" w:line="204" w:lineRule="exact"/>
              <w:rPr>
                <w:sz w:val="20"/>
                <w:szCs w:val="20"/>
                <w:color w:val="auto"/>
              </w:rPr>
            </w:pPr>
            <w:r>
              <w:rPr>
                <w:rFonts w:ascii="Arial" w:cs="Arial" w:eastAsia="Arial" w:hAnsi="Arial"/>
                <w:sz w:val="16"/>
                <w:szCs w:val="16"/>
                <w:color w:val="auto"/>
              </w:rPr>
              <w:t>Non-recurring non-cash expenses</w:t>
            </w:r>
            <w:r>
              <w:rPr>
                <w:rFonts w:ascii="Arial" w:cs="Arial" w:eastAsia="Arial" w:hAnsi="Arial"/>
                <w:sz w:val="20"/>
                <w:szCs w:val="20"/>
                <w:color w:val="auto"/>
                <w:vertAlign w:val="superscript"/>
              </w:rPr>
              <w:t>(5)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6,336</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right w:val="single" w:sz="8" w:color="B6B6B6"/>
            </w:tcBorders>
          </w:tcPr>
          <w:p>
            <w:pPr>
              <w:spacing w:after="0"/>
              <w:rPr>
                <w:sz w:val="17"/>
                <w:szCs w:val="17"/>
                <w:color w:val="auto"/>
              </w:rPr>
            </w:pPr>
          </w:p>
        </w:tc>
      </w:tr>
      <w:tr>
        <w:trPr>
          <w:trHeight w:val="201"/>
        </w:trPr>
        <w:tc>
          <w:tcPr>
            <w:tcW w:w="7600" w:type="dxa"/>
            <w:vAlign w:val="bottom"/>
            <w:tcBorders>
              <w:left w:val="single" w:sz="8" w:color="B6B6B6"/>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220,165</w:t>
            </w:r>
          </w:p>
        </w:tc>
        <w:tc>
          <w:tcPr>
            <w:tcW w:w="4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235,915</w:t>
            </w:r>
          </w:p>
        </w:tc>
        <w:tc>
          <w:tcPr>
            <w:tcW w:w="1240" w:type="dxa"/>
            <w:vAlign w:val="bottom"/>
            <w:tcBorders>
              <w:bottom w:val="single" w:sz="8" w:color="auto"/>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2"/>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c>
          <w:tcPr>
            <w:tcW w:w="4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3.87</w:t>
            </w:r>
          </w:p>
        </w:tc>
        <w:tc>
          <w:tcPr>
            <w:tcW w:w="124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(9.6)%</w:t>
            </w:r>
          </w:p>
        </w:tc>
      </w:tr>
      <w:tr>
        <w:trPr>
          <w:trHeight w:val="210"/>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Intangible asset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0.36</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8"/>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Restructuring/severance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0.42</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tcBorders>
            <w:shd w:val="clear" w:color="auto" w:fill="CCEEFF"/>
          </w:tcPr>
          <w:p>
            <w:pPr>
              <w:ind w:left="40"/>
              <w:spacing w:after="0" w:line="210" w:lineRule="exact"/>
              <w:rPr>
                <w:sz w:val="20"/>
                <w:szCs w:val="20"/>
                <w:color w:val="auto"/>
              </w:rPr>
            </w:pPr>
            <w:r>
              <w:rPr>
                <w:rFonts w:ascii="Arial" w:cs="Arial" w:eastAsia="Arial" w:hAnsi="Arial"/>
                <w:sz w:val="16"/>
                <w:szCs w:val="16"/>
                <w:color w:val="auto"/>
              </w:rPr>
              <w:t>CEO compensation costs</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8"/>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Business disposition, acquisitions and related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0.04</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tcBorders>
            <w:shd w:val="clear" w:color="auto" w:fill="CCEEFF"/>
          </w:tcPr>
          <w:p>
            <w:pPr>
              <w:ind w:left="40"/>
              <w:spacing w:after="0" w:line="210" w:lineRule="exact"/>
              <w:rPr>
                <w:sz w:val="20"/>
                <w:szCs w:val="20"/>
                <w:color w:val="auto"/>
              </w:rPr>
            </w:pPr>
            <w:r>
              <w:rPr>
                <w:rFonts w:ascii="Arial" w:cs="Arial" w:eastAsia="Arial" w:hAnsi="Arial"/>
                <w:sz w:val="16"/>
                <w:szCs w:val="16"/>
                <w:color w:val="auto"/>
              </w:rPr>
              <w:t>Impairment within Other assets</w:t>
            </w:r>
            <w:r>
              <w:rPr>
                <w:rFonts w:ascii="Arial" w:cs="Arial" w:eastAsia="Arial" w:hAnsi="Arial"/>
                <w:sz w:val="20"/>
                <w:szCs w:val="20"/>
                <w:color w:val="auto"/>
                <w:vertAlign w:val="superscript"/>
              </w:rPr>
              <w:t>(3)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8"/>
        </w:trPr>
        <w:tc>
          <w:tcPr>
            <w:tcW w:w="7600" w:type="dxa"/>
            <w:vAlign w:val="bottom"/>
            <w:tcBorders>
              <w:left w:val="single" w:sz="8" w:color="B6B6B6"/>
            </w:tcBorders>
          </w:tcPr>
          <w:p>
            <w:pPr>
              <w:ind w:left="40"/>
              <w:spacing w:after="0"/>
              <w:rPr>
                <w:sz w:val="20"/>
                <w:szCs w:val="20"/>
                <w:color w:val="auto"/>
              </w:rPr>
            </w:pPr>
            <w:r>
              <w:rPr>
                <w:rFonts w:ascii="Arial" w:cs="Arial" w:eastAsia="Arial" w:hAnsi="Arial"/>
                <w:sz w:val="16"/>
                <w:szCs w:val="16"/>
                <w:color w:val="auto"/>
              </w:rPr>
              <w:t>Client bankruptcy charges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0.02</w:t>
            </w:r>
          </w:p>
        </w:tc>
        <w:tc>
          <w:tcPr>
            <w:tcW w:w="4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tcPr>
          <w:p>
            <w:pPr>
              <w:spacing w:after="0"/>
              <w:rPr>
                <w:sz w:val="18"/>
                <w:szCs w:val="18"/>
                <w:color w:val="auto"/>
              </w:rPr>
            </w:pPr>
          </w:p>
        </w:tc>
      </w:tr>
      <w:tr>
        <w:trPr>
          <w:trHeight w:val="210"/>
        </w:trPr>
        <w:tc>
          <w:tcPr>
            <w:tcW w:w="760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Non-operating income from business disposition</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B6B6B6"/>
            </w:tcBorders>
            <w:shd w:val="clear" w:color="auto" w:fill="CCEEFF"/>
          </w:tcPr>
          <w:p>
            <w:pPr>
              <w:spacing w:after="0"/>
              <w:rPr>
                <w:sz w:val="18"/>
                <w:szCs w:val="18"/>
                <w:color w:val="auto"/>
              </w:rPr>
            </w:pPr>
          </w:p>
        </w:tc>
      </w:tr>
      <w:tr>
        <w:trPr>
          <w:trHeight w:val="202"/>
        </w:trPr>
        <w:tc>
          <w:tcPr>
            <w:tcW w:w="7600" w:type="dxa"/>
            <w:vAlign w:val="bottom"/>
            <w:tcBorders>
              <w:left w:val="single" w:sz="8" w:color="B6B6B6"/>
            </w:tcBorders>
          </w:tcPr>
          <w:p>
            <w:pPr>
              <w:ind w:left="240"/>
              <w:spacing w:after="0" w:line="202" w:lineRule="exact"/>
              <w:rPr>
                <w:sz w:val="20"/>
                <w:szCs w:val="20"/>
                <w:color w:val="auto"/>
              </w:rPr>
            </w:pPr>
            <w:r>
              <w:rPr>
                <w:rFonts w:ascii="Arial" w:cs="Arial" w:eastAsia="Arial" w:hAnsi="Arial"/>
                <w:sz w:val="16"/>
                <w:szCs w:val="16"/>
                <w:color w:val="auto"/>
              </w:rPr>
              <w:t>Adjusted diluted EPS</w:t>
            </w:r>
            <w:r>
              <w:rPr>
                <w:rFonts w:ascii="Arial" w:cs="Arial" w:eastAsia="Arial" w:hAnsi="Arial"/>
                <w:sz w:val="20"/>
                <w:szCs w:val="20"/>
                <w:color w:val="auto"/>
                <w:vertAlign w:val="superscript"/>
              </w:rPr>
              <w:t>(4)</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4.53</w:t>
            </w:r>
          </w:p>
        </w:tc>
        <w:tc>
          <w:tcPr>
            <w:tcW w:w="4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4.27</w:t>
            </w:r>
          </w:p>
        </w:tc>
        <w:tc>
          <w:tcPr>
            <w:tcW w:w="1240" w:type="dxa"/>
            <w:vAlign w:val="bottom"/>
            <w:tcBorders>
              <w:right w:val="single" w:sz="8" w:color="B6B6B6"/>
            </w:tcBorders>
          </w:tcPr>
          <w:p>
            <w:pPr>
              <w:jc w:val="right"/>
              <w:spacing w:after="0"/>
              <w:rPr>
                <w:sz w:val="20"/>
                <w:szCs w:val="20"/>
                <w:color w:val="auto"/>
              </w:rPr>
            </w:pPr>
            <w:r>
              <w:rPr>
                <w:rFonts w:ascii="Arial" w:cs="Arial" w:eastAsia="Arial" w:hAnsi="Arial"/>
                <w:sz w:val="16"/>
                <w:szCs w:val="16"/>
                <w:color w:val="auto"/>
              </w:rPr>
              <w:t>6.1 %</w:t>
            </w:r>
          </w:p>
        </w:tc>
      </w:tr>
      <w:tr>
        <w:trPr>
          <w:trHeight w:val="208"/>
        </w:trPr>
        <w:tc>
          <w:tcPr>
            <w:tcW w:w="7600" w:type="dxa"/>
            <w:vAlign w:val="bottom"/>
            <w:tcBorders>
              <w:left w:val="single" w:sz="8" w:color="B6B6B6"/>
              <w:bottom w:val="single" w:sz="8" w:color="B6B6B6"/>
            </w:tcBorders>
            <w:shd w:val="clear" w:color="auto" w:fill="CCEEFF"/>
          </w:tcPr>
          <w:p>
            <w:pPr>
              <w:ind w:left="240"/>
              <w:spacing w:after="0"/>
              <w:rPr>
                <w:sz w:val="20"/>
                <w:szCs w:val="20"/>
                <w:color w:val="auto"/>
              </w:rPr>
            </w:pPr>
            <w:r>
              <w:rPr>
                <w:rFonts w:ascii="Arial" w:cs="Arial" w:eastAsia="Arial" w:hAnsi="Arial"/>
                <w:sz w:val="16"/>
                <w:szCs w:val="16"/>
                <w:color w:val="auto"/>
              </w:rPr>
              <w:t>Weighted average common shares (diluted)</w:t>
            </w:r>
          </w:p>
        </w:tc>
        <w:tc>
          <w:tcPr>
            <w:tcW w:w="260" w:type="dxa"/>
            <w:vAlign w:val="bottom"/>
            <w:tcBorders>
              <w:bottom w:val="single" w:sz="8" w:color="B6B6B6"/>
            </w:tcBorders>
            <w:shd w:val="clear" w:color="auto" w:fill="CCEEFF"/>
          </w:tcPr>
          <w:p>
            <w:pPr>
              <w:spacing w:after="0"/>
              <w:rPr>
                <w:sz w:val="18"/>
                <w:szCs w:val="18"/>
                <w:color w:val="auto"/>
              </w:rPr>
            </w:pPr>
          </w:p>
        </w:tc>
        <w:tc>
          <w:tcPr>
            <w:tcW w:w="900" w:type="dxa"/>
            <w:vAlign w:val="bottom"/>
            <w:tcBorders>
              <w:bottom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36,191</w:t>
            </w:r>
          </w:p>
        </w:tc>
        <w:tc>
          <w:tcPr>
            <w:tcW w:w="400" w:type="dxa"/>
            <w:vAlign w:val="bottom"/>
            <w:tcBorders>
              <w:bottom w:val="single" w:sz="8" w:color="B6B6B6"/>
            </w:tcBorders>
            <w:shd w:val="clear" w:color="auto" w:fill="CCEEFF"/>
          </w:tcPr>
          <w:p>
            <w:pPr>
              <w:spacing w:after="0"/>
              <w:rPr>
                <w:sz w:val="18"/>
                <w:szCs w:val="18"/>
                <w:color w:val="auto"/>
              </w:rPr>
            </w:pPr>
          </w:p>
        </w:tc>
        <w:tc>
          <w:tcPr>
            <w:tcW w:w="860" w:type="dxa"/>
            <w:vAlign w:val="bottom"/>
            <w:tcBorders>
              <w:bottom w:val="single" w:sz="8" w:color="B6B6B6"/>
            </w:tcBorders>
            <w:shd w:val="clear" w:color="auto" w:fill="CCEEFF"/>
          </w:tcPr>
          <w:p>
            <w:pPr>
              <w:jc w:val="right"/>
              <w:ind w:right="42"/>
              <w:spacing w:after="0"/>
              <w:rPr>
                <w:sz w:val="20"/>
                <w:szCs w:val="20"/>
                <w:color w:val="auto"/>
              </w:rPr>
            </w:pPr>
            <w:r>
              <w:rPr>
                <w:rFonts w:ascii="Arial" w:cs="Arial" w:eastAsia="Arial" w:hAnsi="Arial"/>
                <w:sz w:val="16"/>
                <w:szCs w:val="16"/>
                <w:color w:val="auto"/>
              </w:rPr>
              <w:t>38,344</w:t>
            </w:r>
          </w:p>
        </w:tc>
        <w:tc>
          <w:tcPr>
            <w:tcW w:w="1240" w:type="dxa"/>
            <w:vAlign w:val="bottom"/>
            <w:tcBorders>
              <w:bottom w:val="single" w:sz="8" w:color="B6B6B6"/>
              <w:right w:val="single" w:sz="8" w:color="B6B6B6"/>
            </w:tcBorders>
            <w:shd w:val="clear" w:color="auto" w:fill="CCEEFF"/>
          </w:tcPr>
          <w:p>
            <w:pPr>
              <w:spacing w:after="0"/>
              <w:rPr>
                <w:sz w:val="18"/>
                <w:szCs w:val="18"/>
                <w:color w:val="auto"/>
              </w:rPr>
            </w:pPr>
          </w:p>
        </w:tc>
      </w:tr>
    </w:tbl>
    <w:p>
      <w:pPr>
        <w:spacing w:after="0" w:line="147" w:lineRule="exact"/>
        <w:rPr>
          <w:sz w:val="20"/>
          <w:szCs w:val="20"/>
          <w:color w:val="auto"/>
        </w:rPr>
      </w:pPr>
    </w:p>
    <w:p>
      <w:pPr>
        <w:ind w:left="300" w:hanging="295"/>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Related to the recognition, over their respective service periods, of one-time make-whole cash and equity awards issued to our CEO.</w:t>
      </w:r>
    </w:p>
    <w:p>
      <w:pPr>
        <w:spacing w:after="0" w:line="74" w:lineRule="exact"/>
        <w:rPr>
          <w:rFonts w:ascii="Arial" w:cs="Arial" w:eastAsia="Arial" w:hAnsi="Arial"/>
          <w:sz w:val="14"/>
          <w:szCs w:val="14"/>
          <w:color w:val="auto"/>
        </w:rPr>
      </w:pPr>
    </w:p>
    <w:p>
      <w:pPr>
        <w:ind w:left="300" w:hanging="295"/>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operating margin is calculated as Adjusted operating income divided by Revenues.</w:t>
      </w:r>
    </w:p>
    <w:p>
      <w:pPr>
        <w:spacing w:after="0" w:line="74" w:lineRule="exact"/>
        <w:rPr>
          <w:rFonts w:ascii="Arial" w:cs="Arial" w:eastAsia="Arial" w:hAnsi="Arial"/>
          <w:sz w:val="14"/>
          <w:szCs w:val="14"/>
          <w:color w:val="auto"/>
        </w:rPr>
      </w:pPr>
    </w:p>
    <w:p>
      <w:pPr>
        <w:ind w:left="300" w:hanging="295"/>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Related to the impairment of an equity investment.</w:t>
      </w:r>
    </w:p>
    <w:p>
      <w:pPr>
        <w:spacing w:after="0" w:line="61" w:lineRule="exact"/>
        <w:rPr>
          <w:rFonts w:ascii="Arial" w:cs="Arial" w:eastAsia="Arial" w:hAnsi="Arial"/>
          <w:sz w:val="14"/>
          <w:szCs w:val="14"/>
          <w:color w:val="auto"/>
        </w:rPr>
      </w:pPr>
    </w:p>
    <w:p>
      <w:pPr>
        <w:ind w:left="320" w:right="80" w:hanging="315"/>
        <w:spacing w:after="0" w:line="287" w:lineRule="auto"/>
        <w:tabs>
          <w:tab w:leader="none" w:pos="307"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purposes of calculating Adjusted net income and Adjusted diluted EPS, all adjustments for the three months ended May 31, 2026 and May 31, 2025 were taxed at an adjusted tax rate of 23.4% and 27.3%, respectively.</w:t>
      </w:r>
    </w:p>
    <w:p>
      <w:pPr>
        <w:spacing w:after="0" w:line="90" w:lineRule="exact"/>
        <w:rPr>
          <w:sz w:val="20"/>
          <w:szCs w:val="20"/>
          <w:color w:val="auto"/>
        </w:rPr>
      </w:pPr>
    </w:p>
    <w:p>
      <w:pPr>
        <w:ind w:left="11100"/>
        <w:spacing w:after="0"/>
        <w:rPr>
          <w:sz w:val="20"/>
          <w:szCs w:val="20"/>
          <w:color w:val="auto"/>
        </w:rPr>
      </w:pPr>
      <w:r>
        <w:rPr>
          <w:rFonts w:ascii="Arial" w:cs="Arial" w:eastAsia="Arial" w:hAnsi="Arial"/>
          <w:sz w:val="12"/>
          <w:szCs w:val="12"/>
          <w:color w:val="AFAFAF"/>
        </w:rPr>
        <w:t>10</w:t>
      </w:r>
    </w:p>
    <w:p>
      <w:pPr>
        <w:sectPr>
          <w:pgSz w:w="11900" w:h="16838" w:orient="portrait"/>
          <w:cols w:equalWidth="0" w:num="1">
            <w:col w:w="11240"/>
          </w:cols>
          <w:pgMar w:left="320" w:top="952" w:right="339" w:bottom="1440" w:gutter="0" w:footer="0" w:header="0"/>
        </w:sectPr>
      </w:pPr>
    </w:p>
    <w:bookmarkStart w:id="12" w:name="page13"/>
    <w:bookmarkEnd w:id="12"/>
    <w:p>
      <w:pPr>
        <w:spacing w:after="0"/>
        <w:tabs>
          <w:tab w:leader="none" w:pos="28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3"/>
          <w:szCs w:val="13"/>
          <w:color w:val="auto"/>
        </w:rPr>
        <w:t>Primarily related to the impairment of an equity investment and the recognition, over their respective service periods, of one-time equity awards issued to our CEO.</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Outlook Operating Margin, Net Income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28510" cy="3153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8510" cy="3153410"/>
                    </a:xfrm>
                    <a:prstGeom prst="rect">
                      <a:avLst/>
                    </a:prstGeom>
                    <a:noFill/>
                  </pic:spPr>
                </pic:pic>
              </a:graphicData>
            </a:graphic>
          </wp:anchor>
        </w:drawing>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ind w:left="40"/>
              <w:spacing w:after="0"/>
              <w:rPr>
                <w:sz w:val="20"/>
                <w:szCs w:val="20"/>
                <w:color w:val="auto"/>
              </w:rPr>
            </w:pPr>
            <w:r>
              <w:rPr>
                <w:rFonts w:ascii="Arial" w:cs="Arial" w:eastAsia="Arial" w:hAnsi="Arial"/>
                <w:sz w:val="14"/>
                <w:szCs w:val="14"/>
                <w:i w:val="1"/>
                <w:iCs w:val="1"/>
                <w:color w:val="auto"/>
              </w:rPr>
              <w:t>Figures may not foot due to rounding</w:t>
            </w:r>
          </w:p>
        </w:tc>
        <w:tc>
          <w:tcPr>
            <w:tcW w:w="200" w:type="dxa"/>
            <w:vAlign w:val="bottom"/>
          </w:tcPr>
          <w:p>
            <w:pPr>
              <w:spacing w:after="0"/>
              <w:rPr>
                <w:sz w:val="19"/>
                <w:szCs w:val="19"/>
                <w:color w:val="auto"/>
              </w:rPr>
            </w:pPr>
          </w:p>
        </w:tc>
        <w:tc>
          <w:tcPr>
            <w:tcW w:w="3460" w:type="dxa"/>
            <w:vAlign w:val="bottom"/>
            <w:gridSpan w:val="3"/>
          </w:tcPr>
          <w:p>
            <w:pPr>
              <w:jc w:val="right"/>
              <w:ind w:right="622"/>
              <w:spacing w:after="0"/>
              <w:rPr>
                <w:sz w:val="20"/>
                <w:szCs w:val="20"/>
                <w:color w:val="auto"/>
              </w:rPr>
            </w:pPr>
            <w:r>
              <w:rPr>
                <w:rFonts w:ascii="Arial" w:cs="Arial" w:eastAsia="Arial" w:hAnsi="Arial"/>
                <w:sz w:val="17"/>
                <w:szCs w:val="17"/>
                <w:color w:val="auto"/>
              </w:rPr>
              <w:t>Annual Fiscal 2026 Guidance</w:t>
            </w:r>
          </w:p>
        </w:tc>
        <w:tc>
          <w:tcPr>
            <w:tcW w:w="20" w:type="dxa"/>
            <w:vAlign w:val="bottom"/>
          </w:tcPr>
          <w:p>
            <w:pPr>
              <w:spacing w:after="0"/>
              <w:rPr>
                <w:sz w:val="19"/>
                <w:szCs w:val="19"/>
                <w:color w:val="auto"/>
              </w:rPr>
            </w:pPr>
          </w:p>
        </w:tc>
      </w:tr>
      <w:tr>
        <w:trPr>
          <w:trHeight w:val="207"/>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Low end of range</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High end of range</w:t>
            </w:r>
          </w:p>
        </w:tc>
        <w:tc>
          <w:tcPr>
            <w:tcW w:w="20" w:type="dxa"/>
            <w:vAlign w:val="bottom"/>
            <w:tcBorders>
              <w:bottom w:val="single" w:sz="8" w:color="auto"/>
            </w:tcBorders>
          </w:tcPr>
          <w:p>
            <w:pPr>
              <w:spacing w:after="0"/>
              <w:rPr>
                <w:sz w:val="18"/>
                <w:szCs w:val="18"/>
                <w:color w:val="auto"/>
              </w:rPr>
            </w:pPr>
          </w:p>
        </w:tc>
      </w:tr>
      <w:tr>
        <w:trPr>
          <w:trHeight w:val="203"/>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2,450</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2,470</w:t>
            </w:r>
          </w:p>
        </w:tc>
        <w:tc>
          <w:tcPr>
            <w:tcW w:w="20" w:type="dxa"/>
            <w:vAlign w:val="bottom"/>
          </w:tcPr>
          <w:p>
            <w:pPr>
              <w:spacing w:after="0"/>
              <w:rPr>
                <w:sz w:val="17"/>
                <w:szCs w:val="17"/>
                <w:color w:val="auto"/>
              </w:rPr>
            </w:pPr>
          </w:p>
        </w:tc>
      </w:tr>
      <w:tr>
        <w:trPr>
          <w:trHeight w:val="208"/>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760</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729</w:t>
            </w:r>
          </w:p>
        </w:tc>
        <w:tc>
          <w:tcPr>
            <w:tcW w:w="20" w:type="dxa"/>
            <w:vAlign w:val="bottom"/>
            <w:tcBorders>
              <w:bottom w:val="single" w:sz="8" w:color="auto"/>
            </w:tcBorders>
          </w:tcPr>
          <w:p>
            <w:pPr>
              <w:spacing w:after="0"/>
              <w:rPr>
                <w:sz w:val="18"/>
                <w:szCs w:val="18"/>
                <w:color w:val="auto"/>
              </w:rPr>
            </w:pPr>
          </w:p>
        </w:tc>
      </w:tr>
      <w:tr>
        <w:trPr>
          <w:trHeight w:val="203"/>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31.0 %</w:t>
            </w: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29.5 %</w:t>
            </w:r>
          </w:p>
        </w:tc>
        <w:tc>
          <w:tcPr>
            <w:tcW w:w="20" w:type="dxa"/>
            <w:vAlign w:val="bottom"/>
          </w:tcPr>
          <w:p>
            <w:pPr>
              <w:spacing w:after="0"/>
              <w:rPr>
                <w:sz w:val="17"/>
                <w:szCs w:val="17"/>
                <w:color w:val="auto"/>
              </w:rPr>
            </w:pPr>
          </w:p>
        </w:tc>
      </w:tr>
      <w:tr>
        <w:trPr>
          <w:trHeight w:val="157"/>
        </w:trPr>
        <w:tc>
          <w:tcPr>
            <w:tcW w:w="7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 amortization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8"/>
                <w:szCs w:val="18"/>
                <w:color w:val="auto"/>
              </w:rPr>
            </w:pPr>
          </w:p>
        </w:tc>
      </w:tr>
      <w:tr>
        <w:trPr>
          <w:trHeight w:val="208"/>
        </w:trPr>
        <w:tc>
          <w:tcPr>
            <w:tcW w:w="7560" w:type="dxa"/>
            <w:vAlign w:val="bottom"/>
          </w:tcPr>
          <w:p>
            <w:pPr>
              <w:ind w:left="40"/>
              <w:spacing w:after="0"/>
              <w:rPr>
                <w:sz w:val="20"/>
                <w:szCs w:val="20"/>
                <w:color w:val="auto"/>
              </w:rPr>
            </w:pPr>
            <w:r>
              <w:rPr>
                <w:rFonts w:ascii="Arial" w:cs="Arial" w:eastAsia="Arial" w:hAnsi="Arial"/>
                <w:sz w:val="16"/>
                <w:szCs w:val="16"/>
                <w:color w:val="auto"/>
              </w:rPr>
              <w:t>CEO compensation</w:t>
            </w:r>
          </w:p>
        </w:tc>
        <w:tc>
          <w:tcPr>
            <w:tcW w:w="200" w:type="dxa"/>
            <w:vAlign w:val="bottom"/>
          </w:tcPr>
          <w:p>
            <w:pPr>
              <w:spacing w:after="0"/>
              <w:rPr>
                <w:sz w:val="18"/>
                <w:szCs w:val="18"/>
                <w:color w:val="auto"/>
              </w:rPr>
            </w:pP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1640" w:type="dxa"/>
            <w:vAlign w:val="bottom"/>
          </w:tcPr>
          <w:p>
            <w:pPr>
              <w:jc w:val="right"/>
              <w:ind w:right="122"/>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r>
      <w:tr>
        <w:trPr>
          <w:trHeight w:val="210"/>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Discrete items</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auto"/>
            </w:tcBorders>
          </w:tcPr>
          <w:p>
            <w:pPr>
              <w:spacing w:after="0"/>
              <w:rPr>
                <w:sz w:val="18"/>
                <w:szCs w:val="18"/>
                <w:color w:val="auto"/>
              </w:rPr>
            </w:pPr>
          </w:p>
        </w:tc>
      </w:tr>
      <w:tr>
        <w:trPr>
          <w:trHeight w:val="201"/>
        </w:trPr>
        <w:tc>
          <w:tcPr>
            <w:tcW w:w="7560" w:type="dxa"/>
            <w:vAlign w:val="bottom"/>
          </w:tcPr>
          <w:p>
            <w:pPr>
              <w:ind w:left="40"/>
              <w:spacing w:after="0"/>
              <w:rPr>
                <w:sz w:val="20"/>
                <w:szCs w:val="20"/>
                <w:color w:val="auto"/>
              </w:rPr>
            </w:pPr>
            <w:r>
              <w:rPr>
                <w:rFonts w:ascii="Arial" w:cs="Arial" w:eastAsia="Arial" w:hAnsi="Arial"/>
                <w:sz w:val="16"/>
                <w:szCs w:val="16"/>
                <w:color w:val="auto"/>
              </w:rPr>
              <w:t>Adjusted operating income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870</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22"/>
              <w:spacing w:after="0"/>
              <w:rPr>
                <w:sz w:val="20"/>
                <w:szCs w:val="20"/>
                <w:color w:val="auto"/>
              </w:rPr>
            </w:pPr>
            <w:r>
              <w:rPr>
                <w:rFonts w:ascii="Arial" w:cs="Arial" w:eastAsia="Arial" w:hAnsi="Arial"/>
                <w:sz w:val="16"/>
                <w:szCs w:val="16"/>
                <w:color w:val="auto"/>
              </w:rPr>
              <w:t>840</w:t>
            </w:r>
          </w:p>
        </w:tc>
        <w:tc>
          <w:tcPr>
            <w:tcW w:w="20" w:type="dxa"/>
            <w:vAlign w:val="bottom"/>
          </w:tcPr>
          <w:p>
            <w:pPr>
              <w:spacing w:after="0"/>
              <w:rPr>
                <w:sz w:val="17"/>
                <w:szCs w:val="17"/>
                <w:color w:val="auto"/>
              </w:rPr>
            </w:pPr>
          </w:p>
        </w:tc>
      </w:tr>
      <w:tr>
        <w:trPr>
          <w:trHeight w:val="210"/>
        </w:trPr>
        <w:tc>
          <w:tcPr>
            <w:tcW w:w="7560" w:type="dxa"/>
            <w:vAlign w:val="bottom"/>
            <w:tcBorders>
              <w:bottom w:val="single" w:sz="8" w:color="494949"/>
            </w:tcBorders>
            <w:shd w:val="clear" w:color="auto" w:fill="CCEEFF"/>
          </w:tcPr>
          <w:p>
            <w:pPr>
              <w:ind w:left="40"/>
              <w:spacing w:after="0" w:line="210" w:lineRule="exact"/>
              <w:rPr>
                <w:sz w:val="20"/>
                <w:szCs w:val="20"/>
                <w:color w:val="auto"/>
              </w:rPr>
            </w:pPr>
            <w:r>
              <w:rPr>
                <w:rFonts w:ascii="Arial" w:cs="Arial" w:eastAsia="Arial" w:hAnsi="Arial"/>
                <w:sz w:val="16"/>
                <w:szCs w:val="16"/>
                <w:i w:val="1"/>
                <w:iCs w:val="1"/>
                <w:color w:val="auto"/>
              </w:rPr>
              <w:t>Adjusted operating margin</w:t>
            </w:r>
            <w:r>
              <w:rPr>
                <w:rFonts w:ascii="Arial" w:cs="Arial" w:eastAsia="Arial" w:hAnsi="Arial"/>
                <w:sz w:val="20"/>
                <w:szCs w:val="20"/>
                <w:i w:val="1"/>
                <w:iCs w:val="1"/>
                <w:color w:val="auto"/>
                <w:vertAlign w:val="superscript"/>
              </w:rPr>
              <w:t>(a)</w:t>
            </w:r>
          </w:p>
        </w:tc>
        <w:tc>
          <w:tcPr>
            <w:tcW w:w="200" w:type="dxa"/>
            <w:vAlign w:val="bottom"/>
            <w:tcBorders>
              <w:bottom w:val="single" w:sz="8" w:color="494949"/>
            </w:tcBorders>
            <w:shd w:val="clear" w:color="auto" w:fill="CCEEFF"/>
          </w:tcPr>
          <w:p>
            <w:pPr>
              <w:spacing w:after="0"/>
              <w:rPr>
                <w:sz w:val="18"/>
                <w:szCs w:val="18"/>
                <w:color w:val="auto"/>
              </w:rPr>
            </w:pPr>
          </w:p>
        </w:tc>
        <w:tc>
          <w:tcPr>
            <w:tcW w:w="1620" w:type="dxa"/>
            <w:vAlign w:val="bottom"/>
            <w:tcBorders>
              <w:bottom w:val="single" w:sz="8" w:color="494949"/>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35.5 %</w:t>
            </w:r>
          </w:p>
        </w:tc>
        <w:tc>
          <w:tcPr>
            <w:tcW w:w="200" w:type="dxa"/>
            <w:vAlign w:val="bottom"/>
            <w:tcBorders>
              <w:bottom w:val="single" w:sz="8" w:color="494949"/>
            </w:tcBorders>
            <w:shd w:val="clear" w:color="auto" w:fill="CCEEFF"/>
          </w:tcPr>
          <w:p>
            <w:pPr>
              <w:spacing w:after="0"/>
              <w:rPr>
                <w:sz w:val="18"/>
                <w:szCs w:val="18"/>
                <w:color w:val="auto"/>
              </w:rPr>
            </w:pPr>
          </w:p>
        </w:tc>
        <w:tc>
          <w:tcPr>
            <w:tcW w:w="1640" w:type="dxa"/>
            <w:vAlign w:val="bottom"/>
            <w:tcBorders>
              <w:bottom w:val="single" w:sz="8" w:color="494949"/>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34.0 %</w:t>
            </w:r>
          </w:p>
        </w:tc>
        <w:tc>
          <w:tcPr>
            <w:tcW w:w="20" w:type="dxa"/>
            <w:vAlign w:val="bottom"/>
            <w:tcBorders>
              <w:bottom w:val="single" w:sz="8" w:color="494949"/>
            </w:tcBorders>
          </w:tcPr>
          <w:p>
            <w:pPr>
              <w:spacing w:after="0"/>
              <w:rPr>
                <w:sz w:val="18"/>
                <w:szCs w:val="18"/>
                <w:color w:val="auto"/>
              </w:rPr>
            </w:pPr>
          </w:p>
        </w:tc>
      </w:tr>
      <w:tr>
        <w:trPr>
          <w:trHeight w:val="137"/>
        </w:trPr>
        <w:tc>
          <w:tcPr>
            <w:tcW w:w="7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582</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555</w:t>
            </w:r>
          </w:p>
        </w:tc>
        <w:tc>
          <w:tcPr>
            <w:tcW w:w="20" w:type="dxa"/>
            <w:vAlign w:val="bottom"/>
          </w:tcPr>
          <w:p>
            <w:pPr>
              <w:spacing w:after="0"/>
              <w:rPr>
                <w:sz w:val="18"/>
                <w:szCs w:val="18"/>
                <w:color w:val="auto"/>
              </w:rPr>
            </w:pPr>
          </w:p>
        </w:tc>
      </w:tr>
      <w:tr>
        <w:trPr>
          <w:trHeight w:val="208"/>
        </w:trPr>
        <w:tc>
          <w:tcPr>
            <w:tcW w:w="7560" w:type="dxa"/>
            <w:vAlign w:val="bottom"/>
          </w:tcPr>
          <w:p>
            <w:pPr>
              <w:ind w:left="40"/>
              <w:spacing w:after="0"/>
              <w:rPr>
                <w:sz w:val="20"/>
                <w:szCs w:val="20"/>
                <w:color w:val="auto"/>
              </w:rPr>
            </w:pPr>
            <w:r>
              <w:rPr>
                <w:rFonts w:ascii="Arial" w:cs="Arial" w:eastAsia="Arial" w:hAnsi="Arial"/>
                <w:sz w:val="16"/>
                <w:szCs w:val="16"/>
                <w:color w:val="auto"/>
              </w:rPr>
              <w:t>Intangible asset amortization</w:t>
            </w:r>
          </w:p>
        </w:tc>
        <w:tc>
          <w:tcPr>
            <w:tcW w:w="200" w:type="dxa"/>
            <w:vAlign w:val="bottom"/>
          </w:tcPr>
          <w:p>
            <w:pPr>
              <w:spacing w:after="0"/>
              <w:rPr>
                <w:sz w:val="18"/>
                <w:szCs w:val="18"/>
                <w:color w:val="auto"/>
              </w:rPr>
            </w:pP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1640" w:type="dxa"/>
            <w:vAlign w:val="bottom"/>
          </w:tcPr>
          <w:p>
            <w:pPr>
              <w:jc w:val="right"/>
              <w:ind w:right="122"/>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8"/>
                <w:szCs w:val="18"/>
                <w:color w:val="auto"/>
              </w:rPr>
            </w:pPr>
          </w:p>
        </w:tc>
      </w:tr>
      <w:tr>
        <w:trPr>
          <w:trHeight w:val="210"/>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CEO compensation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r>
      <w:tr>
        <w:trPr>
          <w:trHeight w:val="208"/>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Discrete items</w:t>
            </w:r>
          </w:p>
        </w:tc>
        <w:tc>
          <w:tcPr>
            <w:tcW w:w="200" w:type="dxa"/>
            <w:vAlign w:val="bottom"/>
            <w:tcBorders>
              <w:bottom w:val="single" w:sz="8" w:color="494949"/>
            </w:tcBorders>
          </w:tcPr>
          <w:p>
            <w:pPr>
              <w:spacing w:after="0"/>
              <w:rPr>
                <w:sz w:val="18"/>
                <w:szCs w:val="18"/>
                <w:color w:val="auto"/>
              </w:rPr>
            </w:pPr>
          </w:p>
        </w:tc>
        <w:tc>
          <w:tcPr>
            <w:tcW w:w="1620" w:type="dxa"/>
            <w:vAlign w:val="bottom"/>
            <w:tcBorders>
              <w:bottom w:val="single" w:sz="8" w:color="494949"/>
            </w:tcBorders>
          </w:tcPr>
          <w:p>
            <w:pPr>
              <w:jc w:val="right"/>
              <w:ind w:right="121"/>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494949"/>
            </w:tcBorders>
          </w:tcPr>
          <w:p>
            <w:pPr>
              <w:spacing w:after="0"/>
              <w:rPr>
                <w:sz w:val="18"/>
                <w:szCs w:val="18"/>
                <w:color w:val="auto"/>
              </w:rPr>
            </w:pPr>
          </w:p>
        </w:tc>
        <w:tc>
          <w:tcPr>
            <w:tcW w:w="1640" w:type="dxa"/>
            <w:vAlign w:val="bottom"/>
            <w:tcBorders>
              <w:bottom w:val="single" w:sz="8" w:color="494949"/>
            </w:tcBorders>
          </w:tcPr>
          <w:p>
            <w:pPr>
              <w:jc w:val="right"/>
              <w:ind w:right="122"/>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494949"/>
            </w:tcBorders>
          </w:tcPr>
          <w:p>
            <w:pPr>
              <w:spacing w:after="0"/>
              <w:rPr>
                <w:sz w:val="18"/>
                <w:szCs w:val="18"/>
                <w:color w:val="auto"/>
              </w:rPr>
            </w:pPr>
          </w:p>
        </w:tc>
      </w:tr>
      <w:tr>
        <w:trPr>
          <w:trHeight w:val="203"/>
        </w:trPr>
        <w:tc>
          <w:tcPr>
            <w:tcW w:w="7560" w:type="dxa"/>
            <w:vAlign w:val="bottom"/>
            <w:tcBorders>
              <w:bottom w:val="single" w:sz="8" w:color="494949"/>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200" w:type="dxa"/>
            <w:vAlign w:val="bottom"/>
            <w:tcBorders>
              <w:bottom w:val="single" w:sz="8" w:color="494949"/>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494949"/>
            </w:tcBorders>
            <w:shd w:val="clear" w:color="auto" w:fill="CCEEFF"/>
          </w:tcPr>
          <w:p>
            <w:pPr>
              <w:jc w:val="right"/>
              <w:ind w:right="121"/>
              <w:spacing w:after="0"/>
              <w:rPr>
                <w:sz w:val="20"/>
                <w:szCs w:val="20"/>
                <w:color w:val="auto"/>
              </w:rPr>
            </w:pPr>
            <w:r>
              <w:rPr>
                <w:rFonts w:ascii="Arial" w:cs="Arial" w:eastAsia="Arial" w:hAnsi="Arial"/>
                <w:sz w:val="16"/>
                <w:szCs w:val="16"/>
                <w:color w:val="auto"/>
              </w:rPr>
              <w:t>670</w:t>
            </w:r>
          </w:p>
        </w:tc>
        <w:tc>
          <w:tcPr>
            <w:tcW w:w="200" w:type="dxa"/>
            <w:vAlign w:val="bottom"/>
            <w:tcBorders>
              <w:bottom w:val="single" w:sz="8" w:color="494949"/>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494949"/>
            </w:tcBorders>
            <w:shd w:val="clear" w:color="auto" w:fill="CCEEFF"/>
          </w:tcPr>
          <w:p>
            <w:pPr>
              <w:jc w:val="right"/>
              <w:ind w:right="122"/>
              <w:spacing w:after="0"/>
              <w:rPr>
                <w:sz w:val="20"/>
                <w:szCs w:val="20"/>
                <w:color w:val="auto"/>
              </w:rPr>
            </w:pPr>
            <w:r>
              <w:rPr>
                <w:rFonts w:ascii="Arial" w:cs="Arial" w:eastAsia="Arial" w:hAnsi="Arial"/>
                <w:sz w:val="16"/>
                <w:szCs w:val="16"/>
                <w:color w:val="auto"/>
              </w:rPr>
              <w:t>645</w:t>
            </w:r>
          </w:p>
        </w:tc>
        <w:tc>
          <w:tcPr>
            <w:tcW w:w="20" w:type="dxa"/>
            <w:vAlign w:val="bottom"/>
            <w:tcBorders>
              <w:bottom w:val="single" w:sz="8" w:color="494949"/>
            </w:tcBorders>
          </w:tcPr>
          <w:p>
            <w:pPr>
              <w:spacing w:after="0"/>
              <w:rPr>
                <w:sz w:val="17"/>
                <w:szCs w:val="17"/>
                <w:color w:val="auto"/>
              </w:rPr>
            </w:pPr>
          </w:p>
        </w:tc>
      </w:tr>
      <w:tr>
        <w:trPr>
          <w:trHeight w:val="137"/>
        </w:trPr>
        <w:tc>
          <w:tcPr>
            <w:tcW w:w="7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9"/>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15.35</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14.85</w:t>
            </w:r>
          </w:p>
        </w:tc>
        <w:tc>
          <w:tcPr>
            <w:tcW w:w="20" w:type="dxa"/>
            <w:vAlign w:val="bottom"/>
          </w:tcPr>
          <w:p>
            <w:pPr>
              <w:spacing w:after="0"/>
              <w:rPr>
                <w:sz w:val="18"/>
                <w:szCs w:val="18"/>
                <w:color w:val="auto"/>
              </w:rPr>
            </w:pPr>
          </w:p>
        </w:tc>
      </w:tr>
      <w:tr>
        <w:trPr>
          <w:trHeight w:val="208"/>
        </w:trPr>
        <w:tc>
          <w:tcPr>
            <w:tcW w:w="7560" w:type="dxa"/>
            <w:vAlign w:val="bottom"/>
          </w:tcPr>
          <w:p>
            <w:pPr>
              <w:ind w:left="40"/>
              <w:spacing w:after="0"/>
              <w:rPr>
                <w:sz w:val="20"/>
                <w:szCs w:val="20"/>
                <w:color w:val="auto"/>
              </w:rPr>
            </w:pPr>
            <w:r>
              <w:rPr>
                <w:rFonts w:ascii="Arial" w:cs="Arial" w:eastAsia="Arial" w:hAnsi="Arial"/>
                <w:sz w:val="16"/>
                <w:szCs w:val="16"/>
                <w:color w:val="auto"/>
              </w:rPr>
              <w:t>Intangible asset amortization</w:t>
            </w:r>
          </w:p>
        </w:tc>
        <w:tc>
          <w:tcPr>
            <w:tcW w:w="200" w:type="dxa"/>
            <w:vAlign w:val="bottom"/>
          </w:tcPr>
          <w:p>
            <w:pPr>
              <w:spacing w:after="0"/>
              <w:rPr>
                <w:sz w:val="18"/>
                <w:szCs w:val="18"/>
                <w:color w:val="auto"/>
              </w:rPr>
            </w:pP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1.63</w:t>
            </w:r>
          </w:p>
        </w:tc>
        <w:tc>
          <w:tcPr>
            <w:tcW w:w="200" w:type="dxa"/>
            <w:vAlign w:val="bottom"/>
          </w:tcPr>
          <w:p>
            <w:pPr>
              <w:spacing w:after="0"/>
              <w:rPr>
                <w:sz w:val="18"/>
                <w:szCs w:val="18"/>
                <w:color w:val="auto"/>
              </w:rPr>
            </w:pPr>
          </w:p>
        </w:tc>
        <w:tc>
          <w:tcPr>
            <w:tcW w:w="1640" w:type="dxa"/>
            <w:vAlign w:val="bottom"/>
          </w:tcPr>
          <w:p>
            <w:pPr>
              <w:jc w:val="right"/>
              <w:ind w:right="122"/>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8"/>
                <w:szCs w:val="18"/>
                <w:color w:val="auto"/>
              </w:rPr>
            </w:pPr>
          </w:p>
        </w:tc>
      </w:tr>
      <w:tr>
        <w:trPr>
          <w:trHeight w:val="210"/>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CEO compensation</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0.54</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0.54</w:t>
            </w:r>
          </w:p>
        </w:tc>
        <w:tc>
          <w:tcPr>
            <w:tcW w:w="20" w:type="dxa"/>
            <w:vAlign w:val="bottom"/>
          </w:tcPr>
          <w:p>
            <w:pPr>
              <w:spacing w:after="0"/>
              <w:rPr>
                <w:sz w:val="18"/>
                <w:szCs w:val="18"/>
                <w:color w:val="auto"/>
              </w:rPr>
            </w:pPr>
          </w:p>
        </w:tc>
      </w:tr>
      <w:tr>
        <w:trPr>
          <w:trHeight w:val="208"/>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Discrete items</w:t>
            </w:r>
          </w:p>
        </w:tc>
        <w:tc>
          <w:tcPr>
            <w:tcW w:w="200" w:type="dxa"/>
            <w:vAlign w:val="bottom"/>
            <w:tcBorders>
              <w:bottom w:val="single" w:sz="8" w:color="494949"/>
            </w:tcBorders>
          </w:tcPr>
          <w:p>
            <w:pPr>
              <w:spacing w:after="0"/>
              <w:rPr>
                <w:sz w:val="18"/>
                <w:szCs w:val="18"/>
                <w:color w:val="auto"/>
              </w:rPr>
            </w:pPr>
          </w:p>
        </w:tc>
        <w:tc>
          <w:tcPr>
            <w:tcW w:w="1620" w:type="dxa"/>
            <w:vAlign w:val="bottom"/>
            <w:tcBorders>
              <w:bottom w:val="single" w:sz="8" w:color="494949"/>
            </w:tcBorders>
          </w:tcPr>
          <w:p>
            <w:pPr>
              <w:jc w:val="right"/>
              <w:ind w:right="121"/>
              <w:spacing w:after="0"/>
              <w:rPr>
                <w:sz w:val="20"/>
                <w:szCs w:val="20"/>
                <w:color w:val="auto"/>
              </w:rPr>
            </w:pPr>
            <w:r>
              <w:rPr>
                <w:rFonts w:ascii="Arial" w:cs="Arial" w:eastAsia="Arial" w:hAnsi="Arial"/>
                <w:sz w:val="16"/>
                <w:szCs w:val="16"/>
                <w:color w:val="auto"/>
              </w:rPr>
              <w:t>0.23</w:t>
            </w:r>
          </w:p>
        </w:tc>
        <w:tc>
          <w:tcPr>
            <w:tcW w:w="200" w:type="dxa"/>
            <w:vAlign w:val="bottom"/>
            <w:tcBorders>
              <w:bottom w:val="single" w:sz="8" w:color="494949"/>
            </w:tcBorders>
          </w:tcPr>
          <w:p>
            <w:pPr>
              <w:spacing w:after="0"/>
              <w:rPr>
                <w:sz w:val="18"/>
                <w:szCs w:val="18"/>
                <w:color w:val="auto"/>
              </w:rPr>
            </w:pPr>
          </w:p>
        </w:tc>
        <w:tc>
          <w:tcPr>
            <w:tcW w:w="1640" w:type="dxa"/>
            <w:vAlign w:val="bottom"/>
            <w:tcBorders>
              <w:bottom w:val="single" w:sz="8" w:color="494949"/>
            </w:tcBorders>
          </w:tcPr>
          <w:p>
            <w:pPr>
              <w:jc w:val="right"/>
              <w:ind w:right="122"/>
              <w:spacing w:after="0"/>
              <w:rPr>
                <w:sz w:val="20"/>
                <w:szCs w:val="20"/>
                <w:color w:val="auto"/>
              </w:rPr>
            </w:pPr>
            <w:r>
              <w:rPr>
                <w:rFonts w:ascii="Arial" w:cs="Arial" w:eastAsia="Arial" w:hAnsi="Arial"/>
                <w:sz w:val="16"/>
                <w:szCs w:val="16"/>
                <w:color w:val="auto"/>
              </w:rPr>
              <w:t>0.23</w:t>
            </w:r>
          </w:p>
        </w:tc>
        <w:tc>
          <w:tcPr>
            <w:tcW w:w="20" w:type="dxa"/>
            <w:vAlign w:val="bottom"/>
            <w:tcBorders>
              <w:bottom w:val="single" w:sz="8" w:color="494949"/>
            </w:tcBorders>
          </w:tcPr>
          <w:p>
            <w:pPr>
              <w:spacing w:after="0"/>
              <w:rPr>
                <w:sz w:val="18"/>
                <w:szCs w:val="18"/>
                <w:color w:val="auto"/>
              </w:rPr>
            </w:pPr>
          </w:p>
        </w:tc>
      </w:tr>
      <w:tr>
        <w:trPr>
          <w:trHeight w:val="203"/>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common share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17.75</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17.25</w:t>
            </w:r>
          </w:p>
        </w:tc>
        <w:tc>
          <w:tcPr>
            <w:tcW w:w="20" w:type="dxa"/>
            <w:vAlign w:val="bottom"/>
          </w:tcPr>
          <w:p>
            <w:pPr>
              <w:spacing w:after="0"/>
              <w:rPr>
                <w:sz w:val="17"/>
                <w:szCs w:val="17"/>
                <w:color w:val="auto"/>
              </w:rPr>
            </w:pPr>
          </w:p>
        </w:tc>
      </w:tr>
    </w:tbl>
    <w:p>
      <w:pPr>
        <w:spacing w:after="0" w:line="18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Adjusted operating margin is calculated as Adjusted operating income divided by Revenues.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Free Cash Flow</w:t>
      </w:r>
    </w:p>
    <w:p>
      <w:pPr>
        <w:spacing w:after="0" w:line="139" w:lineRule="exact"/>
        <w:rPr>
          <w:sz w:val="20"/>
          <w:szCs w:val="20"/>
          <w:color w:val="auto"/>
        </w:rPr>
      </w:pPr>
    </w:p>
    <w:p>
      <w:pPr>
        <w:ind w:right="560"/>
        <w:spacing w:after="0" w:line="267" w:lineRule="auto"/>
        <w:rPr>
          <w:sz w:val="20"/>
          <w:szCs w:val="20"/>
          <w:color w:val="auto"/>
        </w:rPr>
      </w:pPr>
      <w:r>
        <w:rPr>
          <w:rFonts w:ascii="Arial" w:cs="Arial" w:eastAsia="Arial" w:hAnsi="Arial"/>
          <w:sz w:val="16"/>
          <w:szCs w:val="16"/>
          <w:color w:val="auto"/>
        </w:rPr>
        <w:t>Cash flows provided by operating activities have been reduced by purchases of property, equipment, leasehold improvements and capitalized internal-use software to report non-GAAP free cash flow.</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7780" w:type="dxa"/>
            <w:vAlign w:val="bottom"/>
            <w:tcBorders>
              <w:top w:val="single" w:sz="8" w:color="B6B6B6"/>
              <w:left w:val="single" w:sz="8" w:color="B6B6B6"/>
            </w:tcBorders>
          </w:tcPr>
          <w:p>
            <w:pPr>
              <w:ind w:left="40"/>
              <w:spacing w:after="0"/>
              <w:rPr>
                <w:sz w:val="20"/>
                <w:szCs w:val="20"/>
                <w:color w:val="auto"/>
              </w:rPr>
            </w:pPr>
            <w:r>
              <w:rPr>
                <w:rFonts w:ascii="Arial" w:cs="Arial" w:eastAsia="Arial" w:hAnsi="Arial"/>
                <w:sz w:val="16"/>
                <w:szCs w:val="16"/>
                <w:i w:val="1"/>
                <w:iCs w:val="1"/>
                <w:color w:val="auto"/>
              </w:rPr>
              <w:t>(Unaudited)</w:t>
            </w:r>
          </w:p>
        </w:tc>
        <w:tc>
          <w:tcPr>
            <w:tcW w:w="280" w:type="dxa"/>
            <w:vAlign w:val="bottom"/>
            <w:tcBorders>
              <w:top w:val="single" w:sz="8" w:color="B6B6B6"/>
            </w:tcBorders>
          </w:tcPr>
          <w:p>
            <w:pPr>
              <w:spacing w:after="0"/>
              <w:rPr>
                <w:sz w:val="19"/>
                <w:szCs w:val="19"/>
                <w:color w:val="auto"/>
              </w:rPr>
            </w:pPr>
          </w:p>
        </w:tc>
        <w:tc>
          <w:tcPr>
            <w:tcW w:w="2200" w:type="dxa"/>
            <w:vAlign w:val="bottom"/>
            <w:tcBorders>
              <w:top w:val="single" w:sz="8" w:color="B6B6B6"/>
            </w:tcBorders>
            <w:gridSpan w:val="3"/>
          </w:tcPr>
          <w:p>
            <w:pPr>
              <w:jc w:val="right"/>
              <w:ind w:right="442"/>
              <w:spacing w:after="0"/>
              <w:rPr>
                <w:sz w:val="20"/>
                <w:szCs w:val="20"/>
                <w:color w:val="auto"/>
              </w:rPr>
            </w:pPr>
            <w:r>
              <w:rPr>
                <w:rFonts w:ascii="Arial" w:cs="Arial" w:eastAsia="Arial" w:hAnsi="Arial"/>
                <w:sz w:val="16"/>
                <w:szCs w:val="16"/>
                <w:color w:val="auto"/>
              </w:rPr>
              <w:t>Three Months Ended</w:t>
            </w:r>
          </w:p>
        </w:tc>
        <w:tc>
          <w:tcPr>
            <w:tcW w:w="1000" w:type="dxa"/>
            <w:vAlign w:val="bottom"/>
            <w:tcBorders>
              <w:top w:val="single" w:sz="8" w:color="B6B6B6"/>
              <w:right w:val="single" w:sz="8" w:color="B6B6B6"/>
            </w:tcBorders>
          </w:tcPr>
          <w:p>
            <w:pPr>
              <w:spacing w:after="0"/>
              <w:rPr>
                <w:sz w:val="19"/>
                <w:szCs w:val="19"/>
                <w:color w:val="auto"/>
              </w:rPr>
            </w:pPr>
          </w:p>
        </w:tc>
      </w:tr>
      <w:tr>
        <w:trPr>
          <w:trHeight w:val="209"/>
        </w:trPr>
        <w:tc>
          <w:tcPr>
            <w:tcW w:w="7780" w:type="dxa"/>
            <w:vAlign w:val="bottom"/>
            <w:tcBorders>
              <w:left w:val="single" w:sz="8" w:color="B6B6B6"/>
            </w:tcBorders>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
              <w:spacing w:after="0"/>
              <w:rPr>
                <w:sz w:val="20"/>
                <w:szCs w:val="20"/>
                <w:color w:val="auto"/>
              </w:rPr>
            </w:pPr>
            <w:r>
              <w:rPr>
                <w:rFonts w:ascii="Arial" w:cs="Arial" w:eastAsia="Arial" w:hAnsi="Arial"/>
                <w:sz w:val="16"/>
                <w:szCs w:val="16"/>
                <w:color w:val="auto"/>
              </w:rPr>
              <w:t>May 31,</w:t>
            </w:r>
          </w:p>
        </w:tc>
        <w:tc>
          <w:tcPr>
            <w:tcW w:w="880" w:type="dxa"/>
            <w:vAlign w:val="bottom"/>
          </w:tcPr>
          <w:p>
            <w:pPr>
              <w:spacing w:after="0"/>
              <w:rPr>
                <w:sz w:val="18"/>
                <w:szCs w:val="18"/>
                <w:color w:val="auto"/>
              </w:rPr>
            </w:pPr>
          </w:p>
        </w:tc>
        <w:tc>
          <w:tcPr>
            <w:tcW w:w="1000" w:type="dxa"/>
            <w:vAlign w:val="bottom"/>
            <w:tcBorders>
              <w:right w:val="single" w:sz="8" w:color="B6B6B6"/>
            </w:tcBorders>
          </w:tcPr>
          <w:p>
            <w:pPr>
              <w:spacing w:after="0"/>
              <w:rPr>
                <w:sz w:val="18"/>
                <w:szCs w:val="18"/>
                <w:color w:val="auto"/>
              </w:rPr>
            </w:pPr>
          </w:p>
        </w:tc>
      </w:tr>
      <w:tr>
        <w:trPr>
          <w:trHeight w:val="210"/>
        </w:trPr>
        <w:tc>
          <w:tcPr>
            <w:tcW w:w="7780" w:type="dxa"/>
            <w:vAlign w:val="bottom"/>
            <w:tcBorders>
              <w:left w:val="single" w:sz="8" w:color="B6B6B6"/>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2026</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2025</w:t>
            </w:r>
          </w:p>
        </w:tc>
        <w:tc>
          <w:tcPr>
            <w:tcW w:w="1000" w:type="dxa"/>
            <w:vAlign w:val="bottom"/>
            <w:tcBorders>
              <w:bottom w:val="single" w:sz="8" w:color="auto"/>
              <w:right w:val="single" w:sz="8" w:color="B6B6B6"/>
            </w:tcBorders>
          </w:tcPr>
          <w:p>
            <w:pPr>
              <w:jc w:val="right"/>
              <w:ind w:right="162"/>
              <w:spacing w:after="0"/>
              <w:rPr>
                <w:sz w:val="20"/>
                <w:szCs w:val="20"/>
                <w:color w:val="auto"/>
              </w:rPr>
            </w:pPr>
            <w:r>
              <w:rPr>
                <w:rFonts w:ascii="Arial" w:cs="Arial" w:eastAsia="Arial" w:hAnsi="Arial"/>
                <w:sz w:val="16"/>
                <w:szCs w:val="16"/>
                <w:color w:val="auto"/>
              </w:rPr>
              <w:t>Change</w:t>
            </w:r>
          </w:p>
        </w:tc>
      </w:tr>
      <w:tr>
        <w:trPr>
          <w:trHeight w:val="203"/>
        </w:trPr>
        <w:tc>
          <w:tcPr>
            <w:tcW w:w="778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Net Cash Provided for Operating Activities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284,520</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253,833</w:t>
            </w:r>
          </w:p>
        </w:tc>
        <w:tc>
          <w:tcPr>
            <w:tcW w:w="1000" w:type="dxa"/>
            <w:vAlign w:val="bottom"/>
            <w:tcBorders>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08"/>
        </w:trPr>
        <w:tc>
          <w:tcPr>
            <w:tcW w:w="7780" w:type="dxa"/>
            <w:vAlign w:val="bottom"/>
            <w:tcBorders>
              <w:left w:val="single" w:sz="8" w:color="B6B6B6"/>
              <w:bottom w:val="single" w:sz="8" w:color="CCEEFF"/>
            </w:tcBorders>
          </w:tcPr>
          <w:p>
            <w:pPr>
              <w:ind w:left="40"/>
              <w:spacing w:after="0"/>
              <w:rPr>
                <w:sz w:val="20"/>
                <w:szCs w:val="20"/>
                <w:color w:val="auto"/>
              </w:rPr>
            </w:pPr>
            <w:r>
              <w:rPr>
                <w:rFonts w:ascii="Arial" w:cs="Arial" w:eastAsia="Arial" w:hAnsi="Arial"/>
                <w:sz w:val="16"/>
                <w:szCs w:val="16"/>
                <w:color w:val="auto"/>
              </w:rPr>
              <w:t>Less: purchases of property, equipment, leasehold improvements and capitalized internal-use software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(30,475)</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(25,230)</w:t>
            </w:r>
          </w:p>
        </w:tc>
        <w:tc>
          <w:tcPr>
            <w:tcW w:w="1000" w:type="dxa"/>
            <w:vAlign w:val="bottom"/>
            <w:tcBorders>
              <w:bottom w:val="single" w:sz="8" w:color="CCEEFF"/>
              <w:right w:val="single" w:sz="8" w:color="B6B6B6"/>
            </w:tcBorders>
          </w:tcPr>
          <w:p>
            <w:pPr>
              <w:jc w:val="right"/>
              <w:spacing w:after="0"/>
              <w:rPr>
                <w:sz w:val="20"/>
                <w:szCs w:val="20"/>
                <w:color w:val="auto"/>
              </w:rPr>
            </w:pPr>
            <w:r>
              <w:rPr>
                <w:rFonts w:ascii="Arial" w:cs="Arial" w:eastAsia="Arial" w:hAnsi="Arial"/>
                <w:sz w:val="16"/>
                <w:szCs w:val="16"/>
                <w:color w:val="auto"/>
              </w:rPr>
              <w:t>20.8 %</w:t>
            </w:r>
          </w:p>
        </w:tc>
      </w:tr>
      <w:tr>
        <w:trPr>
          <w:trHeight w:val="202"/>
        </w:trPr>
        <w:tc>
          <w:tcPr>
            <w:tcW w:w="7780" w:type="dxa"/>
            <w:vAlign w:val="bottom"/>
            <w:tcBorders>
              <w:left w:val="single" w:sz="8" w:color="B6B6B6"/>
              <w:bottom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280" w:type="dxa"/>
            <w:vAlign w:val="bottom"/>
            <w:tcBorders>
              <w:bottom w:val="single" w:sz="8" w:color="B6B6B6"/>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254,045</w:t>
            </w:r>
          </w:p>
        </w:tc>
        <w:tc>
          <w:tcPr>
            <w:tcW w:w="360" w:type="dxa"/>
            <w:vAlign w:val="bottom"/>
            <w:tcBorders>
              <w:bottom w:val="single" w:sz="8" w:color="B6B6B6"/>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B6B6B6"/>
            </w:tcBorders>
            <w:shd w:val="clear" w:color="auto" w:fill="CCEEFF"/>
          </w:tcPr>
          <w:p>
            <w:pPr>
              <w:jc w:val="right"/>
              <w:ind w:right="2"/>
              <w:spacing w:after="0"/>
              <w:rPr>
                <w:sz w:val="20"/>
                <w:szCs w:val="20"/>
                <w:color w:val="auto"/>
              </w:rPr>
            </w:pPr>
            <w:r>
              <w:rPr>
                <w:rFonts w:ascii="Arial" w:cs="Arial" w:eastAsia="Arial" w:hAnsi="Arial"/>
                <w:sz w:val="16"/>
                <w:szCs w:val="16"/>
                <w:color w:val="auto"/>
              </w:rPr>
              <w:t>228,603</w:t>
            </w:r>
          </w:p>
        </w:tc>
        <w:tc>
          <w:tcPr>
            <w:tcW w:w="1000" w:type="dxa"/>
            <w:vAlign w:val="bottom"/>
            <w:tcBorders>
              <w:bottom w:val="single" w:sz="8" w:color="B6B6B6"/>
              <w:right w:val="single" w:sz="8" w:color="B6B6B6"/>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2"/>
          <w:szCs w:val="12"/>
          <w:color w:val="AFAFAF"/>
        </w:rPr>
        <w:t>11</w:t>
      </w:r>
    </w:p>
    <w:p>
      <w:pPr>
        <w:sectPr>
          <w:pgSz w:w="11900" w:h="16838" w:orient="portrait"/>
          <w:cols w:equalWidth="0" w:num="1">
            <w:col w:w="11240"/>
          </w:cols>
          <w:pgMar w:left="320" w:top="953" w:right="339" w:bottom="1440" w:gutter="0" w:footer="0" w:header="0"/>
        </w:sectPr>
      </w:pPr>
    </w:p>
    <w:bookmarkStart w:id="13" w:name="page14"/>
    <w:bookmarkEnd w:id="13"/>
    <w:p>
      <w:pPr>
        <w:spacing w:after="0"/>
        <w:rPr>
          <w:sz w:val="20"/>
          <w:szCs w:val="20"/>
          <w:color w:val="auto"/>
        </w:rPr>
      </w:pPr>
      <w:r>
        <w:rPr>
          <w:rFonts w:ascii="Arial" w:cs="Arial" w:eastAsia="Arial" w:hAnsi="Arial"/>
          <w:sz w:val="21"/>
          <w:szCs w:val="21"/>
          <w:b w:val="1"/>
          <w:bCs w:val="1"/>
          <w:color w:val="auto"/>
        </w:rPr>
        <w:t>Organic ASV</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calculation of organic ASV.</w:t>
      </w: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880" w:type="dxa"/>
            <w:vAlign w:val="bottom"/>
            <w:tcBorders>
              <w:top w:val="single" w:sz="8" w:color="B6B6B6"/>
              <w:left w:val="single" w:sz="8" w:color="B6B6B6"/>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millions)</w:t>
            </w:r>
          </w:p>
        </w:tc>
        <w:tc>
          <w:tcPr>
            <w:tcW w:w="3200" w:type="dxa"/>
            <w:vAlign w:val="bottom"/>
            <w:tcBorders>
              <w:top w:val="single" w:sz="8" w:color="B6B6B6"/>
              <w:bottom w:val="single" w:sz="8" w:color="auto"/>
            </w:tcBorders>
          </w:tcPr>
          <w:p>
            <w:pPr>
              <w:spacing w:after="0"/>
              <w:rPr>
                <w:sz w:val="19"/>
                <w:szCs w:val="19"/>
                <w:color w:val="auto"/>
              </w:rPr>
            </w:pPr>
          </w:p>
        </w:tc>
        <w:tc>
          <w:tcPr>
            <w:tcW w:w="2180" w:type="dxa"/>
            <w:vAlign w:val="bottom"/>
            <w:tcBorders>
              <w:top w:val="single" w:sz="8" w:color="B6B6B6"/>
              <w:bottom w:val="single" w:sz="8" w:color="auto"/>
              <w:right w:val="single" w:sz="8" w:color="B6B6B6"/>
            </w:tcBorders>
          </w:tcPr>
          <w:p>
            <w:pPr>
              <w:jc w:val="right"/>
              <w:ind w:right="522"/>
              <w:spacing w:after="0"/>
              <w:rPr>
                <w:sz w:val="20"/>
                <w:szCs w:val="20"/>
                <w:color w:val="auto"/>
              </w:rPr>
            </w:pPr>
            <w:r>
              <w:rPr>
                <w:rFonts w:ascii="Arial" w:cs="Arial" w:eastAsia="Arial" w:hAnsi="Arial"/>
                <w:sz w:val="16"/>
                <w:szCs w:val="16"/>
                <w:color w:val="auto"/>
              </w:rPr>
              <w:t>As of May 31, 2026</w:t>
            </w:r>
          </w:p>
        </w:tc>
      </w:tr>
      <w:tr>
        <w:trPr>
          <w:trHeight w:val="203"/>
        </w:trPr>
        <w:tc>
          <w:tcPr>
            <w:tcW w:w="588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As reported ASV</w:t>
            </w:r>
          </w:p>
        </w:tc>
        <w:tc>
          <w:tcPr>
            <w:tcW w:w="32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2180" w:type="dxa"/>
            <w:vAlign w:val="bottom"/>
            <w:tcBorders>
              <w:right w:val="single" w:sz="8" w:color="B6B6B6"/>
            </w:tcBorders>
            <w:shd w:val="clear" w:color="auto" w:fill="CCEEFF"/>
          </w:tcPr>
          <w:p>
            <w:pPr>
              <w:jc w:val="right"/>
              <w:ind w:right="142"/>
              <w:spacing w:after="0"/>
              <w:rPr>
                <w:sz w:val="20"/>
                <w:szCs w:val="20"/>
                <w:color w:val="auto"/>
              </w:rPr>
            </w:pPr>
            <w:r>
              <w:rPr>
                <w:rFonts w:ascii="Arial" w:cs="Arial" w:eastAsia="Arial" w:hAnsi="Arial"/>
                <w:sz w:val="16"/>
                <w:szCs w:val="16"/>
                <w:color w:val="auto"/>
              </w:rPr>
              <w:t>2,484.3</w:t>
            </w:r>
          </w:p>
        </w:tc>
      </w:tr>
      <w:tr>
        <w:trPr>
          <w:trHeight w:val="208"/>
        </w:trPr>
        <w:tc>
          <w:tcPr>
            <w:tcW w:w="5880" w:type="dxa"/>
            <w:vAlign w:val="bottom"/>
            <w:tcBorders>
              <w:left w:val="single" w:sz="8" w:color="B6B6B6"/>
            </w:tcBorders>
          </w:tcPr>
          <w:p>
            <w:pPr>
              <w:ind w:left="140"/>
              <w:spacing w:after="0"/>
              <w:rPr>
                <w:sz w:val="20"/>
                <w:szCs w:val="20"/>
                <w:color w:val="auto"/>
              </w:rPr>
            </w:pPr>
            <w:r>
              <w:rPr>
                <w:rFonts w:ascii="Arial" w:cs="Arial" w:eastAsia="Arial" w:hAnsi="Arial"/>
                <w:sz w:val="16"/>
                <w:szCs w:val="16"/>
                <w:color w:val="auto"/>
              </w:rPr>
              <w:t>Impact from foreign currency movements</w:t>
            </w:r>
          </w:p>
        </w:tc>
        <w:tc>
          <w:tcPr>
            <w:tcW w:w="3200" w:type="dxa"/>
            <w:vAlign w:val="bottom"/>
          </w:tcPr>
          <w:p>
            <w:pPr>
              <w:spacing w:after="0"/>
              <w:rPr>
                <w:sz w:val="18"/>
                <w:szCs w:val="18"/>
                <w:color w:val="auto"/>
              </w:rPr>
            </w:pPr>
          </w:p>
        </w:tc>
        <w:tc>
          <w:tcPr>
            <w:tcW w:w="2180" w:type="dxa"/>
            <w:vAlign w:val="bottom"/>
            <w:tcBorders>
              <w:right w:val="single" w:sz="8" w:color="B6B6B6"/>
            </w:tcBorders>
          </w:tcPr>
          <w:p>
            <w:pPr>
              <w:jc w:val="right"/>
              <w:ind w:right="142"/>
              <w:spacing w:after="0"/>
              <w:rPr>
                <w:sz w:val="20"/>
                <w:szCs w:val="20"/>
                <w:color w:val="auto"/>
              </w:rPr>
            </w:pPr>
            <w:r>
              <w:rPr>
                <w:rFonts w:ascii="Arial" w:cs="Arial" w:eastAsia="Arial" w:hAnsi="Arial"/>
                <w:sz w:val="16"/>
                <w:szCs w:val="16"/>
                <w:color w:val="auto"/>
              </w:rPr>
              <w:t>1.3</w:t>
            </w:r>
          </w:p>
        </w:tc>
      </w:tr>
      <w:tr>
        <w:trPr>
          <w:trHeight w:val="210"/>
        </w:trPr>
        <w:tc>
          <w:tcPr>
            <w:tcW w:w="5880" w:type="dxa"/>
            <w:vAlign w:val="bottom"/>
            <w:tcBorders>
              <w:left w:val="single" w:sz="8" w:color="B6B6B6"/>
            </w:tcBorders>
            <w:shd w:val="clear" w:color="auto" w:fill="CCEEFF"/>
          </w:tcPr>
          <w:p>
            <w:pPr>
              <w:ind w:left="40"/>
              <w:spacing w:after="0"/>
              <w:rPr>
                <w:sz w:val="20"/>
                <w:szCs w:val="20"/>
                <w:color w:val="auto"/>
              </w:rPr>
            </w:pPr>
            <w:r>
              <w:rPr>
                <w:rFonts w:ascii="Arial" w:cs="Arial" w:eastAsia="Arial" w:hAnsi="Arial"/>
                <w:sz w:val="16"/>
                <w:szCs w:val="16"/>
                <w:color w:val="auto"/>
              </w:rPr>
              <w:t>Organic ASV</w:t>
            </w:r>
          </w:p>
        </w:tc>
        <w:tc>
          <w:tcPr>
            <w:tcW w:w="32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2180" w:type="dxa"/>
            <w:vAlign w:val="bottom"/>
            <w:tcBorders>
              <w:right w:val="single" w:sz="8" w:color="B6B6B6"/>
            </w:tcBorders>
            <w:shd w:val="clear" w:color="auto" w:fill="CCEEFF"/>
          </w:tcPr>
          <w:p>
            <w:pPr>
              <w:jc w:val="right"/>
              <w:ind w:right="142"/>
              <w:spacing w:after="0"/>
              <w:rPr>
                <w:sz w:val="20"/>
                <w:szCs w:val="20"/>
                <w:color w:val="auto"/>
              </w:rPr>
            </w:pPr>
            <w:r>
              <w:rPr>
                <w:rFonts w:ascii="Arial" w:cs="Arial" w:eastAsia="Arial" w:hAnsi="Arial"/>
                <w:sz w:val="16"/>
                <w:szCs w:val="16"/>
                <w:color w:val="auto"/>
              </w:rPr>
              <w:t>2,485.6</w:t>
            </w:r>
          </w:p>
        </w:tc>
      </w:tr>
      <w:tr>
        <w:trPr>
          <w:trHeight w:val="209"/>
        </w:trPr>
        <w:tc>
          <w:tcPr>
            <w:tcW w:w="5880" w:type="dxa"/>
            <w:vAlign w:val="bottom"/>
            <w:tcBorders>
              <w:left w:val="single" w:sz="8" w:color="B6B6B6"/>
              <w:bottom w:val="single" w:sz="8" w:color="B6B6B6"/>
            </w:tcBorders>
          </w:tcPr>
          <w:p>
            <w:pPr>
              <w:ind w:left="40"/>
              <w:spacing w:after="0" w:line="209" w:lineRule="exact"/>
              <w:rPr>
                <w:sz w:val="20"/>
                <w:szCs w:val="20"/>
                <w:color w:val="auto"/>
              </w:rPr>
            </w:pPr>
            <w:r>
              <w:rPr>
                <w:rFonts w:ascii="Arial" w:cs="Arial" w:eastAsia="Arial" w:hAnsi="Arial"/>
                <w:sz w:val="16"/>
                <w:szCs w:val="16"/>
                <w:i w:val="1"/>
                <w:iCs w:val="1"/>
                <w:color w:val="auto"/>
              </w:rPr>
              <w:t>Organic ASV annual growth rate</w:t>
            </w:r>
            <w:r>
              <w:rPr>
                <w:rFonts w:ascii="Arial" w:cs="Arial" w:eastAsia="Arial" w:hAnsi="Arial"/>
                <w:sz w:val="20"/>
                <w:szCs w:val="20"/>
                <w:i w:val="1"/>
                <w:iCs w:val="1"/>
                <w:color w:val="auto"/>
                <w:vertAlign w:val="superscript"/>
              </w:rPr>
              <w:t>(a)</w:t>
            </w:r>
          </w:p>
        </w:tc>
        <w:tc>
          <w:tcPr>
            <w:tcW w:w="3200" w:type="dxa"/>
            <w:vAlign w:val="bottom"/>
            <w:tcBorders>
              <w:bottom w:val="single" w:sz="8" w:color="B6B6B6"/>
            </w:tcBorders>
          </w:tcPr>
          <w:p>
            <w:pPr>
              <w:spacing w:after="0"/>
              <w:rPr>
                <w:sz w:val="18"/>
                <w:szCs w:val="18"/>
                <w:color w:val="auto"/>
              </w:rPr>
            </w:pPr>
          </w:p>
        </w:tc>
        <w:tc>
          <w:tcPr>
            <w:tcW w:w="21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6"/>
                <w:szCs w:val="16"/>
                <w:i w:val="1"/>
                <w:iCs w:val="1"/>
                <w:color w:val="auto"/>
              </w:rPr>
              <w:t>7.1 %</w:t>
            </w:r>
          </w:p>
        </w:tc>
      </w:tr>
    </w:tbl>
    <w:p>
      <w:pPr>
        <w:spacing w:after="0" w:line="20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For comparability purposes, in calculating the organic ASV annual growth rate, the prior year excludes ASV from dispositions completed in the last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1100"/>
        <w:spacing w:after="0"/>
        <w:rPr>
          <w:sz w:val="20"/>
          <w:szCs w:val="20"/>
          <w:color w:val="auto"/>
        </w:rPr>
      </w:pPr>
      <w:r>
        <w:rPr>
          <w:rFonts w:ascii="Arial" w:cs="Arial" w:eastAsia="Arial" w:hAnsi="Arial"/>
          <w:sz w:val="12"/>
          <w:szCs w:val="12"/>
          <w:color w:val="AFAFAF"/>
        </w:rPr>
        <w:t>12</w:t>
      </w:r>
    </w:p>
    <w:sectPr>
      <w:pgSz w:w="11900" w:h="16838" w:orient="portrait"/>
      <w:cols w:equalWidth="0" w:num="1">
        <w:col w:w="11240"/>
      </w:cols>
      <w:pgMar w:left="320" w:top="10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2026-07-01T06:03:57Z</dcterms:created>
  <dcterms:modified xsi:type="dcterms:W3CDTF">2026-07-01T06:03:57Z</dcterms:modified>
</cp:coreProperties>
</file>