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514350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4"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6"/>
          <w:szCs w:val="16"/>
          <w:color w:val="auto"/>
        </w:rPr>
        <w:t>_________________________________________________</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11"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6"/>
          <w:szCs w:val="16"/>
          <w:color w:val="auto"/>
        </w:rPr>
        <w:t>_________________________________________________</w:t>
      </w:r>
    </w:p>
    <w:p>
      <w:pPr>
        <w:spacing w:after="0" w:line="43" w:lineRule="exact"/>
        <w:rPr>
          <w:sz w:val="24"/>
          <w:szCs w:val="24"/>
          <w:color w:val="auto"/>
        </w:rPr>
      </w:pPr>
    </w:p>
    <w:p>
      <w:pPr>
        <w:ind w:left="460" w:hanging="434"/>
        <w:spacing w:after="0"/>
        <w:tabs>
          <w:tab w:leader="none" w:pos="460" w:val="left"/>
        </w:tabs>
        <w:numPr>
          <w:ilvl w:val="0"/>
          <w:numId w:val="1"/>
        </w:numPr>
        <w:rPr>
          <w:rFonts w:ascii="Wingdings" w:cs="Wingdings" w:eastAsia="Wingdings" w:hAnsi="Wingdings"/>
          <w:sz w:val="20"/>
          <w:szCs w:val="20"/>
          <w:b w:val="1"/>
          <w:bCs w:val="1"/>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 the quarterly period ended February 28, 2025</w:t>
      </w:r>
    </w:p>
    <w:p>
      <w:pPr>
        <w:spacing w:after="0" w:line="8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50" w:lineRule="exact"/>
        <w:rPr>
          <w:sz w:val="24"/>
          <w:szCs w:val="24"/>
          <w:color w:val="auto"/>
        </w:rPr>
      </w:pPr>
    </w:p>
    <w:p>
      <w:pPr>
        <w:ind w:left="3900" w:right="1620" w:hanging="3874"/>
        <w:spacing w:after="0" w:line="423" w:lineRule="auto"/>
        <w:tabs>
          <w:tab w:leader="none" w:pos="458" w:val="left"/>
        </w:tabs>
        <w:numPr>
          <w:ilvl w:val="0"/>
          <w:numId w:val="2"/>
        </w:numPr>
        <w:rPr>
          <w:rFonts w:ascii="MS PGothic" w:cs="MS PGothic" w:eastAsia="MS PGothic" w:hAnsi="MS PGothic"/>
          <w:sz w:val="20"/>
          <w:szCs w:val="20"/>
          <w:color w:val="auto"/>
        </w:rPr>
      </w:pPr>
      <w:r>
        <w:rPr>
          <w:rFonts w:ascii="Times New Roman" w:cs="Times New Roman" w:eastAsia="Times New Roman" w:hAnsi="Times New Roman"/>
          <w:sz w:val="18"/>
          <w:szCs w:val="18"/>
          <w:b w:val="1"/>
          <w:bCs w:val="1"/>
          <w:color w:val="auto"/>
        </w:rPr>
        <w:t xml:space="preserve">TRANSITION REPORT PURSUANT TO SECTION 13 OR 15(d) OF THE SECURITIES EXCHANGE ACT OF 1934 </w:t>
      </w:r>
      <w:r>
        <w:rPr>
          <w:rFonts w:ascii="Times New Roman" w:cs="Times New Roman" w:eastAsia="Times New Roman" w:hAnsi="Times New Roman"/>
          <w:sz w:val="18"/>
          <w:szCs w:val="18"/>
          <w:color w:val="auto"/>
        </w:rPr>
        <w:t>For the transition period from ______to ______</w:t>
      </w:r>
    </w:p>
    <w:p>
      <w:pPr>
        <w:spacing w:after="0" w:line="6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1-11869</w:t>
      </w:r>
    </w:p>
    <w:p>
      <w:pPr>
        <w:spacing w:after="0" w:line="31"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6"/>
          <w:szCs w:val="16"/>
          <w:color w:val="auto"/>
        </w:rPr>
        <w:t>_________________________________________________</w:t>
      </w:r>
    </w:p>
    <w:p>
      <w:pPr>
        <w:spacing w:after="0" w:line="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FACTSET RESEARCH SYSTEMS INC.</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80010</wp:posOffset>
            </wp:positionV>
            <wp:extent cx="1414145" cy="2571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14145" cy="257175"/>
                    </a:xfrm>
                    <a:prstGeom prst="rect">
                      <a:avLst/>
                    </a:prstGeom>
                    <a:noFill/>
                  </pic:spPr>
                </pic:pic>
              </a:graphicData>
            </a:graphic>
          </wp:anchor>
        </w:drawing>
      </w:r>
    </w:p>
    <w:p>
      <w:pPr>
        <w:spacing w:after="0" w:line="200" w:lineRule="exact"/>
        <w:rPr>
          <w:sz w:val="24"/>
          <w:szCs w:val="24"/>
          <w:color w:val="auto"/>
        </w:rPr>
      </w:pPr>
    </w:p>
    <w:p>
      <w:pPr>
        <w:spacing w:after="0" w:line="378" w:lineRule="exact"/>
        <w:rPr>
          <w:sz w:val="24"/>
          <w:szCs w:val="24"/>
          <w:color w:val="auto"/>
        </w:rPr>
      </w:pPr>
    </w:p>
    <w:tbl>
      <w:tblPr>
        <w:tblLayout w:type="fixed"/>
        <w:tblInd w:w="1240" w:type="dxa"/>
        <w:tblCellMar>
          <w:top w:w="0" w:type="dxa"/>
          <w:left w:w="0" w:type="dxa"/>
          <w:bottom w:w="0" w:type="dxa"/>
          <w:right w:w="0" w:type="dxa"/>
        </w:tblCellMar>
      </w:tblPr>
      <w:tr>
        <w:trPr>
          <w:trHeight w:val="210"/>
        </w:trPr>
        <w:tc>
          <w:tcPr>
            <w:tcW w:w="6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_________________________________________________</w:t>
            </w:r>
          </w:p>
        </w:tc>
        <w:tc>
          <w:tcPr>
            <w:tcW w:w="1400" w:type="dxa"/>
            <w:vAlign w:val="bottom"/>
          </w:tcPr>
          <w:p>
            <w:pPr>
              <w:spacing w:after="0"/>
              <w:rPr>
                <w:sz w:val="18"/>
                <w:szCs w:val="18"/>
                <w:color w:val="auto"/>
              </w:rPr>
            </w:pPr>
          </w:p>
        </w:tc>
      </w:tr>
      <w:tr>
        <w:trPr>
          <w:trHeight w:val="258"/>
        </w:trPr>
        <w:tc>
          <w:tcPr>
            <w:tcW w:w="6440" w:type="dxa"/>
            <w:vAlign w:val="bottom"/>
          </w:tcPr>
          <w:p>
            <w:pPr>
              <w:jc w:val="center"/>
              <w:ind w:right="323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13-3362547</w:t>
            </w:r>
          </w:p>
        </w:tc>
      </w:tr>
      <w:tr>
        <w:trPr>
          <w:trHeight w:val="180"/>
        </w:trPr>
        <w:tc>
          <w:tcPr>
            <w:tcW w:w="6440" w:type="dxa"/>
            <w:vAlign w:val="bottom"/>
          </w:tcPr>
          <w:p>
            <w:pPr>
              <w:jc w:val="center"/>
              <w:ind w:right="3232"/>
              <w:spacing w:after="0" w:line="181"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140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6440" w:type="dxa"/>
            <w:vAlign w:val="bottom"/>
          </w:tcPr>
          <w:p>
            <w:pPr>
              <w:jc w:val="center"/>
              <w:ind w:right="3232"/>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360"/>
        </w:trPr>
        <w:tc>
          <w:tcPr>
            <w:tcW w:w="6440" w:type="dxa"/>
            <w:vAlign w:val="bottom"/>
          </w:tcPr>
          <w:p>
            <w:pPr>
              <w:jc w:val="center"/>
              <w:ind w:right="3212"/>
              <w:spacing w:after="0"/>
              <w:rPr>
                <w:sz w:val="20"/>
                <w:szCs w:val="20"/>
                <w:color w:val="auto"/>
              </w:rPr>
            </w:pPr>
            <w:r>
              <w:rPr>
                <w:rFonts w:ascii="Times New Roman" w:cs="Times New Roman" w:eastAsia="Times New Roman" w:hAnsi="Times New Roman"/>
                <w:sz w:val="18"/>
                <w:szCs w:val="18"/>
                <w:b w:val="1"/>
                <w:bCs w:val="1"/>
                <w:color w:val="auto"/>
                <w:w w:val="99"/>
              </w:rPr>
              <w:t>45 Glover Avenue, Norwalk, Connecticut</w:t>
            </w:r>
          </w:p>
        </w:tc>
        <w:tc>
          <w:tcPr>
            <w:tcW w:w="14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06850</w:t>
            </w:r>
          </w:p>
        </w:tc>
      </w:tr>
      <w:tr>
        <w:trPr>
          <w:trHeight w:val="256"/>
        </w:trPr>
        <w:tc>
          <w:tcPr>
            <w:tcW w:w="6440" w:type="dxa"/>
            <w:vAlign w:val="bottom"/>
          </w:tcPr>
          <w:p>
            <w:pPr>
              <w:jc w:val="center"/>
              <w:ind w:right="3232"/>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7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(203) 810-1000</w:t>
      </w:r>
    </w:p>
    <w:p>
      <w:pPr>
        <w:spacing w:after="0" w:line="2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Former name, former address and former fiscal year, if changed since last report: None</w:t>
      </w:r>
    </w:p>
    <w:p>
      <w:pPr>
        <w:spacing w:after="0" w:line="100"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6"/>
          <w:szCs w:val="16"/>
          <w:color w:val="auto"/>
        </w:rPr>
        <w:t>_________________________________________________</w:t>
      </w:r>
    </w:p>
    <w:p>
      <w:pPr>
        <w:spacing w:after="0" w:line="9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34"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32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9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Trading Symbols(s)</w:t>
            </w:r>
          </w:p>
        </w:tc>
        <w:tc>
          <w:tcPr>
            <w:tcW w:w="42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c>
          <w:tcPr>
            <w:tcW w:w="0" w:type="dxa"/>
            <w:vAlign w:val="bottom"/>
          </w:tcPr>
          <w:p>
            <w:pPr>
              <w:spacing w:after="0"/>
              <w:rPr>
                <w:sz w:val="1"/>
                <w:szCs w:val="1"/>
                <w:color w:val="auto"/>
              </w:rPr>
            </w:pPr>
          </w:p>
        </w:tc>
      </w:tr>
      <w:tr>
        <w:trPr>
          <w:trHeight w:val="244"/>
        </w:trPr>
        <w:tc>
          <w:tcPr>
            <w:tcW w:w="32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Common Stock, $0.01 Par Value</w:t>
            </w:r>
          </w:p>
        </w:tc>
        <w:tc>
          <w:tcPr>
            <w:tcW w:w="2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FDS</w:t>
            </w:r>
          </w:p>
        </w:tc>
        <w:tc>
          <w:tcPr>
            <w:tcW w:w="4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 LLC</w:t>
            </w:r>
          </w:p>
        </w:tc>
        <w:tc>
          <w:tcPr>
            <w:tcW w:w="0" w:type="dxa"/>
            <w:vAlign w:val="bottom"/>
          </w:tcPr>
          <w:p>
            <w:pPr>
              <w:spacing w:after="0"/>
              <w:rPr>
                <w:sz w:val="1"/>
                <w:szCs w:val="1"/>
                <w:color w:val="auto"/>
              </w:rPr>
            </w:pPr>
          </w:p>
        </w:tc>
      </w:tr>
      <w:tr>
        <w:trPr>
          <w:trHeight w:val="108"/>
        </w:trPr>
        <w:tc>
          <w:tcPr>
            <w:tcW w:w="3260" w:type="dxa"/>
            <w:vAlign w:val="bottom"/>
            <w:tcBorders>
              <w:left w:val="single" w:sz="8" w:color="auto"/>
              <w:right w:val="single" w:sz="8" w:color="auto"/>
            </w:tcBorders>
            <w:vMerge w:val="continue"/>
          </w:tcPr>
          <w:p>
            <w:pPr>
              <w:spacing w:after="0"/>
              <w:rPr>
                <w:sz w:val="9"/>
                <w:szCs w:val="9"/>
                <w:color w:val="auto"/>
              </w:rPr>
            </w:pPr>
          </w:p>
        </w:tc>
        <w:tc>
          <w:tcPr>
            <w:tcW w:w="2960" w:type="dxa"/>
            <w:vAlign w:val="bottom"/>
            <w:tcBorders>
              <w:right w:val="single" w:sz="8" w:color="auto"/>
            </w:tcBorders>
            <w:vMerge w:val="continue"/>
          </w:tcPr>
          <w:p>
            <w:pPr>
              <w:spacing w:after="0"/>
              <w:rPr>
                <w:sz w:val="9"/>
                <w:szCs w:val="9"/>
                <w:color w:val="auto"/>
              </w:rPr>
            </w:pPr>
          </w:p>
        </w:tc>
        <w:tc>
          <w:tcPr>
            <w:tcW w:w="42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The Nasdaq Stock Market</w:t>
            </w:r>
          </w:p>
        </w:tc>
        <w:tc>
          <w:tcPr>
            <w:tcW w:w="0" w:type="dxa"/>
            <w:vAlign w:val="bottom"/>
          </w:tcPr>
          <w:p>
            <w:pPr>
              <w:spacing w:after="0"/>
              <w:rPr>
                <w:sz w:val="1"/>
                <w:szCs w:val="1"/>
                <w:color w:val="auto"/>
              </w:rPr>
            </w:pPr>
          </w:p>
        </w:tc>
      </w:tr>
      <w:tr>
        <w:trPr>
          <w:trHeight w:val="142"/>
        </w:trPr>
        <w:tc>
          <w:tcPr>
            <w:tcW w:w="3260" w:type="dxa"/>
            <w:vAlign w:val="bottom"/>
            <w:tcBorders>
              <w:left w:val="single" w:sz="8" w:color="auto"/>
              <w:bottom w:val="single" w:sz="8" w:color="auto"/>
              <w:right w:val="single" w:sz="8" w:color="auto"/>
            </w:tcBorders>
          </w:tcPr>
          <w:p>
            <w:pPr>
              <w:spacing w:after="0"/>
              <w:rPr>
                <w:sz w:val="12"/>
                <w:szCs w:val="12"/>
                <w:color w:val="auto"/>
              </w:rPr>
            </w:pPr>
          </w:p>
        </w:tc>
        <w:tc>
          <w:tcPr>
            <w:tcW w:w="2960" w:type="dxa"/>
            <w:vAlign w:val="bottom"/>
            <w:tcBorders>
              <w:bottom w:val="single" w:sz="8" w:color="auto"/>
              <w:right w:val="single" w:sz="8" w:color="auto"/>
            </w:tcBorders>
          </w:tcPr>
          <w:p>
            <w:pPr>
              <w:spacing w:after="0"/>
              <w:rPr>
                <w:sz w:val="12"/>
                <w:szCs w:val="12"/>
                <w:color w:val="auto"/>
              </w:rPr>
            </w:pPr>
          </w:p>
        </w:tc>
        <w:tc>
          <w:tcPr>
            <w:tcW w:w="4220" w:type="dxa"/>
            <w:vAlign w:val="bottom"/>
            <w:tcBorders>
              <w:bottom w:val="single" w:sz="8" w:color="auto"/>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95"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cs="Times New Roman" w:eastAsia="Times New Roman" w:hAnsi="Times New Roman"/>
          <w:sz w:val="18"/>
          <w:szCs w:val="18"/>
          <w:b w:val="1"/>
          <w:bCs w:val="1"/>
          <w:color w:val="auto"/>
        </w:rPr>
        <w:t>Yes</w:t>
      </w:r>
      <w:r>
        <w:rPr>
          <w:rFonts w:ascii="Times New Roman" w:cs="Times New Roman" w:eastAsia="Times New Roman" w:hAnsi="Times New Roman"/>
          <w:sz w:val="18"/>
          <w:szCs w:val="18"/>
          <w:color w:val="auto"/>
        </w:rPr>
        <w:t xml:space="preserve">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highlight w:val="black"/>
        </w:rPr>
        <w:t>☐</w:t>
      </w:r>
    </w:p>
    <w:p>
      <w:pPr>
        <w:spacing w:after="0" w:line="63"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and post such files). </w:t>
      </w:r>
      <w:r>
        <w:rPr>
          <w:rFonts w:ascii="Times New Roman" w:cs="Times New Roman" w:eastAsia="Times New Roman" w:hAnsi="Times New Roman"/>
          <w:sz w:val="18"/>
          <w:szCs w:val="18"/>
          <w:b w:val="1"/>
          <w:bCs w:val="1"/>
          <w:color w:val="auto"/>
        </w:rPr>
        <w:t>Yes</w:t>
      </w:r>
      <w:r>
        <w:rPr>
          <w:rFonts w:ascii="Times New Roman" w:cs="Times New Roman" w:eastAsia="Times New Roman" w:hAnsi="Times New Roman"/>
          <w:sz w:val="18"/>
          <w:szCs w:val="18"/>
          <w:color w:val="auto"/>
        </w:rPr>
        <w:t xml:space="preserve">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highlight w:val="black"/>
        </w:rPr>
        <w:t>☐</w:t>
      </w:r>
    </w:p>
    <w:p>
      <w:pPr>
        <w:spacing w:after="0" w:line="63" w:lineRule="exact"/>
        <w:rPr>
          <w:sz w:val="24"/>
          <w:szCs w:val="24"/>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Large accelerated filer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b w:val="1"/>
          <w:bCs w:val="1"/>
          <w:color w:val="auto"/>
        </w:rPr>
        <w:t xml:space="preserve"> Accelerated filer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 xml:space="preserve"> Non-accelerated filer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 xml:space="preserve"> Smaller reporting company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 xml:space="preserve"> Emerging growth company </w:t>
      </w:r>
      <w:r>
        <w:rPr>
          <w:rFonts w:ascii="MS PGothic" w:cs="MS PGothic" w:eastAsia="MS PGothic" w:hAnsi="MS PGothic"/>
          <w:sz w:val="18"/>
          <w:szCs w:val="18"/>
          <w:color w:val="auto"/>
          <w:highlight w:val="black"/>
        </w:rPr>
        <w:t>☐</w:t>
      </w:r>
    </w:p>
    <w:p>
      <w:pPr>
        <w:spacing w:after="0" w:line="99"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Yes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 xml:space="preserve"> No </w:t>
      </w:r>
      <w:r>
        <w:rPr>
          <w:rFonts w:ascii="Wingdings" w:cs="Wingdings" w:eastAsia="Wingdings" w:hAnsi="Wingdings"/>
          <w:sz w:val="18"/>
          <w:szCs w:val="18"/>
          <w:b w:val="1"/>
          <w:bCs w:val="1"/>
          <w:color w:val="auto"/>
        </w:rPr>
        <w:t>x</w:t>
      </w:r>
    </w:p>
    <w:p>
      <w:pPr>
        <w:spacing w:after="0" w:line="9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w:t>
      </w:r>
    </w:p>
    <w:p>
      <w:pPr>
        <w:spacing w:after="0" w:line="6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outstanding of the registrant’s common stock, $.01 par value, as of March 28, 2025 was 37,947,057.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596265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6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gridSpan w:val="2"/>
            <w:shd w:val="clear" w:color="auto" w:fill="0000FF"/>
          </w:tcPr>
          <w:p>
            <w:pPr>
              <w:spacing w:after="0" w:line="20" w:lineRule="exact"/>
              <w:rPr>
                <w:sz w:val="1"/>
                <w:szCs w:val="1"/>
                <w:color w:val="auto"/>
              </w:rPr>
            </w:pPr>
          </w:p>
        </w:tc>
        <w:tc>
          <w:tcPr>
            <w:tcW w:w="9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6"/>
        </w:trPr>
        <w:tc>
          <w:tcPr>
            <w:tcW w:w="10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FactSet Research Systems Inc.</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Form 10-Q</w:t>
            </w:r>
          </w:p>
        </w:tc>
        <w:tc>
          <w:tcPr>
            <w:tcW w:w="340" w:type="dxa"/>
            <w:vAlign w:val="bottom"/>
          </w:tcPr>
          <w:p>
            <w:pPr>
              <w:spacing w:after="0"/>
              <w:rPr>
                <w:sz w:val="18"/>
                <w:szCs w:val="18"/>
                <w:color w:val="auto"/>
              </w:rPr>
            </w:pPr>
          </w:p>
        </w:tc>
        <w:tc>
          <w:tcPr>
            <w:tcW w:w="9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0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For the Quarter Ended February 28, 2025</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Index</w:t>
            </w:r>
          </w:p>
        </w:tc>
        <w:tc>
          <w:tcPr>
            <w:tcW w:w="340" w:type="dxa"/>
            <w:vAlign w:val="bottom"/>
          </w:tcPr>
          <w:p>
            <w:pPr>
              <w:spacing w:after="0"/>
              <w:rPr>
                <w:sz w:val="24"/>
                <w:szCs w:val="24"/>
                <w:color w:val="auto"/>
              </w:rPr>
            </w:pPr>
          </w:p>
        </w:tc>
        <w:tc>
          <w:tcPr>
            <w:tcW w:w="9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9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74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229"/>
        </w:trPr>
        <w:tc>
          <w:tcPr>
            <w:tcW w:w="940" w:type="dxa"/>
            <w:vAlign w:val="bottom"/>
            <w:vMerge w:val="continue"/>
          </w:tcPr>
          <w:p>
            <w:pPr>
              <w:spacing w:after="0"/>
              <w:rPr>
                <w:sz w:val="19"/>
                <w:szCs w:val="19"/>
                <w:color w:val="auto"/>
              </w:rPr>
            </w:pPr>
          </w:p>
        </w:tc>
        <w:tc>
          <w:tcPr>
            <w:tcW w:w="9740" w:type="dxa"/>
            <w:vAlign w:val="bottom"/>
            <w:gridSpan w:val="2"/>
            <w:vMerge w:val="continue"/>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97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Financial Statements</w:t>
            </w:r>
          </w:p>
        </w:tc>
        <w:tc>
          <w:tcPr>
            <w:tcW w:w="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40" w:type="dxa"/>
            <w:vAlign w:val="bottom"/>
          </w:tcPr>
          <w:p>
            <w:pPr>
              <w:spacing w:after="0"/>
              <w:rPr>
                <w:sz w:val="19"/>
                <w:szCs w:val="19"/>
                <w:color w:val="auto"/>
              </w:rPr>
            </w:pPr>
          </w:p>
        </w:tc>
        <w:tc>
          <w:tcPr>
            <w:tcW w:w="97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Consolidated Statements of Income for the three and six months ended February 28, 2025 and February 29, 2024</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940" w:type="dxa"/>
            <w:vAlign w:val="bottom"/>
            <w:shd w:val="clear" w:color="auto" w:fill="CCEEFF"/>
          </w:tcPr>
          <w:p>
            <w:pPr>
              <w:spacing w:after="0"/>
              <w:rPr>
                <w:sz w:val="19"/>
                <w:szCs w:val="19"/>
                <w:color w:val="auto"/>
              </w:rPr>
            </w:pPr>
          </w:p>
        </w:tc>
        <w:tc>
          <w:tcPr>
            <w:tcW w:w="97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Consolidated Statements of Comprehensive Income for the three and six months ended February 28, 2025 and February 29, 2024</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9"/>
        </w:trPr>
        <w:tc>
          <w:tcPr>
            <w:tcW w:w="940" w:type="dxa"/>
            <w:vAlign w:val="bottom"/>
          </w:tcPr>
          <w:p>
            <w:pPr>
              <w:spacing w:after="0"/>
              <w:rPr>
                <w:sz w:val="19"/>
                <w:szCs w:val="19"/>
                <w:color w:val="auto"/>
              </w:rPr>
            </w:pPr>
          </w:p>
        </w:tc>
        <w:tc>
          <w:tcPr>
            <w:tcW w:w="97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Consolidated Balance Sheets at February 28, 2025 and August 31, 2024</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9"/>
        </w:trPr>
        <w:tc>
          <w:tcPr>
            <w:tcW w:w="940" w:type="dxa"/>
            <w:vAlign w:val="bottom"/>
            <w:shd w:val="clear" w:color="auto" w:fill="CCEEFF"/>
          </w:tcPr>
          <w:p>
            <w:pPr>
              <w:spacing w:after="0"/>
              <w:rPr>
                <w:sz w:val="19"/>
                <w:szCs w:val="19"/>
                <w:color w:val="auto"/>
              </w:rPr>
            </w:pPr>
          </w:p>
        </w:tc>
        <w:tc>
          <w:tcPr>
            <w:tcW w:w="97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Consolidated Statements of Cash Flows for the six months ended February 28, 2025 and February 29, 2024</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84"/>
        </w:trPr>
        <w:tc>
          <w:tcPr>
            <w:tcW w:w="940" w:type="dxa"/>
            <w:vAlign w:val="bottom"/>
          </w:tcPr>
          <w:p>
            <w:pPr>
              <w:spacing w:after="0"/>
              <w:rPr>
                <w:sz w:val="16"/>
                <w:szCs w:val="16"/>
                <w:color w:val="auto"/>
              </w:rPr>
            </w:pPr>
          </w:p>
        </w:tc>
        <w:tc>
          <w:tcPr>
            <w:tcW w:w="9740" w:type="dxa"/>
            <w:vAlign w:val="bottom"/>
            <w:gridSpan w:val="2"/>
          </w:tcPr>
          <w:p>
            <w:pPr>
              <w:ind w:left="80"/>
              <w:spacing w:after="0" w:line="184" w:lineRule="exact"/>
              <w:rPr>
                <w:sz w:val="20"/>
                <w:szCs w:val="20"/>
                <w:color w:val="auto"/>
              </w:rPr>
            </w:pPr>
            <w:r>
              <w:rPr>
                <w:rFonts w:ascii="Times New Roman" w:cs="Times New Roman" w:eastAsia="Times New Roman" w:hAnsi="Times New Roman"/>
                <w:sz w:val="18"/>
                <w:szCs w:val="18"/>
                <w:color w:val="auto"/>
              </w:rPr>
              <w:t>Consolidated Statements of Changes in Stockholders’ Equity for the three and six months ended February 28, 2025 and February 29,</w:t>
            </w: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140"/>
        </w:trPr>
        <w:tc>
          <w:tcPr>
            <w:tcW w:w="940" w:type="dxa"/>
            <w:vAlign w:val="bottom"/>
          </w:tcPr>
          <w:p>
            <w:pPr>
              <w:spacing w:after="0"/>
              <w:rPr>
                <w:sz w:val="12"/>
                <w:szCs w:val="12"/>
                <w:color w:val="auto"/>
              </w:rPr>
            </w:pPr>
          </w:p>
        </w:tc>
        <w:tc>
          <w:tcPr>
            <w:tcW w:w="974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2024</w:t>
            </w:r>
          </w:p>
        </w:tc>
        <w:tc>
          <w:tcPr>
            <w:tcW w:w="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940" w:type="dxa"/>
            <w:vAlign w:val="bottom"/>
          </w:tcPr>
          <w:p>
            <w:pPr>
              <w:spacing w:after="0"/>
              <w:rPr>
                <w:sz w:val="8"/>
                <w:szCs w:val="8"/>
                <w:color w:val="auto"/>
              </w:rPr>
            </w:pPr>
          </w:p>
        </w:tc>
        <w:tc>
          <w:tcPr>
            <w:tcW w:w="974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940" w:type="dxa"/>
            <w:vAlign w:val="bottom"/>
            <w:shd w:val="clear" w:color="auto" w:fill="CCEEFF"/>
          </w:tcPr>
          <w:p>
            <w:pPr>
              <w:spacing w:after="0"/>
              <w:rPr>
                <w:sz w:val="19"/>
                <w:szCs w:val="19"/>
                <w:color w:val="auto"/>
              </w:rPr>
            </w:pPr>
          </w:p>
        </w:tc>
        <w:tc>
          <w:tcPr>
            <w:tcW w:w="97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0" w:type="dxa"/>
            <w:vAlign w:val="bottom"/>
          </w:tcPr>
          <w:p>
            <w:pPr>
              <w:spacing w:after="0"/>
              <w:rPr>
                <w:sz w:val="1"/>
                <w:szCs w:val="1"/>
                <w:color w:val="auto"/>
              </w:rPr>
            </w:pPr>
          </w:p>
        </w:tc>
      </w:tr>
      <w:tr>
        <w:trPr>
          <w:trHeight w:val="229"/>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97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35</w:t>
            </w:r>
          </w:p>
        </w:tc>
        <w:tc>
          <w:tcPr>
            <w:tcW w:w="0" w:type="dxa"/>
            <w:vAlign w:val="bottom"/>
          </w:tcPr>
          <w:p>
            <w:pPr>
              <w:spacing w:after="0"/>
              <w:rPr>
                <w:sz w:val="1"/>
                <w:szCs w:val="1"/>
                <w:color w:val="auto"/>
              </w:rPr>
            </w:pPr>
          </w:p>
        </w:tc>
      </w:tr>
      <w:tr>
        <w:trPr>
          <w:trHeight w:val="230"/>
        </w:trPr>
        <w:tc>
          <w:tcPr>
            <w:tcW w:w="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97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c>
          <w:tcPr>
            <w:tcW w:w="0" w:type="dxa"/>
            <w:vAlign w:val="bottom"/>
          </w:tcPr>
          <w:p>
            <w:pPr>
              <w:spacing w:after="0"/>
              <w:rPr>
                <w:sz w:val="1"/>
                <w:szCs w:val="1"/>
                <w:color w:val="auto"/>
              </w:rPr>
            </w:pPr>
          </w:p>
        </w:tc>
      </w:tr>
      <w:tr>
        <w:trPr>
          <w:trHeight w:val="229"/>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97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Controls and Procedures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0" w:type="dxa"/>
            <w:vAlign w:val="bottom"/>
          </w:tcPr>
          <w:p>
            <w:pPr>
              <w:spacing w:after="0"/>
              <w:rPr>
                <w:sz w:val="1"/>
                <w:szCs w:val="1"/>
                <w:color w:val="auto"/>
              </w:rPr>
            </w:pPr>
          </w:p>
        </w:tc>
      </w:tr>
      <w:tr>
        <w:trPr>
          <w:trHeight w:val="229"/>
        </w:trPr>
        <w:tc>
          <w:tcPr>
            <w:tcW w:w="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7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97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Legal Proceedings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0" w:type="dxa"/>
            <w:vAlign w:val="bottom"/>
          </w:tcPr>
          <w:p>
            <w:pPr>
              <w:spacing w:after="0"/>
              <w:rPr>
                <w:sz w:val="1"/>
                <w:szCs w:val="1"/>
                <w:color w:val="auto"/>
              </w:rPr>
            </w:pPr>
          </w:p>
        </w:tc>
      </w:tr>
      <w:tr>
        <w:trPr>
          <w:trHeight w:val="229"/>
        </w:trPr>
        <w:tc>
          <w:tcPr>
            <w:tcW w:w="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Item 1A.</w:t>
            </w:r>
          </w:p>
        </w:tc>
        <w:tc>
          <w:tcPr>
            <w:tcW w:w="97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Risk Factors</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0" w:type="dxa"/>
            <w:vAlign w:val="bottom"/>
          </w:tcPr>
          <w:p>
            <w:pPr>
              <w:spacing w:after="0"/>
              <w:rPr>
                <w:sz w:val="1"/>
                <w:szCs w:val="1"/>
                <w:color w:val="auto"/>
              </w:rPr>
            </w:pPr>
          </w:p>
        </w:tc>
      </w:tr>
      <w:tr>
        <w:trPr>
          <w:trHeight w:val="229"/>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97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Unregistered Sales of Equity Securities and Use of Proceeds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0" w:type="dxa"/>
            <w:vAlign w:val="bottom"/>
          </w:tcPr>
          <w:p>
            <w:pPr>
              <w:spacing w:after="0"/>
              <w:rPr>
                <w:sz w:val="1"/>
                <w:szCs w:val="1"/>
                <w:color w:val="auto"/>
              </w:rPr>
            </w:pPr>
          </w:p>
        </w:tc>
      </w:tr>
      <w:tr>
        <w:trPr>
          <w:trHeight w:val="230"/>
        </w:trPr>
        <w:tc>
          <w:tcPr>
            <w:tcW w:w="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97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Defaults Upon Senior Securities</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0" w:type="dxa"/>
            <w:vAlign w:val="bottom"/>
          </w:tcPr>
          <w:p>
            <w:pPr>
              <w:spacing w:after="0"/>
              <w:rPr>
                <w:sz w:val="1"/>
                <w:szCs w:val="1"/>
                <w:color w:val="auto"/>
              </w:rPr>
            </w:pPr>
          </w:p>
        </w:tc>
      </w:tr>
      <w:tr>
        <w:trPr>
          <w:trHeight w:val="229"/>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97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Mine Safety Disclosures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0" w:type="dxa"/>
            <w:vAlign w:val="bottom"/>
          </w:tcPr>
          <w:p>
            <w:pPr>
              <w:spacing w:after="0"/>
              <w:rPr>
                <w:sz w:val="1"/>
                <w:szCs w:val="1"/>
                <w:color w:val="auto"/>
              </w:rPr>
            </w:pPr>
          </w:p>
        </w:tc>
      </w:tr>
      <w:tr>
        <w:trPr>
          <w:trHeight w:val="230"/>
        </w:trPr>
        <w:tc>
          <w:tcPr>
            <w:tcW w:w="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Item 5.</w:t>
            </w:r>
          </w:p>
        </w:tc>
        <w:tc>
          <w:tcPr>
            <w:tcW w:w="97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Other Information</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0" w:type="dxa"/>
            <w:vAlign w:val="bottom"/>
          </w:tcPr>
          <w:p>
            <w:pPr>
              <w:spacing w:after="0"/>
              <w:rPr>
                <w:sz w:val="1"/>
                <w:szCs w:val="1"/>
                <w:color w:val="auto"/>
              </w:rPr>
            </w:pPr>
          </w:p>
        </w:tc>
      </w:tr>
      <w:tr>
        <w:trPr>
          <w:trHeight w:val="229"/>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6.</w:t>
            </w:r>
          </w:p>
        </w:tc>
        <w:tc>
          <w:tcPr>
            <w:tcW w:w="97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Exhibits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0" w:type="dxa"/>
            <w:vAlign w:val="bottom"/>
          </w:tcPr>
          <w:p>
            <w:pPr>
              <w:spacing w:after="0"/>
              <w:rPr>
                <w:sz w:val="1"/>
                <w:szCs w:val="1"/>
                <w:color w:val="auto"/>
              </w:rPr>
            </w:pPr>
          </w:p>
        </w:tc>
      </w:tr>
      <w:tr>
        <w:trPr>
          <w:trHeight w:val="230"/>
        </w:trPr>
        <w:tc>
          <w:tcPr>
            <w:tcW w:w="940" w:type="dxa"/>
            <w:vAlign w:val="bottom"/>
            <w:shd w:val="clear" w:color="auto" w:fill="CCEEFF"/>
          </w:tcPr>
          <w:p>
            <w:pPr>
              <w:spacing w:after="0"/>
              <w:rPr>
                <w:sz w:val="19"/>
                <w:szCs w:val="19"/>
                <w:color w:val="auto"/>
              </w:rPr>
            </w:pPr>
          </w:p>
        </w:tc>
        <w:tc>
          <w:tcPr>
            <w:tcW w:w="97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Signatures</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c>
          <w:tcPr>
            <w:tcW w:w="0" w:type="dxa"/>
            <w:vAlign w:val="bottom"/>
          </w:tcPr>
          <w:p>
            <w:pPr>
              <w:spacing w:after="0"/>
              <w:rPr>
                <w:sz w:val="1"/>
                <w:szCs w:val="1"/>
                <w:color w:val="auto"/>
              </w:rPr>
            </w:pPr>
          </w:p>
        </w:tc>
      </w:tr>
    </w:tbl>
    <w:p>
      <w:pPr>
        <w:spacing w:after="0" w:line="252" w:lineRule="exact"/>
        <w:rPr>
          <w:sz w:val="20"/>
          <w:szCs w:val="20"/>
          <w:color w:val="auto"/>
        </w:rPr>
      </w:pPr>
    </w:p>
    <w:p>
      <w:pPr>
        <w:ind w:right="540"/>
        <w:spacing w:after="0" w:line="266" w:lineRule="auto"/>
        <w:rPr>
          <w:sz w:val="20"/>
          <w:szCs w:val="20"/>
          <w:color w:val="auto"/>
        </w:rPr>
      </w:pPr>
      <w:r>
        <w:rPr>
          <w:rFonts w:ascii="Times New Roman" w:cs="Times New Roman" w:eastAsia="Times New Roman" w:hAnsi="Times New Roman"/>
          <w:sz w:val="18"/>
          <w:szCs w:val="18"/>
          <w:color w:val="auto"/>
        </w:rPr>
        <w:t>For additional information about FactSet Research Systems Inc. and access to its Annual Reports to Stockholders and Securities and Exchange Commission filings, free of charge, please visit FactSet’s website (</w:t>
      </w:r>
      <w:r>
        <w:rPr>
          <w:rFonts w:ascii="Times New Roman" w:cs="Times New Roman" w:eastAsia="Times New Roman" w:hAnsi="Times New Roman"/>
          <w:sz w:val="18"/>
          <w:szCs w:val="18"/>
          <w:u w:val="single" w:color="auto"/>
          <w:color w:val="auto"/>
        </w:rPr>
        <w:t>https://investor.factset.com)</w:t>
      </w:r>
      <w:r>
        <w:rPr>
          <w:rFonts w:ascii="Times New Roman" w:cs="Times New Roman" w:eastAsia="Times New Roman" w:hAnsi="Times New Roman"/>
          <w:sz w:val="18"/>
          <w:szCs w:val="18"/>
          <w:color w:val="auto"/>
        </w:rPr>
        <w:t>. Any information on or linked from the website is not incorporated by reference into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Special Note Regarding Forward-Looking Statements</w:t>
      </w:r>
    </w:p>
    <w:p>
      <w:pPr>
        <w:spacing w:after="0" w:line="1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FactSet Research Systems Inc. has made statements under the captions Part I, Item 2. </w:t>
      </w:r>
      <w:r>
        <w:rPr>
          <w:rFonts w:ascii="Times New Roman" w:cs="Times New Roman" w:eastAsia="Times New Roman" w:hAnsi="Times New Roman"/>
          <w:sz w:val="18"/>
          <w:szCs w:val="18"/>
          <w:i w:val="1"/>
          <w:iCs w:val="1"/>
          <w:color w:val="auto"/>
        </w:rPr>
        <w:t>Management’s Discussion and Analysis of Financial Condition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Results of Operations, </w:t>
      </w:r>
      <w:r>
        <w:rPr>
          <w:rFonts w:ascii="Times New Roman" w:cs="Times New Roman" w:eastAsia="Times New Roman" w:hAnsi="Times New Roman"/>
          <w:sz w:val="18"/>
          <w:szCs w:val="18"/>
          <w:color w:val="auto"/>
        </w:rPr>
        <w:t>Part II, Item 1A.</w:t>
      </w:r>
      <w:r>
        <w:rPr>
          <w:rFonts w:ascii="Times New Roman" w:cs="Times New Roman" w:eastAsia="Times New Roman" w:hAnsi="Times New Roman"/>
          <w:sz w:val="18"/>
          <w:szCs w:val="18"/>
          <w:i w:val="1"/>
          <w:iCs w:val="1"/>
          <w:color w:val="auto"/>
        </w:rPr>
        <w:t xml:space="preserve"> Risk Factors, </w:t>
      </w:r>
      <w:r>
        <w:rPr>
          <w:rFonts w:ascii="Times New Roman" w:cs="Times New Roman" w:eastAsia="Times New Roman" w:hAnsi="Times New Roman"/>
          <w:sz w:val="18"/>
          <w:szCs w:val="18"/>
          <w:color w:val="auto"/>
        </w:rPr>
        <w:t>and in other sections of this Quarterly Report on Form 10-Q for the three and six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February 28, 2025, that are forward-looking statements. In some cases, you can identify these statements by words such as "may," "might," "will," "should," "expects," "plans," "anticipates," "believes," "estimates," "intends," "projects," "indicates," "predicts," "potential," or "continue," and similar expressions.</w:t>
      </w:r>
    </w:p>
    <w:p>
      <w:pPr>
        <w:spacing w:after="0" w:line="15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These forward-looking statements, which are subject to risks, uncertainties and assumptions about us, may include projections of our future financial performance and anticipated trends in our business. These statements are only predictions based on our current expectations, estimates, forecasts and projections about future events. These statements are not guarantees of future performance and involve a number of risks, uncertainties and assumptions. There are many important factors that could cause our actual results, level of activity, performance or achievements to differ materially from the results, level of activity, performance or achievements expressed or implied by the forward-looking statements, including the numerous factors discussed under Part 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in our Annual Report on Form 10-K for the fiscal year ended August 31, 2024, that should be specifically considered.</w:t>
      </w:r>
    </w:p>
    <w:p>
      <w:pPr>
        <w:spacing w:after="0" w:line="14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Although we believe the expectations reflected in the forward-looking statements are reasonable, we cannot guarantee future results, level of activity, performance or achievements. Moreover, neither we nor any other person assumes responsibility for the accuracy and completeness of any of these forward-looking statements. Forward-looking statements speak only as of the date they are made, and actual results could differ materially from those anticipated in forward-looking statements. We do not intend, and are under no duty, to update any of these forward-looking statements after the date of this Quarterly Report on Form 10-Q to reflect actual results, future events or circumstances, or revised expectations.</w:t>
      </w:r>
    </w:p>
    <w:p>
      <w:pPr>
        <w:spacing w:after="0" w:line="1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intend that all forward-looking statements we make will be subject to safe harbor protection of the federal securities laws as found in Section 27A of the Securities Act of 1933 and Section 21E of the Securities Exchange Act of 1934.</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2"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5"/>
          <w:szCs w:val="25"/>
          <w:b w:val="1"/>
          <w:bCs w:val="1"/>
          <w:color w:val="auto"/>
        </w:rPr>
        <w:t>PART I – FINANCIAL INFORMATION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 FINANCIAL STATEMENTS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FactSet Research Systems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Income – Unaudited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0" w:type="dxa"/>
            <w:vAlign w:val="bottom"/>
            <w:gridSpan w:val="3"/>
          </w:tcPr>
          <w:p>
            <w:pPr>
              <w:jc w:val="right"/>
              <w:ind w:right="650"/>
              <w:spacing w:after="0"/>
              <w:rPr>
                <w:sz w:val="20"/>
                <w:szCs w:val="20"/>
                <w:color w:val="auto"/>
              </w:rPr>
            </w:pPr>
            <w:r>
              <w:rPr>
                <w:rFonts w:ascii="Times New Roman" w:cs="Times New Roman" w:eastAsia="Times New Roman" w:hAnsi="Times New Roman"/>
                <w:sz w:val="18"/>
                <w:szCs w:val="18"/>
                <w:color w:val="auto"/>
              </w:rPr>
              <w:t>Three Months Ended</w:t>
            </w:r>
          </w:p>
        </w:tc>
        <w:tc>
          <w:tcPr>
            <w:tcW w:w="200" w:type="dxa"/>
            <w:vAlign w:val="bottom"/>
          </w:tcPr>
          <w:p>
            <w:pPr>
              <w:spacing w:after="0"/>
              <w:rPr>
                <w:sz w:val="19"/>
                <w:szCs w:val="19"/>
                <w:color w:val="auto"/>
              </w:rPr>
            </w:pPr>
          </w:p>
        </w:tc>
        <w:tc>
          <w:tcPr>
            <w:tcW w:w="2800" w:type="dxa"/>
            <w:vAlign w:val="bottom"/>
            <w:gridSpan w:val="3"/>
          </w:tcPr>
          <w:p>
            <w:pPr>
              <w:jc w:val="right"/>
              <w:ind w:right="730"/>
              <w:spacing w:after="0"/>
              <w:rPr>
                <w:sz w:val="20"/>
                <w:szCs w:val="20"/>
                <w:color w:val="auto"/>
              </w:rPr>
            </w:pPr>
            <w:r>
              <w:rPr>
                <w:rFonts w:ascii="Times New Roman" w:cs="Times New Roman" w:eastAsia="Times New Roman" w:hAnsi="Times New Roman"/>
                <w:sz w:val="18"/>
                <w:szCs w:val="18"/>
                <w:color w:val="auto"/>
              </w:rPr>
              <w:t>Six Months Ended</w:t>
            </w:r>
          </w:p>
        </w:tc>
      </w:tr>
      <w:tr>
        <w:trPr>
          <w:trHeight w:val="234"/>
        </w:trPr>
        <w:tc>
          <w:tcPr>
            <w:tcW w:w="5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February 28,</w:t>
            </w:r>
          </w:p>
        </w:tc>
        <w:tc>
          <w:tcPr>
            <w:tcW w:w="200" w:type="dxa"/>
            <w:vAlign w:val="bottom"/>
          </w:tcPr>
          <w:p>
            <w:pPr>
              <w:spacing w:after="0"/>
              <w:rPr>
                <w:sz w:val="20"/>
                <w:szCs w:val="20"/>
                <w:color w:val="auto"/>
              </w:rPr>
            </w:pPr>
          </w:p>
        </w:tc>
        <w:tc>
          <w:tcPr>
            <w:tcW w:w="13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February 29,</w:t>
            </w:r>
          </w:p>
        </w:tc>
        <w:tc>
          <w:tcPr>
            <w:tcW w:w="200" w:type="dxa"/>
            <w:vAlign w:val="bottom"/>
          </w:tcPr>
          <w:p>
            <w:pPr>
              <w:spacing w:after="0"/>
              <w:rPr>
                <w:sz w:val="20"/>
                <w:szCs w:val="20"/>
                <w:color w:val="auto"/>
              </w:rPr>
            </w:pPr>
          </w:p>
        </w:tc>
        <w:tc>
          <w:tcPr>
            <w:tcW w:w="13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February 28,</w:t>
            </w:r>
          </w:p>
        </w:tc>
        <w:tc>
          <w:tcPr>
            <w:tcW w:w="200" w:type="dxa"/>
            <w:vAlign w:val="bottom"/>
          </w:tcPr>
          <w:p>
            <w:pPr>
              <w:spacing w:after="0"/>
              <w:rPr>
                <w:sz w:val="20"/>
                <w:szCs w:val="20"/>
                <w:color w:val="auto"/>
              </w:rPr>
            </w:pPr>
          </w:p>
        </w:tc>
        <w:tc>
          <w:tcPr>
            <w:tcW w:w="13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February 29,</w:t>
            </w:r>
          </w:p>
        </w:tc>
      </w:tr>
      <w:tr>
        <w:trPr>
          <w:trHeight w:val="270"/>
        </w:trPr>
        <w:tc>
          <w:tcPr>
            <w:tcW w:w="5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per share data)</w:t>
            </w:r>
          </w:p>
        </w:tc>
        <w:tc>
          <w:tcPr>
            <w:tcW w:w="2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570,660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545,945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1,139,327</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1,088,161</w:t>
            </w:r>
          </w:p>
        </w:tc>
      </w:tr>
      <w:tr>
        <w:trPr>
          <w:trHeight w:val="23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9"/>
        </w:trPr>
        <w:tc>
          <w:tcPr>
            <w:tcW w:w="5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services</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269,604</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255,142</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528,383</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506,763</w:t>
            </w:r>
          </w:p>
        </w:tc>
      </w:tr>
      <w:tr>
        <w:trPr>
          <w:trHeight w:val="229"/>
        </w:trPr>
        <w:tc>
          <w:tcPr>
            <w:tcW w:w="5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115,564</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108,861</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234,117</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210,416</w:t>
            </w:r>
          </w:p>
        </w:tc>
      </w:tr>
      <w:tr>
        <w:trPr>
          <w:trHeight w:val="223"/>
        </w:trPr>
        <w:tc>
          <w:tcPr>
            <w:tcW w:w="5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385,168</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364,003</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762,500</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717,179</w:t>
            </w:r>
          </w:p>
        </w:tc>
      </w:tr>
      <w:tr>
        <w:trPr>
          <w:trHeight w:val="270"/>
        </w:trPr>
        <w:tc>
          <w:tcPr>
            <w:tcW w:w="5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185,492</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181,942</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376,827</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370,982</w:t>
            </w:r>
          </w:p>
        </w:tc>
      </w:tr>
      <w:tr>
        <w:trPr>
          <w:trHeight w:val="270"/>
        </w:trPr>
        <w:tc>
          <w:tcPr>
            <w:tcW w:w="5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29"/>
        </w:trPr>
        <w:tc>
          <w:tcPr>
            <w:tcW w:w="5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2,847</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2,974</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5,859</w:t>
            </w:r>
          </w:p>
        </w:tc>
      </w:tr>
      <w:tr>
        <w:trPr>
          <w:trHeight w:val="229"/>
        </w:trPr>
        <w:tc>
          <w:tcPr>
            <w:tcW w:w="5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(13,916)</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(16,599)</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(28,316)</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(33,337)</w:t>
            </w:r>
          </w:p>
        </w:tc>
      </w:tr>
      <w:tr>
        <w:trPr>
          <w:trHeight w:val="230"/>
        </w:trPr>
        <w:tc>
          <w:tcPr>
            <w:tcW w:w="5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w:t>
            </w:r>
          </w:p>
        </w:tc>
      </w:tr>
      <w:tr>
        <w:trPr>
          <w:trHeight w:val="223"/>
        </w:trPr>
        <w:tc>
          <w:tcPr>
            <w:tcW w:w="5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(13,172)</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(13,297)</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(24,768)</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(27,141)</w:t>
            </w:r>
          </w:p>
        </w:tc>
      </w:tr>
      <w:tr>
        <w:trPr>
          <w:trHeight w:val="270"/>
        </w:trPr>
        <w:tc>
          <w:tcPr>
            <w:tcW w:w="5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172,320</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168,645</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352,059</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343,841</w:t>
            </w:r>
          </w:p>
        </w:tc>
      </w:tr>
      <w:tr>
        <w:trPr>
          <w:trHeight w:val="270"/>
        </w:trPr>
        <w:tc>
          <w:tcPr>
            <w:tcW w:w="5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27,460</w:t>
            </w: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27,705</w:t>
            </w: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57,177</w:t>
            </w: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54,346</w:t>
            </w:r>
          </w:p>
        </w:tc>
      </w:tr>
      <w:tr>
        <w:trPr>
          <w:trHeight w:val="22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144,860</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140,940</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294,882</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289,495</w:t>
            </w:r>
          </w:p>
        </w:tc>
      </w:tr>
      <w:tr>
        <w:trPr>
          <w:trHeight w:val="20"/>
        </w:trPr>
        <w:tc>
          <w:tcPr>
            <w:tcW w:w="52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37"/>
        </w:trPr>
        <w:tc>
          <w:tcPr>
            <w:tcW w:w="5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r>
      <w:tr>
        <w:trPr>
          <w:trHeight w:val="23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w:t>
            </w:r>
          </w:p>
        </w:tc>
      </w:tr>
      <w:tr>
        <w:trPr>
          <w:trHeight w:val="20"/>
        </w:trPr>
        <w:tc>
          <w:tcPr>
            <w:tcW w:w="52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48"/>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55"/>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weighted average common shares</w:t>
            </w:r>
          </w:p>
        </w:tc>
        <w:tc>
          <w:tcPr>
            <w:tcW w:w="20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38,015</w:t>
            </w:r>
          </w:p>
        </w:tc>
        <w:tc>
          <w:tcPr>
            <w:tcW w:w="20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38,103</w:t>
            </w:r>
          </w:p>
        </w:tc>
        <w:tc>
          <w:tcPr>
            <w:tcW w:w="20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38,010</w:t>
            </w:r>
          </w:p>
        </w:tc>
        <w:tc>
          <w:tcPr>
            <w:tcW w:w="20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38,059</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24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Diluted weighted average common shares</w:t>
            </w: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38,510</w:t>
            </w: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38,650</w:t>
            </w: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38,513</w:t>
            </w: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38,646</w:t>
            </w:r>
          </w:p>
        </w:tc>
      </w:tr>
      <w:tr>
        <w:trPr>
          <w:trHeight w:val="20"/>
        </w:trPr>
        <w:tc>
          <w:tcPr>
            <w:tcW w:w="5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768"/>
        </w:trPr>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FactSet Research Systems Inc.</w:t>
            </w: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38"/>
        </w:trPr>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 Unaudited</w:t>
            </w: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52"/>
        </w:trPr>
        <w:tc>
          <w:tcPr>
            <w:tcW w:w="1280" w:type="dxa"/>
            <w:vAlign w:val="bottom"/>
          </w:tcPr>
          <w:p>
            <w:pPr>
              <w:spacing w:after="0"/>
              <w:rPr>
                <w:sz w:val="21"/>
                <w:szCs w:val="21"/>
                <w:color w:val="auto"/>
              </w:rPr>
            </w:pPr>
          </w:p>
        </w:tc>
        <w:tc>
          <w:tcPr>
            <w:tcW w:w="4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20" w:type="dxa"/>
            <w:vAlign w:val="bottom"/>
            <w:gridSpan w:val="3"/>
          </w:tcPr>
          <w:p>
            <w:pPr>
              <w:jc w:val="right"/>
              <w:ind w:right="550"/>
              <w:spacing w:after="0"/>
              <w:rPr>
                <w:sz w:val="20"/>
                <w:szCs w:val="20"/>
                <w:color w:val="auto"/>
              </w:rPr>
            </w:pPr>
            <w:r>
              <w:rPr>
                <w:rFonts w:ascii="Times New Roman" w:cs="Times New Roman" w:eastAsia="Times New Roman" w:hAnsi="Times New Roman"/>
                <w:sz w:val="18"/>
                <w:szCs w:val="18"/>
                <w:color w:val="auto"/>
              </w:rPr>
              <w:t>Three Months Ended</w:t>
            </w:r>
          </w:p>
        </w:tc>
        <w:tc>
          <w:tcPr>
            <w:tcW w:w="180" w:type="dxa"/>
            <w:vAlign w:val="bottom"/>
          </w:tcPr>
          <w:p>
            <w:pPr>
              <w:spacing w:after="0"/>
              <w:rPr>
                <w:sz w:val="21"/>
                <w:szCs w:val="21"/>
                <w:color w:val="auto"/>
              </w:rPr>
            </w:pPr>
          </w:p>
        </w:tc>
        <w:tc>
          <w:tcPr>
            <w:tcW w:w="2600" w:type="dxa"/>
            <w:vAlign w:val="bottom"/>
            <w:gridSpan w:val="3"/>
          </w:tcPr>
          <w:p>
            <w:pPr>
              <w:jc w:val="right"/>
              <w:ind w:right="630"/>
              <w:spacing w:after="0"/>
              <w:rPr>
                <w:sz w:val="20"/>
                <w:szCs w:val="20"/>
                <w:color w:val="auto"/>
              </w:rPr>
            </w:pPr>
            <w:r>
              <w:rPr>
                <w:rFonts w:ascii="Times New Roman" w:cs="Times New Roman" w:eastAsia="Times New Roman" w:hAnsi="Times New Roman"/>
                <w:sz w:val="18"/>
                <w:szCs w:val="18"/>
                <w:color w:val="auto"/>
              </w:rPr>
              <w:t>Six Months Ended</w:t>
            </w:r>
          </w:p>
        </w:tc>
      </w:tr>
      <w:tr>
        <w:trPr>
          <w:trHeight w:val="234"/>
        </w:trPr>
        <w:tc>
          <w:tcPr>
            <w:tcW w:w="128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February 28,</w:t>
            </w:r>
          </w:p>
        </w:tc>
        <w:tc>
          <w:tcPr>
            <w:tcW w:w="180" w:type="dxa"/>
            <w:vAlign w:val="bottom"/>
          </w:tcPr>
          <w:p>
            <w:pPr>
              <w:spacing w:after="0"/>
              <w:rPr>
                <w:sz w:val="20"/>
                <w:szCs w:val="20"/>
                <w:color w:val="auto"/>
              </w:rPr>
            </w:pPr>
          </w:p>
        </w:tc>
        <w:tc>
          <w:tcPr>
            <w:tcW w:w="12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February 29,</w:t>
            </w:r>
          </w:p>
        </w:tc>
        <w:tc>
          <w:tcPr>
            <w:tcW w:w="180" w:type="dxa"/>
            <w:vAlign w:val="bottom"/>
          </w:tcPr>
          <w:p>
            <w:pPr>
              <w:spacing w:after="0"/>
              <w:rPr>
                <w:sz w:val="20"/>
                <w:szCs w:val="20"/>
                <w:color w:val="auto"/>
              </w:rPr>
            </w:pP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February 28,</w:t>
            </w:r>
          </w:p>
        </w:tc>
        <w:tc>
          <w:tcPr>
            <w:tcW w:w="180" w:type="dxa"/>
            <w:vAlign w:val="bottom"/>
          </w:tcPr>
          <w:p>
            <w:pPr>
              <w:spacing w:after="0"/>
              <w:rPr>
                <w:sz w:val="20"/>
                <w:szCs w:val="20"/>
                <w:color w:val="auto"/>
              </w:rPr>
            </w:pPr>
          </w:p>
        </w:tc>
        <w:tc>
          <w:tcPr>
            <w:tcW w:w="12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February 29,</w:t>
            </w:r>
          </w:p>
        </w:tc>
      </w:tr>
      <w:tr>
        <w:trPr>
          <w:trHeight w:val="270"/>
        </w:trPr>
        <w:tc>
          <w:tcPr>
            <w:tcW w:w="56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2025</w:t>
            </w:r>
          </w:p>
        </w:tc>
        <w:tc>
          <w:tcPr>
            <w:tcW w:w="1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2024</w:t>
            </w:r>
          </w:p>
        </w:tc>
        <w:tc>
          <w:tcPr>
            <w:tcW w:w="1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2025</w:t>
            </w:r>
          </w:p>
        </w:tc>
        <w:tc>
          <w:tcPr>
            <w:tcW w:w="1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5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144,860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140,940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294,882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289,495</w:t>
            </w:r>
          </w:p>
        </w:tc>
      </w:tr>
      <w:tr>
        <w:trPr>
          <w:trHeight w:val="229"/>
        </w:trPr>
        <w:tc>
          <w:tcPr>
            <w:tcW w:w="5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5680" w:type="dxa"/>
            <w:vAlign w:val="bottom"/>
            <w:gridSpan w:val="2"/>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Net unrealized gain (loss) on cash flow hedges</w:t>
            </w:r>
            <w:r>
              <w:rPr>
                <w:rFonts w:ascii="Times New Roman" w:cs="Times New Roman" w:eastAsia="Times New Roman" w:hAnsi="Times New Roman"/>
                <w:sz w:val="23"/>
                <w:szCs w:val="23"/>
                <w:color w:val="auto"/>
                <w:vertAlign w:val="superscript"/>
              </w:rPr>
              <w:t>(1)</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(3,595)</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(2,840)</w:t>
            </w:r>
          </w:p>
        </w:tc>
      </w:tr>
      <w:tr>
        <w:trPr>
          <w:trHeight w:val="229"/>
        </w:trPr>
        <w:tc>
          <w:tcPr>
            <w:tcW w:w="56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adjustment gains (losses)</w:t>
            </w: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(11,926)</w:t>
            </w: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(2,956)</w:t>
            </w: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(29,545)</w:t>
            </w: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(1,048)</w:t>
            </w:r>
          </w:p>
        </w:tc>
      </w:tr>
      <w:tr>
        <w:trPr>
          <w:trHeight w:val="223"/>
        </w:trPr>
        <w:tc>
          <w:tcPr>
            <w:tcW w:w="56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(12,332)</w:t>
            </w: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(4,142)</w:t>
            </w: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(33,140)</w:t>
            </w: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(3,888)</w:t>
            </w:r>
          </w:p>
        </w:tc>
      </w:tr>
      <w:tr>
        <w:trPr>
          <w:trHeight w:val="223"/>
        </w:trPr>
        <w:tc>
          <w:tcPr>
            <w:tcW w:w="5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Comprehensive income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132,528</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136,798</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261,742</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285,607</w:t>
            </w:r>
          </w:p>
        </w:tc>
      </w:tr>
      <w:tr>
        <w:trPr>
          <w:trHeight w:val="21"/>
        </w:trPr>
        <w:tc>
          <w:tcPr>
            <w:tcW w:w="128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260" w:hanging="252"/>
        <w:spacing w:after="0" w:line="280" w:lineRule="auto"/>
        <w:tabs>
          <w:tab w:leader="none" w:pos="249"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Presented net of a tax benefit of $154 thousand and $419 thousand for the three months ended February 28, 2025 and February 29, 2024, respectively. Presented net of a tax benefit of $1,259 thousand and $1,007 thousand for the six months ended February 28, 2025 and February 29, 2024, respectively.</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768"/>
        </w:trPr>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FactSet Research Systems Inc.</w:t>
            </w:r>
          </w:p>
        </w:tc>
        <w:tc>
          <w:tcPr>
            <w:tcW w:w="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38"/>
        </w:trPr>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Consolidated Balance Sheets – Unaudited</w:t>
            </w:r>
          </w:p>
        </w:tc>
        <w:tc>
          <w:tcPr>
            <w:tcW w:w="2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97"/>
        </w:trPr>
        <w:tc>
          <w:tcPr>
            <w:tcW w:w="77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share data)</w:t>
            </w:r>
          </w:p>
        </w:tc>
        <w:tc>
          <w:tcPr>
            <w:tcW w:w="2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February 28, 2025</w:t>
            </w:r>
          </w:p>
        </w:tc>
        <w:tc>
          <w:tcPr>
            <w:tcW w:w="1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August 31, 2024</w:t>
            </w:r>
          </w:p>
        </w:tc>
      </w:tr>
      <w:tr>
        <w:trPr>
          <w:trHeight w:val="223"/>
        </w:trPr>
        <w:tc>
          <w:tcPr>
            <w:tcW w:w="7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9"/>
        </w:trPr>
        <w:tc>
          <w:tcPr>
            <w:tcW w:w="7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278,548</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422,979</w:t>
            </w:r>
          </w:p>
        </w:tc>
      </w:tr>
      <w:tr>
        <w:trPr>
          <w:trHeight w:val="230"/>
        </w:trPr>
        <w:tc>
          <w:tcPr>
            <w:tcW w:w="7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Investments</w:t>
            </w: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8,471</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69,619</w:t>
            </w:r>
          </w:p>
        </w:tc>
      </w:tr>
      <w:tr>
        <w:trPr>
          <w:trHeight w:val="270"/>
        </w:trPr>
        <w:tc>
          <w:tcPr>
            <w:tcW w:w="7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Accounts receivable, net of reserves of $14,998 at February 28, 2025 and $14,581 at August 31, 2024</w:t>
            </w:r>
          </w:p>
        </w:tc>
        <w:tc>
          <w:tcPr>
            <w:tcW w:w="20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277,636</w:t>
            </w:r>
          </w:p>
        </w:tc>
        <w:tc>
          <w:tcPr>
            <w:tcW w:w="16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228,054</w:t>
            </w:r>
          </w:p>
        </w:tc>
      </w:tr>
      <w:tr>
        <w:trPr>
          <w:trHeight w:val="229"/>
        </w:trPr>
        <w:tc>
          <w:tcPr>
            <w:tcW w:w="7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Prepaid taxes</w:t>
            </w: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75,931</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55,103</w:t>
            </w:r>
          </w:p>
        </w:tc>
      </w:tr>
      <w:tr>
        <w:trPr>
          <w:trHeight w:val="230"/>
        </w:trPr>
        <w:tc>
          <w:tcPr>
            <w:tcW w:w="77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67,055</w:t>
            </w: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60,093</w:t>
            </w:r>
          </w:p>
        </w:tc>
      </w:tr>
      <w:tr>
        <w:trPr>
          <w:trHeight w:val="223"/>
        </w:trPr>
        <w:tc>
          <w:tcPr>
            <w:tcW w:w="77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707,641</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835,848</w:t>
            </w:r>
          </w:p>
        </w:tc>
      </w:tr>
      <w:tr>
        <w:trPr>
          <w:trHeight w:val="230"/>
        </w:trPr>
        <w:tc>
          <w:tcPr>
            <w:tcW w:w="7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Property, equipment and leasehold improvements, net</w:t>
            </w: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79,739</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82,513</w:t>
            </w:r>
          </w:p>
        </w:tc>
      </w:tr>
      <w:tr>
        <w:trPr>
          <w:trHeight w:val="229"/>
        </w:trPr>
        <w:tc>
          <w:tcPr>
            <w:tcW w:w="7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1,245,315</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1,011,129</w:t>
            </w:r>
          </w:p>
        </w:tc>
      </w:tr>
      <w:tr>
        <w:trPr>
          <w:trHeight w:val="229"/>
        </w:trPr>
        <w:tc>
          <w:tcPr>
            <w:tcW w:w="7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Intangible assets, net</w:t>
            </w: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1,935,488</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1,844,141</w:t>
            </w:r>
          </w:p>
        </w:tc>
      </w:tr>
      <w:tr>
        <w:trPr>
          <w:trHeight w:val="230"/>
        </w:trPr>
        <w:tc>
          <w:tcPr>
            <w:tcW w:w="7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taxes</w:t>
            </w: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53,546</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61,337</w:t>
            </w:r>
          </w:p>
        </w:tc>
      </w:tr>
      <w:tr>
        <w:trPr>
          <w:trHeight w:val="229"/>
        </w:trPr>
        <w:tc>
          <w:tcPr>
            <w:tcW w:w="7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Lease right-of-use assets, net</w:t>
            </w: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118,129</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130,494</w:t>
            </w:r>
          </w:p>
        </w:tc>
      </w:tr>
      <w:tr>
        <w:trPr>
          <w:trHeight w:val="229"/>
        </w:trPr>
        <w:tc>
          <w:tcPr>
            <w:tcW w:w="7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101,584</w:t>
            </w: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89,578</w:t>
            </w:r>
          </w:p>
        </w:tc>
      </w:tr>
      <w:tr>
        <w:trPr>
          <w:trHeight w:val="223"/>
        </w:trPr>
        <w:tc>
          <w:tcPr>
            <w:tcW w:w="776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4,241,442</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4,055,040</w:t>
            </w:r>
          </w:p>
        </w:tc>
      </w:tr>
      <w:tr>
        <w:trPr>
          <w:trHeight w:val="20"/>
        </w:trPr>
        <w:tc>
          <w:tcPr>
            <w:tcW w:w="1280" w:type="dxa"/>
            <w:vAlign w:val="bottom"/>
            <w:tcBorders>
              <w:bottom w:val="single" w:sz="8" w:color="CCEEFF"/>
            </w:tcBorders>
          </w:tcPr>
          <w:p>
            <w:pPr>
              <w:spacing w:after="0" w:line="20" w:lineRule="exact"/>
              <w:rPr>
                <w:sz w:val="1"/>
                <w:szCs w:val="1"/>
                <w:color w:val="auto"/>
              </w:rPr>
            </w:pPr>
          </w:p>
        </w:tc>
        <w:tc>
          <w:tcPr>
            <w:tcW w:w="64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197"/>
        </w:trPr>
        <w:tc>
          <w:tcPr>
            <w:tcW w:w="7760" w:type="dxa"/>
            <w:vAlign w:val="bottom"/>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20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r>
      <w:tr>
        <w:trPr>
          <w:trHeight w:val="229"/>
        </w:trPr>
        <w:tc>
          <w:tcPr>
            <w:tcW w:w="7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131,103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178,250</w:t>
            </w:r>
          </w:p>
        </w:tc>
      </w:tr>
      <w:tr>
        <w:trPr>
          <w:trHeight w:val="230"/>
        </w:trPr>
        <w:tc>
          <w:tcPr>
            <w:tcW w:w="7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debt</w:t>
            </w: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124,842</w:t>
            </w:r>
          </w:p>
        </w:tc>
      </w:tr>
      <w:tr>
        <w:trPr>
          <w:trHeight w:val="229"/>
        </w:trPr>
        <w:tc>
          <w:tcPr>
            <w:tcW w:w="7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Current lease liabilities</w:t>
            </w: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32,560</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31,073</w:t>
            </w:r>
          </w:p>
        </w:tc>
      </w:tr>
      <w:tr>
        <w:trPr>
          <w:trHeight w:val="229"/>
        </w:trPr>
        <w:tc>
          <w:tcPr>
            <w:tcW w:w="7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compensation</w:t>
            </w: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70,846</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93,279</w:t>
            </w:r>
          </w:p>
        </w:tc>
      </w:tr>
      <w:tr>
        <w:trPr>
          <w:trHeight w:val="270"/>
        </w:trPr>
        <w:tc>
          <w:tcPr>
            <w:tcW w:w="7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Deferred revenues</w:t>
            </w:r>
          </w:p>
        </w:tc>
        <w:tc>
          <w:tcPr>
            <w:tcW w:w="20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177,325</w:t>
            </w:r>
          </w:p>
        </w:tc>
        <w:tc>
          <w:tcPr>
            <w:tcW w:w="16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159,761</w:t>
            </w:r>
          </w:p>
        </w:tc>
      </w:tr>
      <w:tr>
        <w:trPr>
          <w:trHeight w:val="230"/>
        </w:trPr>
        <w:tc>
          <w:tcPr>
            <w:tcW w:w="7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taxes payable</w:t>
            </w: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30,483</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40,391</w:t>
            </w:r>
          </w:p>
        </w:tc>
      </w:tr>
      <w:tr>
        <w:trPr>
          <w:trHeight w:val="230"/>
        </w:trPr>
        <w:tc>
          <w:tcPr>
            <w:tcW w:w="77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Dividends payable</w:t>
            </w:r>
          </w:p>
        </w:tc>
        <w:tc>
          <w:tcPr>
            <w:tcW w:w="2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39,511</w:t>
            </w: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39,470</w:t>
            </w:r>
          </w:p>
        </w:tc>
      </w:tr>
      <w:tr>
        <w:trPr>
          <w:trHeight w:val="223"/>
        </w:trPr>
        <w:tc>
          <w:tcPr>
            <w:tcW w:w="77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481,828</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667,066</w:t>
            </w:r>
          </w:p>
        </w:tc>
      </w:tr>
      <w:tr>
        <w:trPr>
          <w:trHeight w:val="230"/>
        </w:trPr>
        <w:tc>
          <w:tcPr>
            <w:tcW w:w="7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Long-term debt</w:t>
            </w: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1,472,162</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1,241,131</w:t>
            </w:r>
          </w:p>
        </w:tc>
      </w:tr>
      <w:tr>
        <w:trPr>
          <w:trHeight w:val="230"/>
        </w:trPr>
        <w:tc>
          <w:tcPr>
            <w:tcW w:w="7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taxes</w:t>
            </w: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14,772</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8,452</w:t>
            </w:r>
          </w:p>
        </w:tc>
      </w:tr>
      <w:tr>
        <w:trPr>
          <w:trHeight w:val="270"/>
        </w:trPr>
        <w:tc>
          <w:tcPr>
            <w:tcW w:w="7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Deferred revenues, non-current</w:t>
            </w:r>
          </w:p>
        </w:tc>
        <w:tc>
          <w:tcPr>
            <w:tcW w:w="20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6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1,344</w:t>
            </w:r>
          </w:p>
        </w:tc>
      </w:tr>
      <w:tr>
        <w:trPr>
          <w:trHeight w:val="229"/>
        </w:trPr>
        <w:tc>
          <w:tcPr>
            <w:tcW w:w="7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Taxes payable</w:t>
            </w: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46,313</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40,452</w:t>
            </w:r>
          </w:p>
        </w:tc>
      </w:tr>
      <w:tr>
        <w:trPr>
          <w:trHeight w:val="230"/>
        </w:trPr>
        <w:tc>
          <w:tcPr>
            <w:tcW w:w="7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158,419</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177,521</w:t>
            </w:r>
          </w:p>
        </w:tc>
      </w:tr>
      <w:tr>
        <w:trPr>
          <w:trHeight w:val="270"/>
        </w:trPr>
        <w:tc>
          <w:tcPr>
            <w:tcW w:w="7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liabilities</w:t>
            </w:r>
          </w:p>
        </w:tc>
        <w:tc>
          <w:tcPr>
            <w:tcW w:w="200" w:type="dxa"/>
            <w:vAlign w:val="bottom"/>
            <w:tcBorders>
              <w:bottom w:val="single" w:sz="8" w:color="auto"/>
            </w:tcBorders>
            <w:shd w:val="clear" w:color="auto" w:fill="CCEEFF"/>
          </w:tcPr>
          <w:p>
            <w:pPr>
              <w:spacing w:after="0"/>
              <w:rPr>
                <w:sz w:val="23"/>
                <w:szCs w:val="23"/>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10,585</w:t>
            </w:r>
          </w:p>
        </w:tc>
        <w:tc>
          <w:tcPr>
            <w:tcW w:w="16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6,614</w:t>
            </w:r>
          </w:p>
        </w:tc>
      </w:tr>
      <w:tr>
        <w:trPr>
          <w:trHeight w:val="223"/>
        </w:trPr>
        <w:tc>
          <w:tcPr>
            <w:tcW w:w="776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2,184,525</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2,142,580</w:t>
            </w:r>
          </w:p>
        </w:tc>
      </w:tr>
      <w:tr>
        <w:trPr>
          <w:trHeight w:val="20"/>
        </w:trPr>
        <w:tc>
          <w:tcPr>
            <w:tcW w:w="1280" w:type="dxa"/>
            <w:vAlign w:val="bottom"/>
            <w:tcBorders>
              <w:bottom w:val="single" w:sz="8" w:color="CCEEFF"/>
            </w:tcBorders>
          </w:tcPr>
          <w:p>
            <w:pPr>
              <w:spacing w:after="0" w:line="20" w:lineRule="exact"/>
              <w:rPr>
                <w:sz w:val="1"/>
                <w:szCs w:val="1"/>
                <w:color w:val="auto"/>
              </w:rPr>
            </w:pPr>
          </w:p>
        </w:tc>
        <w:tc>
          <w:tcPr>
            <w:tcW w:w="64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17"/>
        </w:trPr>
        <w:tc>
          <w:tcPr>
            <w:tcW w:w="77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Commitments and contingencies (see Note 12)</w:t>
            </w:r>
          </w:p>
        </w:tc>
        <w:tc>
          <w:tcPr>
            <w:tcW w:w="20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spacing w:after="0"/>
              <w:rPr>
                <w:sz w:val="18"/>
                <w:szCs w:val="18"/>
                <w:color w:val="auto"/>
              </w:rPr>
            </w:pPr>
          </w:p>
        </w:tc>
      </w:tr>
      <w:tr>
        <w:trPr>
          <w:trHeight w:val="230"/>
        </w:trPr>
        <w:tc>
          <w:tcPr>
            <w:tcW w:w="77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7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Preferred stock, $0.01 par value, 10,000,000 shares authorized, none issued</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7760" w:type="dxa"/>
            <w:vAlign w:val="bottom"/>
            <w:gridSpan w:val="2"/>
          </w:tcPr>
          <w:p>
            <w:pPr>
              <w:ind w:left="140"/>
              <w:spacing w:after="0" w:line="176" w:lineRule="exact"/>
              <w:rPr>
                <w:sz w:val="20"/>
                <w:szCs w:val="20"/>
                <w:color w:val="auto"/>
              </w:rPr>
            </w:pPr>
            <w:r>
              <w:rPr>
                <w:rFonts w:ascii="Times New Roman" w:cs="Times New Roman" w:eastAsia="Times New Roman" w:hAnsi="Times New Roman"/>
                <w:sz w:val="18"/>
                <w:szCs w:val="18"/>
                <w:color w:val="auto"/>
              </w:rPr>
              <w:t>Common stock, $0.01 par value; 150,000,000 shares authorized; 42,910,088 and 42,598,915 shares</w:t>
            </w:r>
          </w:p>
        </w:tc>
        <w:tc>
          <w:tcPr>
            <w:tcW w:w="2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84"/>
        </w:trPr>
        <w:tc>
          <w:tcPr>
            <w:tcW w:w="7760" w:type="dxa"/>
            <w:vAlign w:val="bottom"/>
            <w:gridSpan w:val="2"/>
          </w:tcPr>
          <w:p>
            <w:pPr>
              <w:ind w:left="140"/>
              <w:spacing w:after="0" w:line="184" w:lineRule="exact"/>
              <w:rPr>
                <w:sz w:val="20"/>
                <w:szCs w:val="20"/>
                <w:color w:val="auto"/>
              </w:rPr>
            </w:pPr>
            <w:r>
              <w:rPr>
                <w:rFonts w:ascii="Times New Roman" w:cs="Times New Roman" w:eastAsia="Times New Roman" w:hAnsi="Times New Roman"/>
                <w:sz w:val="18"/>
                <w:szCs w:val="18"/>
                <w:color w:val="auto"/>
              </w:rPr>
              <w:t>issued; 37,991,384 and 37,952,270 shares outstanding at February 28, 2025 and August 31, 2024,</w:t>
            </w:r>
          </w:p>
        </w:tc>
        <w:tc>
          <w:tcPr>
            <w:tcW w:w="2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34"/>
        </w:trPr>
        <w:tc>
          <w:tcPr>
            <w:tcW w:w="7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respectively</w:t>
            </w:r>
          </w:p>
        </w:tc>
        <w:tc>
          <w:tcPr>
            <w:tcW w:w="20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w:t>
            </w:r>
          </w:p>
        </w:tc>
      </w:tr>
      <w:tr>
        <w:trPr>
          <w:trHeight w:val="230"/>
        </w:trPr>
        <w:tc>
          <w:tcPr>
            <w:tcW w:w="7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1,569,319</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1,478,839</w:t>
            </w:r>
          </w:p>
        </w:tc>
      </w:tr>
      <w:tr>
        <w:trPr>
          <w:trHeight w:val="175"/>
        </w:trPr>
        <w:tc>
          <w:tcPr>
            <w:tcW w:w="7760" w:type="dxa"/>
            <w:vAlign w:val="bottom"/>
            <w:gridSpan w:val="2"/>
          </w:tcPr>
          <w:p>
            <w:pPr>
              <w:ind w:left="140"/>
              <w:spacing w:after="0" w:line="176" w:lineRule="exact"/>
              <w:rPr>
                <w:sz w:val="20"/>
                <w:szCs w:val="20"/>
                <w:color w:val="auto"/>
              </w:rPr>
            </w:pPr>
            <w:r>
              <w:rPr>
                <w:rFonts w:ascii="Times New Roman" w:cs="Times New Roman" w:eastAsia="Times New Roman" w:hAnsi="Times New Roman"/>
                <w:sz w:val="18"/>
                <w:szCs w:val="18"/>
                <w:color w:val="auto"/>
              </w:rPr>
              <w:t>Treasury stock, at cost: 4,918,704 and 4,646,645 shares at February 28, 2025 and August 31, 2024,</w:t>
            </w:r>
          </w:p>
        </w:tc>
        <w:tc>
          <w:tcPr>
            <w:tcW w:w="2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243"/>
        </w:trPr>
        <w:tc>
          <w:tcPr>
            <w:tcW w:w="7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respectively</w:t>
            </w:r>
          </w:p>
        </w:tc>
        <w:tc>
          <w:tcPr>
            <w:tcW w:w="2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(1,504,381)</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(1,375,696)</w:t>
            </w:r>
          </w:p>
        </w:tc>
      </w:tr>
      <w:tr>
        <w:trPr>
          <w:trHeight w:val="230"/>
        </w:trPr>
        <w:tc>
          <w:tcPr>
            <w:tcW w:w="7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Retained earnings</w:t>
            </w: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2,104,303</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1,888,504</w:t>
            </w:r>
          </w:p>
        </w:tc>
      </w:tr>
      <w:tr>
        <w:trPr>
          <w:trHeight w:val="230"/>
        </w:trPr>
        <w:tc>
          <w:tcPr>
            <w:tcW w:w="77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(112,753)</w:t>
            </w: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(79,613)</w:t>
            </w:r>
          </w:p>
        </w:tc>
      </w:tr>
      <w:tr>
        <w:trPr>
          <w:trHeight w:val="223"/>
        </w:trPr>
        <w:tc>
          <w:tcPr>
            <w:tcW w:w="7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2,056,917</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1,912,460</w:t>
            </w:r>
          </w:p>
        </w:tc>
      </w:tr>
      <w:tr>
        <w:trPr>
          <w:trHeight w:val="223"/>
        </w:trPr>
        <w:tc>
          <w:tcPr>
            <w:tcW w:w="77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4,241,442</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4,055,040</w:t>
            </w:r>
          </w:p>
        </w:tc>
      </w:tr>
      <w:tr>
        <w:trPr>
          <w:trHeight w:val="20"/>
        </w:trPr>
        <w:tc>
          <w:tcPr>
            <w:tcW w:w="128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86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8"/>
        </w:trPr>
        <w:tc>
          <w:tcPr>
            <w:tcW w:w="8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FactSet Research Systems Inc.</w:t>
            </w: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7340" w:type="dxa"/>
            <w:vAlign w:val="bottom"/>
          </w:tcPr>
          <w:p>
            <w:pPr>
              <w:ind w:left="234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 Unaudited</w:t>
            </w: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280" w:type="dxa"/>
            <w:vAlign w:val="bottom"/>
          </w:tcPr>
          <w:p>
            <w:pPr>
              <w:spacing w:after="0"/>
              <w:rPr>
                <w:sz w:val="21"/>
                <w:szCs w:val="21"/>
                <w:color w:val="auto"/>
              </w:rPr>
            </w:pPr>
          </w:p>
        </w:tc>
        <w:tc>
          <w:tcPr>
            <w:tcW w:w="7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60" w:type="dxa"/>
            <w:vAlign w:val="bottom"/>
            <w:gridSpan w:val="3"/>
          </w:tcPr>
          <w:p>
            <w:pPr>
              <w:jc w:val="right"/>
              <w:ind w:right="550"/>
              <w:spacing w:after="0"/>
              <w:rPr>
                <w:sz w:val="20"/>
                <w:szCs w:val="20"/>
                <w:color w:val="auto"/>
              </w:rPr>
            </w:pPr>
            <w:r>
              <w:rPr>
                <w:rFonts w:ascii="Times New Roman" w:cs="Times New Roman" w:eastAsia="Times New Roman" w:hAnsi="Times New Roman"/>
                <w:sz w:val="18"/>
                <w:szCs w:val="18"/>
                <w:color w:val="auto"/>
              </w:rPr>
              <w:t>Six Months Ended</w:t>
            </w:r>
          </w:p>
        </w:tc>
        <w:tc>
          <w:tcPr>
            <w:tcW w:w="0" w:type="dxa"/>
            <w:vAlign w:val="bottom"/>
          </w:tcPr>
          <w:p>
            <w:pPr>
              <w:spacing w:after="0"/>
              <w:rPr>
                <w:sz w:val="1"/>
                <w:szCs w:val="1"/>
                <w:color w:val="auto"/>
              </w:rPr>
            </w:pPr>
          </w:p>
        </w:tc>
      </w:tr>
      <w:tr>
        <w:trPr>
          <w:trHeight w:val="229"/>
        </w:trPr>
        <w:tc>
          <w:tcPr>
            <w:tcW w:w="8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60" w:type="dxa"/>
            <w:vAlign w:val="bottom"/>
          </w:tcPr>
          <w:p>
            <w:pPr>
              <w:spacing w:after="0"/>
              <w:rPr>
                <w:sz w:val="19"/>
                <w:szCs w:val="19"/>
                <w:color w:val="auto"/>
              </w:rPr>
            </w:pPr>
          </w:p>
        </w:tc>
        <w:tc>
          <w:tcPr>
            <w:tcW w:w="11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February 28,</w:t>
            </w:r>
          </w:p>
        </w:tc>
        <w:tc>
          <w:tcPr>
            <w:tcW w:w="160" w:type="dxa"/>
            <w:vAlign w:val="bottom"/>
          </w:tcPr>
          <w:p>
            <w:pPr>
              <w:spacing w:after="0"/>
              <w:rPr>
                <w:sz w:val="19"/>
                <w:szCs w:val="19"/>
                <w:color w:val="auto"/>
              </w:rPr>
            </w:pPr>
          </w:p>
        </w:tc>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February 29,</w:t>
            </w:r>
          </w:p>
        </w:tc>
        <w:tc>
          <w:tcPr>
            <w:tcW w:w="0" w:type="dxa"/>
            <w:vAlign w:val="bottom"/>
          </w:tcPr>
          <w:p>
            <w:pPr>
              <w:spacing w:after="0"/>
              <w:rPr>
                <w:sz w:val="1"/>
                <w:szCs w:val="1"/>
                <w:color w:val="auto"/>
              </w:rPr>
            </w:pPr>
          </w:p>
        </w:tc>
      </w:tr>
      <w:tr>
        <w:trPr>
          <w:trHeight w:val="234"/>
        </w:trPr>
        <w:tc>
          <w:tcPr>
            <w:tcW w:w="8620" w:type="dxa"/>
            <w:vAlign w:val="bottom"/>
            <w:tcBorders>
              <w:bottom w:val="single" w:sz="8" w:color="auto"/>
            </w:tcBorders>
            <w:gridSpan w:val="2"/>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23"/>
        </w:trPr>
        <w:tc>
          <w:tcPr>
            <w:tcW w:w="8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294,882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289,495</w:t>
            </w:r>
          </w:p>
        </w:tc>
        <w:tc>
          <w:tcPr>
            <w:tcW w:w="0" w:type="dxa"/>
            <w:vAlign w:val="bottom"/>
          </w:tcPr>
          <w:p>
            <w:pPr>
              <w:spacing w:after="0"/>
              <w:rPr>
                <w:sz w:val="1"/>
                <w:szCs w:val="1"/>
                <w:color w:val="auto"/>
              </w:rPr>
            </w:pPr>
          </w:p>
        </w:tc>
      </w:tr>
      <w:tr>
        <w:trPr>
          <w:trHeight w:val="229"/>
        </w:trPr>
        <w:tc>
          <w:tcPr>
            <w:tcW w:w="8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74,127</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58,650</w:t>
            </w:r>
          </w:p>
        </w:tc>
        <w:tc>
          <w:tcPr>
            <w:tcW w:w="0" w:type="dxa"/>
            <w:vAlign w:val="bottom"/>
          </w:tcPr>
          <w:p>
            <w:pPr>
              <w:spacing w:after="0"/>
              <w:rPr>
                <w:sz w:val="1"/>
                <w:szCs w:val="1"/>
                <w:color w:val="auto"/>
              </w:rPr>
            </w:pPr>
          </w:p>
        </w:tc>
      </w:tr>
      <w:tr>
        <w:trPr>
          <w:trHeight w:val="230"/>
        </w:trPr>
        <w:tc>
          <w:tcPr>
            <w:tcW w:w="8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lease right-of-use assets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15,177</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15,263</w:t>
            </w:r>
          </w:p>
        </w:tc>
        <w:tc>
          <w:tcPr>
            <w:tcW w:w="0" w:type="dxa"/>
            <w:vAlign w:val="bottom"/>
          </w:tcPr>
          <w:p>
            <w:pPr>
              <w:spacing w:after="0"/>
              <w:rPr>
                <w:sz w:val="1"/>
                <w:szCs w:val="1"/>
                <w:color w:val="auto"/>
              </w:rPr>
            </w:pPr>
          </w:p>
        </w:tc>
      </w:tr>
      <w:tr>
        <w:trPr>
          <w:trHeight w:val="229"/>
        </w:trPr>
        <w:tc>
          <w:tcPr>
            <w:tcW w:w="8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30,139</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30,962</w:t>
            </w:r>
          </w:p>
        </w:tc>
        <w:tc>
          <w:tcPr>
            <w:tcW w:w="0" w:type="dxa"/>
            <w:vAlign w:val="bottom"/>
          </w:tcPr>
          <w:p>
            <w:pPr>
              <w:spacing w:after="0"/>
              <w:rPr>
                <w:sz w:val="1"/>
                <w:szCs w:val="1"/>
                <w:color w:val="auto"/>
              </w:rPr>
            </w:pPr>
          </w:p>
        </w:tc>
      </w:tr>
      <w:tr>
        <w:trPr>
          <w:trHeight w:val="230"/>
        </w:trPr>
        <w:tc>
          <w:tcPr>
            <w:tcW w:w="8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income taxes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8,763</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5,632</w:t>
            </w:r>
          </w:p>
        </w:tc>
        <w:tc>
          <w:tcPr>
            <w:tcW w:w="0" w:type="dxa"/>
            <w:vAlign w:val="bottom"/>
          </w:tcPr>
          <w:p>
            <w:pPr>
              <w:spacing w:after="0"/>
              <w:rPr>
                <w:sz w:val="1"/>
                <w:szCs w:val="1"/>
                <w:color w:val="auto"/>
              </w:rPr>
            </w:pPr>
          </w:p>
        </w:tc>
      </w:tr>
      <w:tr>
        <w:trPr>
          <w:trHeight w:val="229"/>
        </w:trPr>
        <w:tc>
          <w:tcPr>
            <w:tcW w:w="8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Other, net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3,268</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7,034</w:t>
            </w:r>
          </w:p>
        </w:tc>
        <w:tc>
          <w:tcPr>
            <w:tcW w:w="0" w:type="dxa"/>
            <w:vAlign w:val="bottom"/>
          </w:tcPr>
          <w:p>
            <w:pPr>
              <w:spacing w:after="0"/>
              <w:rPr>
                <w:sz w:val="1"/>
                <w:szCs w:val="1"/>
                <w:color w:val="auto"/>
              </w:rPr>
            </w:pPr>
          </w:p>
        </w:tc>
      </w:tr>
      <w:tr>
        <w:trPr>
          <w:trHeight w:val="229"/>
        </w:trPr>
        <w:tc>
          <w:tcPr>
            <w:tcW w:w="8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assets and liabilities, net of effects of acquisitions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Accounts receivable</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(46,225)</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(39,468)</w:t>
            </w:r>
          </w:p>
        </w:tc>
        <w:tc>
          <w:tcPr>
            <w:tcW w:w="0" w:type="dxa"/>
            <w:vAlign w:val="bottom"/>
          </w:tcPr>
          <w:p>
            <w:pPr>
              <w:spacing w:after="0"/>
              <w:rPr>
                <w:sz w:val="1"/>
                <w:szCs w:val="1"/>
                <w:color w:val="auto"/>
              </w:rPr>
            </w:pPr>
          </w:p>
        </w:tc>
      </w:tr>
      <w:tr>
        <w:trPr>
          <w:trHeight w:val="229"/>
        </w:trPr>
        <w:tc>
          <w:tcPr>
            <w:tcW w:w="8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(3,889)</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(14,690)</w:t>
            </w:r>
          </w:p>
        </w:tc>
        <w:tc>
          <w:tcPr>
            <w:tcW w:w="0" w:type="dxa"/>
            <w:vAlign w:val="bottom"/>
          </w:tcPr>
          <w:p>
            <w:pPr>
              <w:spacing w:after="0"/>
              <w:rPr>
                <w:sz w:val="1"/>
                <w:szCs w:val="1"/>
                <w:color w:val="auto"/>
              </w:rPr>
            </w:pPr>
          </w:p>
        </w:tc>
      </w:tr>
      <w:tr>
        <w:trPr>
          <w:trHeight w:val="229"/>
        </w:trPr>
        <w:tc>
          <w:tcPr>
            <w:tcW w:w="8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(61,915)</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10,377</w:t>
            </w:r>
          </w:p>
        </w:tc>
        <w:tc>
          <w:tcPr>
            <w:tcW w:w="0" w:type="dxa"/>
            <w:vAlign w:val="bottom"/>
          </w:tcPr>
          <w:p>
            <w:pPr>
              <w:spacing w:after="0"/>
              <w:rPr>
                <w:sz w:val="1"/>
                <w:szCs w:val="1"/>
                <w:color w:val="auto"/>
              </w:rPr>
            </w:pPr>
          </w:p>
        </w:tc>
      </w:tr>
      <w:tr>
        <w:trPr>
          <w:trHeight w:val="230"/>
        </w:trPr>
        <w:tc>
          <w:tcPr>
            <w:tcW w:w="8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compensation</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(21,470)</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(40,456)</w:t>
            </w:r>
          </w:p>
        </w:tc>
        <w:tc>
          <w:tcPr>
            <w:tcW w:w="0" w:type="dxa"/>
            <w:vAlign w:val="bottom"/>
          </w:tcPr>
          <w:p>
            <w:pPr>
              <w:spacing w:after="0"/>
              <w:rPr>
                <w:sz w:val="1"/>
                <w:szCs w:val="1"/>
                <w:color w:val="auto"/>
              </w:rPr>
            </w:pPr>
          </w:p>
        </w:tc>
      </w:tr>
      <w:tr>
        <w:trPr>
          <w:trHeight w:val="229"/>
        </w:trPr>
        <w:tc>
          <w:tcPr>
            <w:tcW w:w="8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Deferred revenues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11,934</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22,133</w:t>
            </w:r>
          </w:p>
        </w:tc>
        <w:tc>
          <w:tcPr>
            <w:tcW w:w="0" w:type="dxa"/>
            <w:vAlign w:val="bottom"/>
          </w:tcPr>
          <w:p>
            <w:pPr>
              <w:spacing w:after="0"/>
              <w:rPr>
                <w:sz w:val="1"/>
                <w:szCs w:val="1"/>
                <w:color w:val="auto"/>
              </w:rPr>
            </w:pPr>
          </w:p>
        </w:tc>
      </w:tr>
      <w:tr>
        <w:trPr>
          <w:trHeight w:val="230"/>
        </w:trPr>
        <w:tc>
          <w:tcPr>
            <w:tcW w:w="8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Taxes payable, net of prepaid taxes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(24,810)</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(26,150)</w:t>
            </w:r>
          </w:p>
        </w:tc>
        <w:tc>
          <w:tcPr>
            <w:tcW w:w="0" w:type="dxa"/>
            <w:vAlign w:val="bottom"/>
          </w:tcPr>
          <w:p>
            <w:pPr>
              <w:spacing w:after="0"/>
              <w:rPr>
                <w:sz w:val="1"/>
                <w:szCs w:val="1"/>
                <w:color w:val="auto"/>
              </w:rPr>
            </w:pPr>
          </w:p>
        </w:tc>
      </w:tr>
      <w:tr>
        <w:trPr>
          <w:trHeight w:val="229"/>
        </w:trPr>
        <w:tc>
          <w:tcPr>
            <w:tcW w:w="86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Lease liabilities, net</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(19,654)</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(19,840)</w:t>
            </w:r>
          </w:p>
        </w:tc>
        <w:tc>
          <w:tcPr>
            <w:tcW w:w="0" w:type="dxa"/>
            <w:vAlign w:val="bottom"/>
          </w:tcPr>
          <w:p>
            <w:pPr>
              <w:spacing w:after="0"/>
              <w:rPr>
                <w:sz w:val="1"/>
                <w:szCs w:val="1"/>
                <w:color w:val="auto"/>
              </w:rPr>
            </w:pPr>
          </w:p>
        </w:tc>
      </w:tr>
      <w:tr>
        <w:trPr>
          <w:trHeight w:val="223"/>
        </w:trPr>
        <w:tc>
          <w:tcPr>
            <w:tcW w:w="8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260,327</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298,942</w:t>
            </w:r>
          </w:p>
        </w:tc>
        <w:tc>
          <w:tcPr>
            <w:tcW w:w="0" w:type="dxa"/>
            <w:vAlign w:val="bottom"/>
          </w:tcPr>
          <w:p>
            <w:pPr>
              <w:spacing w:after="0"/>
              <w:rPr>
                <w:sz w:val="1"/>
                <w:szCs w:val="1"/>
                <w:color w:val="auto"/>
              </w:rPr>
            </w:pPr>
          </w:p>
        </w:tc>
      </w:tr>
      <w:tr>
        <w:trPr>
          <w:trHeight w:val="162"/>
        </w:trPr>
        <w:tc>
          <w:tcPr>
            <w:tcW w:w="8620" w:type="dxa"/>
            <w:vAlign w:val="bottom"/>
            <w:gridSpan w:val="2"/>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8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Purchases of property, equipment, leasehold improvements and capitalized internal-use software</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(49,610)</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(38,383)</w:t>
            </w:r>
          </w:p>
        </w:tc>
        <w:tc>
          <w:tcPr>
            <w:tcW w:w="0" w:type="dxa"/>
            <w:vAlign w:val="bottom"/>
          </w:tcPr>
          <w:p>
            <w:pPr>
              <w:spacing w:after="0"/>
              <w:rPr>
                <w:sz w:val="1"/>
                <w:szCs w:val="1"/>
                <w:color w:val="auto"/>
              </w:rPr>
            </w:pPr>
          </w:p>
        </w:tc>
      </w:tr>
      <w:tr>
        <w:trPr>
          <w:trHeight w:val="230"/>
        </w:trPr>
        <w:tc>
          <w:tcPr>
            <w:tcW w:w="8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of businesses, net of cash and cash equivalents acquired</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(342,461)</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Purchases of investments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(4,208)</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(44,936)</w:t>
            </w:r>
          </w:p>
        </w:tc>
        <w:tc>
          <w:tcPr>
            <w:tcW w:w="0" w:type="dxa"/>
            <w:vAlign w:val="bottom"/>
          </w:tcPr>
          <w:p>
            <w:pPr>
              <w:spacing w:after="0"/>
              <w:rPr>
                <w:sz w:val="1"/>
                <w:szCs w:val="1"/>
                <w:color w:val="auto"/>
              </w:rPr>
            </w:pPr>
          </w:p>
        </w:tc>
      </w:tr>
      <w:tr>
        <w:trPr>
          <w:trHeight w:val="230"/>
        </w:trPr>
        <w:tc>
          <w:tcPr>
            <w:tcW w:w="8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maturity or sale of investments</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58,155</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6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Net cash provided by (used in) investing activities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(338,124)</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(83,319)</w:t>
            </w:r>
          </w:p>
        </w:tc>
        <w:tc>
          <w:tcPr>
            <w:tcW w:w="0" w:type="dxa"/>
            <w:vAlign w:val="bottom"/>
          </w:tcPr>
          <w:p>
            <w:pPr>
              <w:spacing w:after="0"/>
              <w:rPr>
                <w:sz w:val="1"/>
                <w:szCs w:val="1"/>
                <w:color w:val="auto"/>
              </w:rPr>
            </w:pPr>
          </w:p>
        </w:tc>
      </w:tr>
      <w:tr>
        <w:trPr>
          <w:trHeight w:val="162"/>
        </w:trPr>
        <w:tc>
          <w:tcPr>
            <w:tcW w:w="8620" w:type="dxa"/>
            <w:vAlign w:val="bottom"/>
            <w:gridSpan w:val="2"/>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debt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305,000</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Repayments of debt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0" w:type="dxa"/>
            <w:vAlign w:val="bottom"/>
          </w:tcPr>
          <w:p>
            <w:pPr>
              <w:spacing w:after="0"/>
              <w:rPr>
                <w:sz w:val="1"/>
                <w:szCs w:val="1"/>
                <w:color w:val="auto"/>
              </w:rPr>
            </w:pPr>
          </w:p>
        </w:tc>
      </w:tr>
      <w:tr>
        <w:trPr>
          <w:trHeight w:val="230"/>
        </w:trPr>
        <w:tc>
          <w:tcPr>
            <w:tcW w:w="8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payments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(78,817)</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(74,141)</w:t>
            </w:r>
          </w:p>
        </w:tc>
        <w:tc>
          <w:tcPr>
            <w:tcW w:w="0" w:type="dxa"/>
            <w:vAlign w:val="bottom"/>
          </w:tcPr>
          <w:p>
            <w:pPr>
              <w:spacing w:after="0"/>
              <w:rPr>
                <w:sz w:val="1"/>
                <w:szCs w:val="1"/>
                <w:color w:val="auto"/>
              </w:rPr>
            </w:pPr>
          </w:p>
        </w:tc>
      </w:tr>
      <w:tr>
        <w:trPr>
          <w:trHeight w:val="229"/>
        </w:trPr>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Proceeds from employee stock plans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60,344</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66,544</w:t>
            </w:r>
          </w:p>
        </w:tc>
        <w:tc>
          <w:tcPr>
            <w:tcW w:w="0" w:type="dxa"/>
            <w:vAlign w:val="bottom"/>
          </w:tcPr>
          <w:p>
            <w:pPr>
              <w:spacing w:after="0"/>
              <w:rPr>
                <w:sz w:val="1"/>
                <w:szCs w:val="1"/>
                <w:color w:val="auto"/>
              </w:rPr>
            </w:pPr>
          </w:p>
        </w:tc>
      </w:tr>
      <w:tr>
        <w:trPr>
          <w:trHeight w:val="230"/>
        </w:trPr>
        <w:tc>
          <w:tcPr>
            <w:tcW w:w="8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(113,142)</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(112,165)</w:t>
            </w:r>
          </w:p>
        </w:tc>
        <w:tc>
          <w:tcPr>
            <w:tcW w:w="0" w:type="dxa"/>
            <w:vAlign w:val="bottom"/>
          </w:tcPr>
          <w:p>
            <w:pPr>
              <w:spacing w:after="0"/>
              <w:rPr>
                <w:sz w:val="1"/>
                <w:szCs w:val="1"/>
                <w:color w:val="auto"/>
              </w:rPr>
            </w:pPr>
          </w:p>
        </w:tc>
      </w:tr>
      <w:tr>
        <w:trPr>
          <w:trHeight w:val="230"/>
        </w:trPr>
        <w:tc>
          <w:tcPr>
            <w:tcW w:w="86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financing activities</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(18,927)</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(14,465)</w:t>
            </w:r>
          </w:p>
        </w:tc>
        <w:tc>
          <w:tcPr>
            <w:tcW w:w="0" w:type="dxa"/>
            <w:vAlign w:val="bottom"/>
          </w:tcPr>
          <w:p>
            <w:pPr>
              <w:spacing w:after="0"/>
              <w:rPr>
                <w:sz w:val="1"/>
                <w:szCs w:val="1"/>
                <w:color w:val="auto"/>
              </w:rPr>
            </w:pPr>
          </w:p>
        </w:tc>
      </w:tr>
      <w:tr>
        <w:trPr>
          <w:trHeight w:val="223"/>
        </w:trPr>
        <w:tc>
          <w:tcPr>
            <w:tcW w:w="8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(45,542)</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(259,227)</w:t>
            </w:r>
          </w:p>
        </w:tc>
        <w:tc>
          <w:tcPr>
            <w:tcW w:w="0" w:type="dxa"/>
            <w:vAlign w:val="bottom"/>
          </w:tcPr>
          <w:p>
            <w:pPr>
              <w:spacing w:after="0"/>
              <w:rPr>
                <w:sz w:val="1"/>
                <w:szCs w:val="1"/>
                <w:color w:val="auto"/>
              </w:rPr>
            </w:pPr>
          </w:p>
        </w:tc>
      </w:tr>
      <w:tr>
        <w:trPr>
          <w:trHeight w:val="162"/>
        </w:trPr>
        <w:tc>
          <w:tcPr>
            <w:tcW w:w="8620" w:type="dxa"/>
            <w:vAlign w:val="bottom"/>
            <w:gridSpan w:val="2"/>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8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(8,048)</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23"/>
        </w:trPr>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(131,387)</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(43,736)</w:t>
            </w:r>
          </w:p>
        </w:tc>
        <w:tc>
          <w:tcPr>
            <w:tcW w:w="0" w:type="dxa"/>
            <w:vAlign w:val="bottom"/>
          </w:tcPr>
          <w:p>
            <w:pPr>
              <w:spacing w:after="0"/>
              <w:rPr>
                <w:sz w:val="1"/>
                <w:szCs w:val="1"/>
                <w:color w:val="auto"/>
              </w:rPr>
            </w:pPr>
          </w:p>
        </w:tc>
      </w:tr>
      <w:tr>
        <w:trPr>
          <w:trHeight w:val="229"/>
        </w:trPr>
        <w:tc>
          <w:tcPr>
            <w:tcW w:w="8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422,979</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425,444</w:t>
            </w:r>
          </w:p>
        </w:tc>
        <w:tc>
          <w:tcPr>
            <w:tcW w:w="0" w:type="dxa"/>
            <w:vAlign w:val="bottom"/>
          </w:tcPr>
          <w:p>
            <w:pPr>
              <w:spacing w:after="0"/>
              <w:rPr>
                <w:sz w:val="1"/>
                <w:szCs w:val="1"/>
                <w:color w:val="auto"/>
              </w:rPr>
            </w:pPr>
          </w:p>
        </w:tc>
      </w:tr>
      <w:tr>
        <w:trPr>
          <w:trHeight w:val="223"/>
        </w:trPr>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291,592</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381,708</w:t>
            </w:r>
          </w:p>
        </w:tc>
        <w:tc>
          <w:tcPr>
            <w:tcW w:w="0" w:type="dxa"/>
            <w:vAlign w:val="bottom"/>
          </w:tcPr>
          <w:p>
            <w:pPr>
              <w:spacing w:after="0"/>
              <w:rPr>
                <w:sz w:val="1"/>
                <w:szCs w:val="1"/>
                <w:color w:val="auto"/>
              </w:rPr>
            </w:pPr>
          </w:p>
        </w:tc>
      </w:tr>
      <w:tr>
        <w:trPr>
          <w:trHeight w:val="20"/>
        </w:trPr>
        <w:tc>
          <w:tcPr>
            <w:tcW w:w="1280" w:type="dxa"/>
            <w:vAlign w:val="bottom"/>
            <w:tcBorders>
              <w:bottom w:val="single" w:sz="8" w:color="CCEEFF"/>
            </w:tcBorders>
          </w:tcPr>
          <w:p>
            <w:pPr>
              <w:spacing w:after="0" w:line="20" w:lineRule="exact"/>
              <w:rPr>
                <w:sz w:val="1"/>
                <w:szCs w:val="1"/>
                <w:color w:val="auto"/>
              </w:rPr>
            </w:pPr>
          </w:p>
        </w:tc>
        <w:tc>
          <w:tcPr>
            <w:tcW w:w="73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80" w:type="dxa"/>
            <w:vAlign w:val="bottom"/>
            <w:shd w:val="clear" w:color="auto" w:fill="CCEEFF"/>
          </w:tcPr>
          <w:p>
            <w:pPr>
              <w:spacing w:after="0"/>
              <w:rPr>
                <w:sz w:val="11"/>
                <w:szCs w:val="11"/>
                <w:color w:val="auto"/>
              </w:rPr>
            </w:pPr>
          </w:p>
        </w:tc>
        <w:tc>
          <w:tcPr>
            <w:tcW w:w="73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08" w:right="339" w:bottom="1440" w:gutter="0" w:footer="0" w:header="0"/>
        </w:sectPr>
      </w:pPr>
    </w:p>
    <w:p>
      <w:pPr>
        <w:ind w:left="20"/>
        <w:spacing w:after="0"/>
        <w:rPr>
          <w:sz w:val="20"/>
          <w:szCs w:val="20"/>
          <w:color w:val="auto"/>
        </w:rPr>
      </w:pPr>
      <w:r>
        <w:rPr>
          <w:rFonts w:ascii="Times New Roman" w:cs="Times New Roman" w:eastAsia="Times New Roman" w:hAnsi="Times New Roman"/>
          <w:sz w:val="17"/>
          <w:szCs w:val="17"/>
          <w:b w:val="1"/>
          <w:bCs w:val="1"/>
          <w:color w:val="auto"/>
        </w:rPr>
        <w:t>Reconciliation of total cash, cash equivalents and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146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p>
      <w:pPr>
        <w:spacing w:after="0" w:line="23" w:lineRule="exact"/>
        <w:rPr>
          <w:sz w:val="20"/>
          <w:szCs w:val="20"/>
          <w:color w:val="auto"/>
        </w:rPr>
      </w:pPr>
    </w:p>
    <w:p>
      <w:pPr>
        <w:ind w:left="20" w:right="2900"/>
        <w:spacing w:after="0" w:line="286" w:lineRule="auto"/>
        <w:rPr>
          <w:sz w:val="20"/>
          <w:szCs w:val="20"/>
          <w:color w:val="auto"/>
        </w:rPr>
      </w:pPr>
      <w:r>
        <w:rPr>
          <w:rFonts w:ascii="Times New Roman" w:cs="Times New Roman" w:eastAsia="Times New Roman" w:hAnsi="Times New Roman"/>
          <w:sz w:val="18"/>
          <w:szCs w:val="18"/>
          <w:color w:val="auto"/>
        </w:rPr>
        <w:t>Restricted cash included in Prepaid expenses and other current assets Restricted cash included in 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132320" cy="146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278,548</w:t>
            </w:r>
          </w:p>
        </w:tc>
        <w:tc>
          <w:tcPr>
            <w:tcW w:w="4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381,708</w:t>
            </w:r>
          </w:p>
        </w:tc>
      </w:tr>
      <w:tr>
        <w:trPr>
          <w:trHeight w:val="230"/>
        </w:trPr>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6,522</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3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6,522</w:t>
            </w:r>
          </w:p>
        </w:tc>
        <w:tc>
          <w:tcPr>
            <w:tcW w:w="4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291,592</w:t>
            </w:r>
          </w:p>
        </w:tc>
        <w:tc>
          <w:tcPr>
            <w:tcW w:w="4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381,708</w:t>
            </w: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ectPr>
          <w:pgSz w:w="11900" w:h="16838" w:orient="portrait"/>
          <w:cols w:equalWidth="0" w:num="2">
            <w:col w:w="7900" w:space="720"/>
            <w:col w:w="2620"/>
          </w:cols>
          <w:pgMar w:left="320" w:top="108"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Consolidated Financial Statements.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FactSet Research Systems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 Unaudited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For the Three Months Ended February 28,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780" w:type="dxa"/>
            <w:vAlign w:val="bottom"/>
          </w:tcPr>
          <w:p>
            <w:pPr>
              <w:spacing w:after="0"/>
              <w:rPr>
                <w:sz w:val="16"/>
                <w:szCs w:val="16"/>
                <w:color w:val="auto"/>
              </w:rPr>
            </w:pPr>
          </w:p>
        </w:tc>
        <w:tc>
          <w:tcPr>
            <w:tcW w:w="1940" w:type="dxa"/>
            <w:vAlign w:val="bottom"/>
            <w:gridSpan w:val="3"/>
          </w:tcPr>
          <w:p>
            <w:pPr>
              <w:jc w:val="right"/>
              <w:ind w:right="448"/>
              <w:spacing w:after="0"/>
              <w:rPr>
                <w:sz w:val="20"/>
                <w:szCs w:val="20"/>
                <w:color w:val="auto"/>
              </w:rPr>
            </w:pPr>
            <w:r>
              <w:rPr>
                <w:rFonts w:ascii="Times New Roman" w:cs="Times New Roman" w:eastAsia="Times New Roman" w:hAnsi="Times New Roman"/>
                <w:sz w:val="14"/>
                <w:szCs w:val="14"/>
                <w:color w:val="auto"/>
              </w:rPr>
              <w:t>Common Stock</w:t>
            </w:r>
          </w:p>
        </w:tc>
        <w:tc>
          <w:tcPr>
            <w:tcW w:w="140" w:type="dxa"/>
            <w:vAlign w:val="bottom"/>
          </w:tcPr>
          <w:p>
            <w:pPr>
              <w:spacing w:after="0"/>
              <w:rPr>
                <w:sz w:val="16"/>
                <w:szCs w:val="16"/>
                <w:color w:val="auto"/>
              </w:rPr>
            </w:pPr>
          </w:p>
        </w:tc>
        <w:tc>
          <w:tcPr>
            <w:tcW w:w="84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Additional</w:t>
            </w:r>
          </w:p>
        </w:tc>
        <w:tc>
          <w:tcPr>
            <w:tcW w:w="208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Treasury Stock</w:t>
            </w: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color w:val="auto"/>
              </w:rPr>
              <w:t>Accumulated</w:t>
            </w:r>
          </w:p>
        </w:tc>
        <w:tc>
          <w:tcPr>
            <w:tcW w:w="120" w:type="dxa"/>
            <w:vAlign w:val="bottom"/>
          </w:tcPr>
          <w:p>
            <w:pPr>
              <w:spacing w:after="0"/>
              <w:rPr>
                <w:sz w:val="16"/>
                <w:szCs w:val="16"/>
                <w:color w:val="auto"/>
              </w:rPr>
            </w:pPr>
          </w:p>
        </w:tc>
        <w:tc>
          <w:tcPr>
            <w:tcW w:w="98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35"/>
        </w:trPr>
        <w:tc>
          <w:tcPr>
            <w:tcW w:w="278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color w:val="auto"/>
              </w:rPr>
              <w:t>Retained</w:t>
            </w:r>
          </w:p>
        </w:tc>
        <w:tc>
          <w:tcPr>
            <w:tcW w:w="1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8"/>
        </w:trPr>
        <w:tc>
          <w:tcPr>
            <w:tcW w:w="2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share data)</w:t>
            </w:r>
          </w:p>
        </w:tc>
        <w:tc>
          <w:tcPr>
            <w:tcW w:w="94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color w:val="auto"/>
              </w:rPr>
              <w:t>Shares</w:t>
            </w:r>
          </w:p>
        </w:tc>
        <w:tc>
          <w:tcPr>
            <w:tcW w:w="180" w:type="dxa"/>
            <w:vAlign w:val="bottom"/>
          </w:tcPr>
          <w:p>
            <w:pPr>
              <w:spacing w:after="0"/>
              <w:rPr>
                <w:sz w:val="12"/>
                <w:szCs w:val="12"/>
                <w:color w:val="auto"/>
              </w:rPr>
            </w:pPr>
          </w:p>
        </w:tc>
        <w:tc>
          <w:tcPr>
            <w:tcW w:w="82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Par Value</w:t>
            </w:r>
          </w:p>
        </w:tc>
        <w:tc>
          <w:tcPr>
            <w:tcW w:w="140" w:type="dxa"/>
            <w:vAlign w:val="bottom"/>
          </w:tcPr>
          <w:p>
            <w:pPr>
              <w:spacing w:after="0"/>
              <w:rPr>
                <w:sz w:val="12"/>
                <w:szCs w:val="12"/>
                <w:color w:val="auto"/>
              </w:rPr>
            </w:pPr>
          </w:p>
        </w:tc>
        <w:tc>
          <w:tcPr>
            <w:tcW w:w="840" w:type="dxa"/>
            <w:vAlign w:val="bottom"/>
          </w:tcPr>
          <w:p>
            <w:pPr>
              <w:jc w:val="right"/>
              <w:ind w:right="208"/>
              <w:spacing w:after="0" w:line="149" w:lineRule="exact"/>
              <w:rPr>
                <w:sz w:val="20"/>
                <w:szCs w:val="20"/>
                <w:color w:val="auto"/>
              </w:rPr>
            </w:pPr>
            <w:r>
              <w:rPr>
                <w:rFonts w:ascii="Times New Roman" w:cs="Times New Roman" w:eastAsia="Times New Roman" w:hAnsi="Times New Roman"/>
                <w:sz w:val="14"/>
                <w:szCs w:val="14"/>
                <w:color w:val="auto"/>
              </w:rPr>
              <w:t>Paid-in</w:t>
            </w:r>
          </w:p>
        </w:tc>
        <w:tc>
          <w:tcPr>
            <w:tcW w:w="94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color w:val="auto"/>
              </w:rPr>
              <w:t>Shares</w:t>
            </w:r>
          </w:p>
        </w:tc>
        <w:tc>
          <w:tcPr>
            <w:tcW w:w="220" w:type="dxa"/>
            <w:vAlign w:val="bottom"/>
          </w:tcPr>
          <w:p>
            <w:pPr>
              <w:spacing w:after="0"/>
              <w:rPr>
                <w:sz w:val="12"/>
                <w:szCs w:val="12"/>
                <w:color w:val="auto"/>
              </w:rPr>
            </w:pPr>
          </w:p>
        </w:tc>
        <w:tc>
          <w:tcPr>
            <w:tcW w:w="92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color w:val="auto"/>
              </w:rPr>
              <w:t>Amount</w:t>
            </w:r>
          </w:p>
        </w:tc>
        <w:tc>
          <w:tcPr>
            <w:tcW w:w="1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right"/>
              <w:ind w:right="408"/>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120" w:type="dxa"/>
            <w:vAlign w:val="bottom"/>
          </w:tcPr>
          <w:p>
            <w:pPr>
              <w:spacing w:after="0"/>
              <w:rPr>
                <w:sz w:val="12"/>
                <w:szCs w:val="12"/>
                <w:color w:val="auto"/>
              </w:rPr>
            </w:pPr>
          </w:p>
        </w:tc>
        <w:tc>
          <w:tcPr>
            <w:tcW w:w="98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color w:val="auto"/>
              </w:rPr>
              <w:t>Stockholders’</w:t>
            </w:r>
          </w:p>
        </w:tc>
        <w:tc>
          <w:tcPr>
            <w:tcW w:w="0" w:type="dxa"/>
            <w:vAlign w:val="bottom"/>
          </w:tcPr>
          <w:p>
            <w:pPr>
              <w:spacing w:after="0"/>
              <w:rPr>
                <w:sz w:val="1"/>
                <w:szCs w:val="1"/>
                <w:color w:val="auto"/>
              </w:rPr>
            </w:pPr>
          </w:p>
        </w:tc>
      </w:tr>
      <w:tr>
        <w:trPr>
          <w:trHeight w:val="193"/>
        </w:trPr>
        <w:tc>
          <w:tcPr>
            <w:tcW w:w="278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Capital</w:t>
            </w:r>
          </w:p>
        </w:tc>
        <w:tc>
          <w:tcPr>
            <w:tcW w:w="94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rPr>
              <w:t>Earnings</w:t>
            </w:r>
          </w:p>
        </w:tc>
        <w:tc>
          <w:tcPr>
            <w:tcW w:w="12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Comprehensive Loss</w:t>
            </w: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color w:val="auto"/>
              </w:rPr>
              <w:t>Equity</w:t>
            </w:r>
          </w:p>
        </w:tc>
        <w:tc>
          <w:tcPr>
            <w:tcW w:w="0" w:type="dxa"/>
            <w:vAlign w:val="bottom"/>
          </w:tcPr>
          <w:p>
            <w:pPr>
              <w:spacing w:after="0"/>
              <w:rPr>
                <w:sz w:val="1"/>
                <w:szCs w:val="1"/>
                <w:color w:val="auto"/>
              </w:rPr>
            </w:pPr>
          </w:p>
        </w:tc>
      </w:tr>
      <w:tr>
        <w:trPr>
          <w:trHeight w:val="201"/>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November 30, 2024</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42,830,024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1,531,278</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4,780,213</w:t>
            </w:r>
          </w:p>
        </w:tc>
        <w:tc>
          <w:tcPr>
            <w:tcW w:w="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(1,438,678)</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1,998,954</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(100,421)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1,991,561</w:t>
            </w:r>
          </w:p>
        </w:tc>
        <w:tc>
          <w:tcPr>
            <w:tcW w:w="0" w:type="dxa"/>
            <w:vAlign w:val="bottom"/>
          </w:tcPr>
          <w:p>
            <w:pPr>
              <w:spacing w:after="0"/>
              <w:rPr>
                <w:sz w:val="1"/>
                <w:szCs w:val="1"/>
                <w:color w:val="auto"/>
              </w:rPr>
            </w:pPr>
          </w:p>
        </w:tc>
      </w:tr>
      <w:tr>
        <w:trPr>
          <w:trHeight w:val="195"/>
        </w:trPr>
        <w:tc>
          <w:tcPr>
            <w:tcW w:w="2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144,860</w:t>
            </w: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144,860</w:t>
            </w:r>
          </w:p>
        </w:tc>
        <w:tc>
          <w:tcPr>
            <w:tcW w:w="0" w:type="dxa"/>
            <w:vAlign w:val="bottom"/>
          </w:tcPr>
          <w:p>
            <w:pPr>
              <w:spacing w:after="0"/>
              <w:rPr>
                <w:sz w:val="1"/>
                <w:szCs w:val="1"/>
                <w:color w:val="auto"/>
              </w:rPr>
            </w:pPr>
          </w:p>
        </w:tc>
      </w:tr>
      <w:tr>
        <w:trPr>
          <w:trHeight w:val="210"/>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(12,332)</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(12,332)</w:t>
            </w:r>
          </w:p>
        </w:tc>
        <w:tc>
          <w:tcPr>
            <w:tcW w:w="0" w:type="dxa"/>
            <w:vAlign w:val="bottom"/>
          </w:tcPr>
          <w:p>
            <w:pPr>
              <w:spacing w:after="0"/>
              <w:rPr>
                <w:sz w:val="1"/>
                <w:szCs w:val="1"/>
                <w:color w:val="auto"/>
              </w:rPr>
            </w:pPr>
          </w:p>
        </w:tc>
      </w:tr>
      <w:tr>
        <w:trPr>
          <w:trHeight w:val="139"/>
        </w:trPr>
        <w:tc>
          <w:tcPr>
            <w:tcW w:w="2780" w:type="dxa"/>
            <w:vAlign w:val="bottom"/>
          </w:tcPr>
          <w:p>
            <w:pPr>
              <w:ind w:left="140"/>
              <w:spacing w:after="0" w:line="139" w:lineRule="exact"/>
              <w:rPr>
                <w:sz w:val="20"/>
                <w:szCs w:val="20"/>
                <w:color w:val="auto"/>
              </w:rPr>
            </w:pPr>
            <w:r>
              <w:rPr>
                <w:rFonts w:ascii="Times New Roman" w:cs="Times New Roman" w:eastAsia="Times New Roman" w:hAnsi="Times New Roman"/>
                <w:sz w:val="14"/>
                <w:szCs w:val="14"/>
                <w:color w:val="auto"/>
              </w:rPr>
              <w:t>Common stock issued for employee stock</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73,939</w:t>
            </w:r>
          </w:p>
        </w:tc>
        <w:tc>
          <w:tcPr>
            <w:tcW w:w="18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tcPr>
          <w:p>
            <w:pPr>
              <w:spacing w:after="0"/>
              <w:rPr>
                <w:sz w:val="12"/>
                <w:szCs w:val="12"/>
                <w:color w:val="auto"/>
              </w:rPr>
            </w:pPr>
          </w:p>
        </w:tc>
        <w:tc>
          <w:tcPr>
            <w:tcW w:w="8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21,494</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9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21,495</w:t>
            </w:r>
          </w:p>
        </w:tc>
        <w:tc>
          <w:tcPr>
            <w:tcW w:w="0" w:type="dxa"/>
            <w:vAlign w:val="bottom"/>
          </w:tcPr>
          <w:p>
            <w:pPr>
              <w:spacing w:after="0"/>
              <w:rPr>
                <w:sz w:val="1"/>
                <w:szCs w:val="1"/>
                <w:color w:val="auto"/>
              </w:rPr>
            </w:pPr>
          </w:p>
        </w:tc>
      </w:tr>
      <w:tr>
        <w:trPr>
          <w:trHeight w:val="193"/>
        </w:trPr>
        <w:tc>
          <w:tcPr>
            <w:tcW w:w="2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plans</w:t>
            </w:r>
          </w:p>
        </w:tc>
        <w:tc>
          <w:tcPr>
            <w:tcW w:w="9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Vesting of restricted stock</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6,125</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1,777</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(843)</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(843)</w:t>
            </w:r>
          </w:p>
        </w:tc>
        <w:tc>
          <w:tcPr>
            <w:tcW w:w="0" w:type="dxa"/>
            <w:vAlign w:val="bottom"/>
          </w:tcPr>
          <w:p>
            <w:pPr>
              <w:spacing w:after="0"/>
              <w:rPr>
                <w:sz w:val="1"/>
                <w:szCs w:val="1"/>
                <w:color w:val="auto"/>
              </w:rPr>
            </w:pPr>
          </w:p>
        </w:tc>
      </w:tr>
      <w:tr>
        <w:trPr>
          <w:trHeight w:val="195"/>
        </w:trPr>
        <w:tc>
          <w:tcPr>
            <w:tcW w:w="2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Excise tax on share repurchases</w:t>
            </w: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(508)</w:t>
            </w: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(508)</w:t>
            </w:r>
          </w:p>
        </w:tc>
        <w:tc>
          <w:tcPr>
            <w:tcW w:w="0" w:type="dxa"/>
            <w:vAlign w:val="bottom"/>
          </w:tcPr>
          <w:p>
            <w:pPr>
              <w:spacing w:after="0"/>
              <w:rPr>
                <w:sz w:val="1"/>
                <w:szCs w:val="1"/>
                <w:color w:val="auto"/>
              </w:rPr>
            </w:pPr>
          </w:p>
        </w:tc>
      </w:tr>
      <w:tr>
        <w:trPr>
          <w:trHeight w:val="210"/>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Repurchases of common stock</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136,714</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(64,352)</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(64,352)</w:t>
            </w:r>
          </w:p>
        </w:tc>
        <w:tc>
          <w:tcPr>
            <w:tcW w:w="0" w:type="dxa"/>
            <w:vAlign w:val="bottom"/>
          </w:tcPr>
          <w:p>
            <w:pPr>
              <w:spacing w:after="0"/>
              <w:rPr>
                <w:sz w:val="1"/>
                <w:szCs w:val="1"/>
                <w:color w:val="auto"/>
              </w:rPr>
            </w:pPr>
          </w:p>
        </w:tc>
      </w:tr>
      <w:tr>
        <w:trPr>
          <w:trHeight w:val="195"/>
        </w:trPr>
        <w:tc>
          <w:tcPr>
            <w:tcW w:w="2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16,547</w:t>
            </w: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16,547</w:t>
            </w:r>
          </w:p>
        </w:tc>
        <w:tc>
          <w:tcPr>
            <w:tcW w:w="0" w:type="dxa"/>
            <w:vAlign w:val="bottom"/>
          </w:tcPr>
          <w:p>
            <w:pPr>
              <w:spacing w:after="0"/>
              <w:rPr>
                <w:sz w:val="1"/>
                <w:szCs w:val="1"/>
                <w:color w:val="auto"/>
              </w:rPr>
            </w:pPr>
          </w:p>
        </w:tc>
      </w:tr>
      <w:tr>
        <w:trPr>
          <w:trHeight w:val="203"/>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Dividends declared</w:t>
            </w:r>
          </w:p>
        </w:tc>
        <w:tc>
          <w:tcPr>
            <w:tcW w:w="94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(39,511)</w:t>
            </w:r>
          </w:p>
        </w:tc>
        <w:tc>
          <w:tcPr>
            <w:tcW w:w="1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(39,511)</w:t>
            </w:r>
          </w:p>
        </w:tc>
        <w:tc>
          <w:tcPr>
            <w:tcW w:w="0" w:type="dxa"/>
            <w:vAlign w:val="bottom"/>
          </w:tcPr>
          <w:p>
            <w:pPr>
              <w:spacing w:after="0"/>
              <w:rPr>
                <w:sz w:val="1"/>
                <w:szCs w:val="1"/>
                <w:color w:val="auto"/>
              </w:rPr>
            </w:pPr>
          </w:p>
        </w:tc>
      </w:tr>
      <w:tr>
        <w:trPr>
          <w:trHeight w:val="203"/>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as of February 28, 2025</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42,910,088</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429</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1,569,319</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4,918,704</w:t>
            </w:r>
          </w:p>
        </w:tc>
        <w:tc>
          <w:tcPr>
            <w:tcW w:w="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(1,504,381)</w:t>
            </w: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2,104,303</w:t>
            </w: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(112,753)</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2,056,917</w:t>
            </w: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For the Six Months Ended February 28, 2025</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80" w:type="dxa"/>
            <w:vAlign w:val="bottom"/>
          </w:tcPr>
          <w:p>
            <w:pPr>
              <w:spacing w:after="0"/>
              <w:rPr>
                <w:sz w:val="13"/>
                <w:szCs w:val="13"/>
                <w:color w:val="auto"/>
              </w:rPr>
            </w:pPr>
          </w:p>
        </w:tc>
        <w:tc>
          <w:tcPr>
            <w:tcW w:w="1940" w:type="dxa"/>
            <w:vAlign w:val="bottom"/>
            <w:gridSpan w:val="3"/>
            <w:vMerge w:val="restart"/>
          </w:tcPr>
          <w:p>
            <w:pPr>
              <w:jc w:val="right"/>
              <w:ind w:right="448"/>
              <w:spacing w:after="0"/>
              <w:rPr>
                <w:sz w:val="20"/>
                <w:szCs w:val="20"/>
                <w:color w:val="auto"/>
              </w:rPr>
            </w:pPr>
            <w:r>
              <w:rPr>
                <w:rFonts w:ascii="Times New Roman" w:cs="Times New Roman" w:eastAsia="Times New Roman" w:hAnsi="Times New Roman"/>
                <w:sz w:val="14"/>
                <w:szCs w:val="14"/>
                <w:color w:val="auto"/>
              </w:rPr>
              <w:t>Common Stock</w:t>
            </w: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color w:val="auto"/>
              </w:rPr>
              <w:t>Treasury Stock</w:t>
            </w: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Accumulated</w:t>
            </w: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4"/>
        </w:trPr>
        <w:tc>
          <w:tcPr>
            <w:tcW w:w="2780" w:type="dxa"/>
            <w:vAlign w:val="bottom"/>
          </w:tcPr>
          <w:p>
            <w:pPr>
              <w:spacing w:after="0"/>
              <w:rPr>
                <w:sz w:val="8"/>
                <w:szCs w:val="8"/>
                <w:color w:val="auto"/>
              </w:rPr>
            </w:pPr>
          </w:p>
        </w:tc>
        <w:tc>
          <w:tcPr>
            <w:tcW w:w="1940" w:type="dxa"/>
            <w:vAlign w:val="bottom"/>
            <w:gridSpan w:val="3"/>
            <w:vMerge w:val="continue"/>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vMerge w:val="restart"/>
          </w:tcPr>
          <w:p>
            <w:pPr>
              <w:jc w:val="right"/>
              <w:ind w:right="108"/>
              <w:spacing w:after="0" w:line="129" w:lineRule="exact"/>
              <w:rPr>
                <w:sz w:val="20"/>
                <w:szCs w:val="20"/>
                <w:color w:val="auto"/>
              </w:rPr>
            </w:pPr>
            <w:r>
              <w:rPr>
                <w:rFonts w:ascii="Times New Roman" w:cs="Times New Roman" w:eastAsia="Times New Roman" w:hAnsi="Times New Roman"/>
                <w:sz w:val="14"/>
                <w:szCs w:val="14"/>
                <w:color w:val="auto"/>
              </w:rPr>
              <w:t>Additional</w:t>
            </w:r>
          </w:p>
        </w:tc>
        <w:tc>
          <w:tcPr>
            <w:tcW w:w="208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vMerge w:val="restart"/>
          </w:tcPr>
          <w:p>
            <w:pPr>
              <w:jc w:val="center"/>
              <w:ind w:right="68"/>
              <w:spacing w:after="0" w:line="129" w:lineRule="exact"/>
              <w:rPr>
                <w:sz w:val="20"/>
                <w:szCs w:val="20"/>
                <w:color w:val="auto"/>
              </w:rPr>
            </w:pPr>
            <w:r>
              <w:rPr>
                <w:rFonts w:ascii="Times New Roman" w:cs="Times New Roman" w:eastAsia="Times New Roman" w:hAnsi="Times New Roman"/>
                <w:sz w:val="14"/>
                <w:szCs w:val="14"/>
                <w:color w:val="auto"/>
              </w:rPr>
              <w:t>Other</w:t>
            </w:r>
          </w:p>
        </w:tc>
        <w:tc>
          <w:tcPr>
            <w:tcW w:w="140" w:type="dxa"/>
            <w:vAlign w:val="bottom"/>
          </w:tcPr>
          <w:p>
            <w:pPr>
              <w:spacing w:after="0"/>
              <w:rPr>
                <w:sz w:val="8"/>
                <w:szCs w:val="8"/>
                <w:color w:val="auto"/>
              </w:rPr>
            </w:pPr>
          </w:p>
        </w:tc>
        <w:tc>
          <w:tcPr>
            <w:tcW w:w="980" w:type="dxa"/>
            <w:vAlign w:val="bottom"/>
            <w:vMerge w:val="restart"/>
          </w:tcPr>
          <w:p>
            <w:pPr>
              <w:jc w:val="center"/>
              <w:ind w:right="48"/>
              <w:spacing w:after="0" w:line="129" w:lineRule="exact"/>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35"/>
        </w:trPr>
        <w:tc>
          <w:tcPr>
            <w:tcW w:w="278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color w:val="auto"/>
              </w:rPr>
              <w:t>Retained</w:t>
            </w:r>
          </w:p>
        </w:tc>
        <w:tc>
          <w:tcPr>
            <w:tcW w:w="14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4"/>
        </w:trPr>
        <w:tc>
          <w:tcPr>
            <w:tcW w:w="2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share data)</w:t>
            </w:r>
          </w:p>
        </w:tc>
        <w:tc>
          <w:tcPr>
            <w:tcW w:w="94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color w:val="auto"/>
              </w:rPr>
              <w:t>Shares</w:t>
            </w:r>
          </w:p>
        </w:tc>
        <w:tc>
          <w:tcPr>
            <w:tcW w:w="180" w:type="dxa"/>
            <w:vAlign w:val="bottom"/>
          </w:tcPr>
          <w:p>
            <w:pPr>
              <w:spacing w:after="0"/>
              <w:rPr>
                <w:sz w:val="12"/>
                <w:szCs w:val="12"/>
                <w:color w:val="auto"/>
              </w:rPr>
            </w:pPr>
          </w:p>
        </w:tc>
        <w:tc>
          <w:tcPr>
            <w:tcW w:w="82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Par Value</w:t>
            </w:r>
          </w:p>
        </w:tc>
        <w:tc>
          <w:tcPr>
            <w:tcW w:w="140" w:type="dxa"/>
            <w:vAlign w:val="bottom"/>
          </w:tcPr>
          <w:p>
            <w:pPr>
              <w:spacing w:after="0"/>
              <w:rPr>
                <w:sz w:val="12"/>
                <w:szCs w:val="12"/>
                <w:color w:val="auto"/>
              </w:rPr>
            </w:pPr>
          </w:p>
        </w:tc>
        <w:tc>
          <w:tcPr>
            <w:tcW w:w="840" w:type="dxa"/>
            <w:vAlign w:val="bottom"/>
          </w:tcPr>
          <w:p>
            <w:pPr>
              <w:jc w:val="right"/>
              <w:ind w:right="208"/>
              <w:spacing w:after="0" w:line="145" w:lineRule="exact"/>
              <w:rPr>
                <w:sz w:val="20"/>
                <w:szCs w:val="20"/>
                <w:color w:val="auto"/>
              </w:rPr>
            </w:pPr>
            <w:r>
              <w:rPr>
                <w:rFonts w:ascii="Times New Roman" w:cs="Times New Roman" w:eastAsia="Times New Roman" w:hAnsi="Times New Roman"/>
                <w:sz w:val="14"/>
                <w:szCs w:val="14"/>
                <w:color w:val="auto"/>
              </w:rPr>
              <w:t>Paid-in</w:t>
            </w:r>
          </w:p>
        </w:tc>
        <w:tc>
          <w:tcPr>
            <w:tcW w:w="94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color w:val="auto"/>
              </w:rPr>
              <w:t>Shares</w:t>
            </w:r>
          </w:p>
        </w:tc>
        <w:tc>
          <w:tcPr>
            <w:tcW w:w="220" w:type="dxa"/>
            <w:vAlign w:val="bottom"/>
          </w:tcPr>
          <w:p>
            <w:pPr>
              <w:spacing w:after="0"/>
              <w:rPr>
                <w:sz w:val="12"/>
                <w:szCs w:val="12"/>
                <w:color w:val="auto"/>
              </w:rPr>
            </w:pPr>
          </w:p>
        </w:tc>
        <w:tc>
          <w:tcPr>
            <w:tcW w:w="92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color w:val="auto"/>
              </w:rPr>
              <w:t>Amount</w:t>
            </w:r>
          </w:p>
        </w:tc>
        <w:tc>
          <w:tcPr>
            <w:tcW w:w="1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center"/>
              <w:ind w:right="48"/>
              <w:spacing w:after="0" w:line="145" w:lineRule="exact"/>
              <w:rPr>
                <w:sz w:val="20"/>
                <w:szCs w:val="20"/>
                <w:color w:val="auto"/>
              </w:rPr>
            </w:pPr>
            <w:r>
              <w:rPr>
                <w:rFonts w:ascii="Times New Roman" w:cs="Times New Roman" w:eastAsia="Times New Roman" w:hAnsi="Times New Roman"/>
                <w:sz w:val="14"/>
                <w:szCs w:val="14"/>
                <w:color w:val="auto"/>
              </w:rPr>
              <w:t>Comprehensive</w:t>
            </w:r>
          </w:p>
        </w:tc>
        <w:tc>
          <w:tcPr>
            <w:tcW w:w="140" w:type="dxa"/>
            <w:vAlign w:val="bottom"/>
          </w:tcPr>
          <w:p>
            <w:pPr>
              <w:spacing w:after="0"/>
              <w:rPr>
                <w:sz w:val="12"/>
                <w:szCs w:val="12"/>
                <w:color w:val="auto"/>
              </w:rPr>
            </w:pPr>
          </w:p>
        </w:tc>
        <w:tc>
          <w:tcPr>
            <w:tcW w:w="980" w:type="dxa"/>
            <w:vAlign w:val="bottom"/>
          </w:tcPr>
          <w:p>
            <w:pPr>
              <w:jc w:val="center"/>
              <w:ind w:right="68"/>
              <w:spacing w:after="0" w:line="145" w:lineRule="exact"/>
              <w:rPr>
                <w:sz w:val="20"/>
                <w:szCs w:val="20"/>
                <w:color w:val="auto"/>
              </w:rPr>
            </w:pPr>
            <w:r>
              <w:rPr>
                <w:rFonts w:ascii="Times New Roman" w:cs="Times New Roman" w:eastAsia="Times New Roman" w:hAnsi="Times New Roman"/>
                <w:sz w:val="14"/>
                <w:szCs w:val="14"/>
                <w:color w:val="auto"/>
              </w:rPr>
              <w:t>Stockholders’</w:t>
            </w:r>
          </w:p>
        </w:tc>
        <w:tc>
          <w:tcPr>
            <w:tcW w:w="0" w:type="dxa"/>
            <w:vAlign w:val="bottom"/>
          </w:tcPr>
          <w:p>
            <w:pPr>
              <w:spacing w:after="0"/>
              <w:rPr>
                <w:sz w:val="1"/>
                <w:szCs w:val="1"/>
                <w:color w:val="auto"/>
              </w:rPr>
            </w:pPr>
          </w:p>
        </w:tc>
      </w:tr>
      <w:tr>
        <w:trPr>
          <w:trHeight w:val="198"/>
        </w:trPr>
        <w:tc>
          <w:tcPr>
            <w:tcW w:w="2780" w:type="dxa"/>
            <w:vAlign w:val="bottom"/>
            <w:tcBorders>
              <w:bottom w:val="single" w:sz="8" w:color="auto"/>
            </w:tcBorders>
            <w:vMerge w:val="continue"/>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Capital</w:t>
            </w:r>
          </w:p>
        </w:tc>
        <w:tc>
          <w:tcPr>
            <w:tcW w:w="94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rPr>
              <w:t>Earnings</w:t>
            </w: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color w:val="auto"/>
              </w:rPr>
              <w:t>Loss</w:t>
            </w: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color w:val="auto"/>
              </w:rPr>
              <w:t>Equity</w:t>
            </w:r>
          </w:p>
        </w:tc>
        <w:tc>
          <w:tcPr>
            <w:tcW w:w="0" w:type="dxa"/>
            <w:vAlign w:val="bottom"/>
          </w:tcPr>
          <w:p>
            <w:pPr>
              <w:spacing w:after="0"/>
              <w:rPr>
                <w:sz w:val="1"/>
                <w:szCs w:val="1"/>
                <w:color w:val="auto"/>
              </w:rPr>
            </w:pPr>
          </w:p>
        </w:tc>
      </w:tr>
      <w:tr>
        <w:trPr>
          <w:trHeight w:val="201"/>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August 31, 2024</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42,598,915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1,478,839</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4,646,645</w:t>
            </w:r>
          </w:p>
        </w:tc>
        <w:tc>
          <w:tcPr>
            <w:tcW w:w="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(1,375,696)</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1,888,504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(79,613)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1,912,460</w:t>
            </w:r>
          </w:p>
        </w:tc>
        <w:tc>
          <w:tcPr>
            <w:tcW w:w="0" w:type="dxa"/>
            <w:vAlign w:val="bottom"/>
          </w:tcPr>
          <w:p>
            <w:pPr>
              <w:spacing w:after="0"/>
              <w:rPr>
                <w:sz w:val="1"/>
                <w:szCs w:val="1"/>
                <w:color w:val="auto"/>
              </w:rPr>
            </w:pPr>
          </w:p>
        </w:tc>
      </w:tr>
      <w:tr>
        <w:trPr>
          <w:trHeight w:val="195"/>
        </w:trPr>
        <w:tc>
          <w:tcPr>
            <w:tcW w:w="2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294,882</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294,882</w:t>
            </w:r>
          </w:p>
        </w:tc>
        <w:tc>
          <w:tcPr>
            <w:tcW w:w="0" w:type="dxa"/>
            <w:vAlign w:val="bottom"/>
          </w:tcPr>
          <w:p>
            <w:pPr>
              <w:spacing w:after="0"/>
              <w:rPr>
                <w:sz w:val="1"/>
                <w:szCs w:val="1"/>
                <w:color w:val="auto"/>
              </w:rPr>
            </w:pPr>
          </w:p>
        </w:tc>
      </w:tr>
      <w:tr>
        <w:trPr>
          <w:trHeight w:val="210"/>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(33,140)</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(33,140)</w:t>
            </w:r>
          </w:p>
        </w:tc>
        <w:tc>
          <w:tcPr>
            <w:tcW w:w="0" w:type="dxa"/>
            <w:vAlign w:val="bottom"/>
          </w:tcPr>
          <w:p>
            <w:pPr>
              <w:spacing w:after="0"/>
              <w:rPr>
                <w:sz w:val="1"/>
                <w:szCs w:val="1"/>
                <w:color w:val="auto"/>
              </w:rPr>
            </w:pPr>
          </w:p>
        </w:tc>
      </w:tr>
      <w:tr>
        <w:trPr>
          <w:trHeight w:val="139"/>
        </w:trPr>
        <w:tc>
          <w:tcPr>
            <w:tcW w:w="2780" w:type="dxa"/>
            <w:vAlign w:val="bottom"/>
          </w:tcPr>
          <w:p>
            <w:pPr>
              <w:ind w:left="140"/>
              <w:spacing w:after="0" w:line="139" w:lineRule="exact"/>
              <w:rPr>
                <w:sz w:val="20"/>
                <w:szCs w:val="20"/>
                <w:color w:val="auto"/>
              </w:rPr>
            </w:pPr>
            <w:r>
              <w:rPr>
                <w:rFonts w:ascii="Times New Roman" w:cs="Times New Roman" w:eastAsia="Times New Roman" w:hAnsi="Times New Roman"/>
                <w:sz w:val="14"/>
                <w:szCs w:val="14"/>
                <w:color w:val="auto"/>
              </w:rPr>
              <w:t>Common stock issued for employee stock</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235,036</w:t>
            </w:r>
          </w:p>
        </w:tc>
        <w:tc>
          <w:tcPr>
            <w:tcW w:w="18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40" w:type="dxa"/>
            <w:vAlign w:val="bottom"/>
          </w:tcPr>
          <w:p>
            <w:pPr>
              <w:spacing w:after="0"/>
              <w:rPr>
                <w:sz w:val="12"/>
                <w:szCs w:val="12"/>
                <w:color w:val="auto"/>
              </w:rPr>
            </w:pPr>
          </w:p>
        </w:tc>
        <w:tc>
          <w:tcPr>
            <w:tcW w:w="8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60,342</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370</w:t>
            </w:r>
          </w:p>
        </w:tc>
        <w:tc>
          <w:tcPr>
            <w:tcW w:w="22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60,174</w:t>
            </w:r>
          </w:p>
        </w:tc>
        <w:tc>
          <w:tcPr>
            <w:tcW w:w="0" w:type="dxa"/>
            <w:vAlign w:val="bottom"/>
          </w:tcPr>
          <w:p>
            <w:pPr>
              <w:spacing w:after="0"/>
              <w:rPr>
                <w:sz w:val="1"/>
                <w:szCs w:val="1"/>
                <w:color w:val="auto"/>
              </w:rPr>
            </w:pPr>
          </w:p>
        </w:tc>
      </w:tr>
      <w:tr>
        <w:trPr>
          <w:trHeight w:val="193"/>
        </w:trPr>
        <w:tc>
          <w:tcPr>
            <w:tcW w:w="2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plans</w:t>
            </w:r>
          </w:p>
        </w:tc>
        <w:tc>
          <w:tcPr>
            <w:tcW w:w="9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Vesting of restricted stock</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76,137</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30,500</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(14,058)</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(14,058)</w:t>
            </w:r>
          </w:p>
        </w:tc>
        <w:tc>
          <w:tcPr>
            <w:tcW w:w="0" w:type="dxa"/>
            <w:vAlign w:val="bottom"/>
          </w:tcPr>
          <w:p>
            <w:pPr>
              <w:spacing w:after="0"/>
              <w:rPr>
                <w:sz w:val="1"/>
                <w:szCs w:val="1"/>
                <w:color w:val="auto"/>
              </w:rPr>
            </w:pPr>
          </w:p>
        </w:tc>
      </w:tr>
      <w:tr>
        <w:trPr>
          <w:trHeight w:val="195"/>
        </w:trPr>
        <w:tc>
          <w:tcPr>
            <w:tcW w:w="2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Excise tax on share repurchases</w:t>
            </w: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(1,315)</w:t>
            </w: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(1,315)</w:t>
            </w:r>
          </w:p>
        </w:tc>
        <w:tc>
          <w:tcPr>
            <w:tcW w:w="0" w:type="dxa"/>
            <w:vAlign w:val="bottom"/>
          </w:tcPr>
          <w:p>
            <w:pPr>
              <w:spacing w:after="0"/>
              <w:rPr>
                <w:sz w:val="1"/>
                <w:szCs w:val="1"/>
                <w:color w:val="auto"/>
              </w:rPr>
            </w:pPr>
          </w:p>
        </w:tc>
      </w:tr>
      <w:tr>
        <w:trPr>
          <w:trHeight w:val="210"/>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Repurchases of common stock</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241,189</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(113,142)</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(113,142)</w:t>
            </w:r>
          </w:p>
        </w:tc>
        <w:tc>
          <w:tcPr>
            <w:tcW w:w="0" w:type="dxa"/>
            <w:vAlign w:val="bottom"/>
          </w:tcPr>
          <w:p>
            <w:pPr>
              <w:spacing w:after="0"/>
              <w:rPr>
                <w:sz w:val="1"/>
                <w:szCs w:val="1"/>
                <w:color w:val="auto"/>
              </w:rPr>
            </w:pPr>
          </w:p>
        </w:tc>
      </w:tr>
      <w:tr>
        <w:trPr>
          <w:trHeight w:val="195"/>
        </w:trPr>
        <w:tc>
          <w:tcPr>
            <w:tcW w:w="2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30,139</w:t>
            </w: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30,139</w:t>
            </w:r>
          </w:p>
        </w:tc>
        <w:tc>
          <w:tcPr>
            <w:tcW w:w="0" w:type="dxa"/>
            <w:vAlign w:val="bottom"/>
          </w:tcPr>
          <w:p>
            <w:pPr>
              <w:spacing w:after="0"/>
              <w:rPr>
                <w:sz w:val="1"/>
                <w:szCs w:val="1"/>
                <w:color w:val="auto"/>
              </w:rPr>
            </w:pPr>
          </w:p>
        </w:tc>
      </w:tr>
      <w:tr>
        <w:trPr>
          <w:trHeight w:val="203"/>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Dividends declared</w:t>
            </w:r>
          </w:p>
        </w:tc>
        <w:tc>
          <w:tcPr>
            <w:tcW w:w="94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(79,083)</w:t>
            </w:r>
          </w:p>
        </w:tc>
        <w:tc>
          <w:tcPr>
            <w:tcW w:w="1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(79,083)</w:t>
            </w:r>
          </w:p>
        </w:tc>
        <w:tc>
          <w:tcPr>
            <w:tcW w:w="0" w:type="dxa"/>
            <w:vAlign w:val="bottom"/>
          </w:tcPr>
          <w:p>
            <w:pPr>
              <w:spacing w:after="0"/>
              <w:rPr>
                <w:sz w:val="1"/>
                <w:szCs w:val="1"/>
                <w:color w:val="auto"/>
              </w:rPr>
            </w:pPr>
          </w:p>
        </w:tc>
      </w:tr>
      <w:tr>
        <w:trPr>
          <w:trHeight w:val="203"/>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as of February 28, 2025</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42,910,088</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429</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1,569,319</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4,918,704</w:t>
            </w:r>
          </w:p>
        </w:tc>
        <w:tc>
          <w:tcPr>
            <w:tcW w:w="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(1,504,381)</w:t>
            </w: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2,104,303</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(112,753)</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2,056,917</w:t>
            </w: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FactSet Research Systems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 Unaudited</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For the Three Months Ended February 29, 2024</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80" w:type="dxa"/>
            <w:vAlign w:val="bottom"/>
          </w:tcPr>
          <w:p>
            <w:pPr>
              <w:spacing w:after="0"/>
              <w:rPr>
                <w:sz w:val="13"/>
                <w:szCs w:val="13"/>
                <w:color w:val="auto"/>
              </w:rPr>
            </w:pPr>
          </w:p>
        </w:tc>
        <w:tc>
          <w:tcPr>
            <w:tcW w:w="1940" w:type="dxa"/>
            <w:vAlign w:val="bottom"/>
            <w:gridSpan w:val="3"/>
            <w:vMerge w:val="restart"/>
          </w:tcPr>
          <w:p>
            <w:pPr>
              <w:jc w:val="right"/>
              <w:ind w:right="448"/>
              <w:spacing w:after="0"/>
              <w:rPr>
                <w:sz w:val="20"/>
                <w:szCs w:val="20"/>
                <w:color w:val="auto"/>
              </w:rPr>
            </w:pPr>
            <w:r>
              <w:rPr>
                <w:rFonts w:ascii="Times New Roman" w:cs="Times New Roman" w:eastAsia="Times New Roman" w:hAnsi="Times New Roman"/>
                <w:sz w:val="14"/>
                <w:szCs w:val="14"/>
                <w:color w:val="auto"/>
              </w:rPr>
              <w:t>Common Stock</w:t>
            </w:r>
          </w:p>
        </w:tc>
        <w:tc>
          <w:tcPr>
            <w:tcW w:w="140" w:type="dxa"/>
            <w:vAlign w:val="bottom"/>
          </w:tcPr>
          <w:p>
            <w:pPr>
              <w:spacing w:after="0"/>
              <w:rPr>
                <w:sz w:val="13"/>
                <w:szCs w:val="13"/>
                <w:color w:val="auto"/>
              </w:rPr>
            </w:pPr>
          </w:p>
        </w:tc>
        <w:tc>
          <w:tcPr>
            <w:tcW w:w="84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Additional</w:t>
            </w:r>
          </w:p>
        </w:tc>
        <w:tc>
          <w:tcPr>
            <w:tcW w:w="20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color w:val="auto"/>
              </w:rPr>
              <w:t>Treasury Stock</w:t>
            </w: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Accumulated</w:t>
            </w:r>
          </w:p>
        </w:tc>
        <w:tc>
          <w:tcPr>
            <w:tcW w:w="140" w:type="dxa"/>
            <w:vAlign w:val="bottom"/>
          </w:tcPr>
          <w:p>
            <w:pPr>
              <w:spacing w:after="0"/>
              <w:rPr>
                <w:sz w:val="13"/>
                <w:szCs w:val="13"/>
                <w:color w:val="auto"/>
              </w:rPr>
            </w:pPr>
          </w:p>
        </w:tc>
        <w:tc>
          <w:tcPr>
            <w:tcW w:w="98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44"/>
        </w:trPr>
        <w:tc>
          <w:tcPr>
            <w:tcW w:w="2780" w:type="dxa"/>
            <w:vAlign w:val="bottom"/>
          </w:tcPr>
          <w:p>
            <w:pPr>
              <w:spacing w:after="0"/>
              <w:rPr>
                <w:sz w:val="12"/>
                <w:szCs w:val="12"/>
                <w:color w:val="auto"/>
              </w:rPr>
            </w:pPr>
          </w:p>
        </w:tc>
        <w:tc>
          <w:tcPr>
            <w:tcW w:w="19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208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center"/>
              <w:ind w:right="68"/>
              <w:spacing w:after="0" w:line="145" w:lineRule="exact"/>
              <w:rPr>
                <w:sz w:val="20"/>
                <w:szCs w:val="20"/>
                <w:color w:val="auto"/>
              </w:rPr>
            </w:pPr>
            <w:r>
              <w:rPr>
                <w:rFonts w:ascii="Times New Roman" w:cs="Times New Roman" w:eastAsia="Times New Roman" w:hAnsi="Times New Roman"/>
                <w:sz w:val="14"/>
                <w:szCs w:val="14"/>
                <w:color w:val="auto"/>
              </w:rPr>
              <w:t>Other</w:t>
            </w:r>
          </w:p>
        </w:tc>
        <w:tc>
          <w:tcPr>
            <w:tcW w:w="14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share data)</w:t>
            </w:r>
          </w:p>
        </w:tc>
        <w:tc>
          <w:tcPr>
            <w:tcW w:w="9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vMerge w:val="restart"/>
          </w:tcPr>
          <w:p>
            <w:pPr>
              <w:jc w:val="right"/>
              <w:ind w:right="208"/>
              <w:spacing w:after="0" w:line="149" w:lineRule="exact"/>
              <w:rPr>
                <w:sz w:val="20"/>
                <w:szCs w:val="20"/>
                <w:color w:val="auto"/>
              </w:rPr>
            </w:pPr>
            <w:r>
              <w:rPr>
                <w:rFonts w:ascii="Times New Roman" w:cs="Times New Roman" w:eastAsia="Times New Roman" w:hAnsi="Times New Roman"/>
                <w:sz w:val="14"/>
                <w:szCs w:val="14"/>
                <w:color w:val="auto"/>
              </w:rPr>
              <w:t>Paid-in</w:t>
            </w: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vMerge w:val="restart"/>
          </w:tcPr>
          <w:p>
            <w:pPr>
              <w:jc w:val="right"/>
              <w:ind w:right="228"/>
              <w:spacing w:after="0" w:line="149" w:lineRule="exact"/>
              <w:rPr>
                <w:sz w:val="20"/>
                <w:szCs w:val="20"/>
                <w:color w:val="auto"/>
              </w:rPr>
            </w:pPr>
            <w:r>
              <w:rPr>
                <w:rFonts w:ascii="Times New Roman" w:cs="Times New Roman" w:eastAsia="Times New Roman" w:hAnsi="Times New Roman"/>
                <w:sz w:val="14"/>
                <w:szCs w:val="14"/>
                <w:color w:val="auto"/>
              </w:rPr>
              <w:t>Retained</w:t>
            </w:r>
          </w:p>
        </w:tc>
        <w:tc>
          <w:tcPr>
            <w:tcW w:w="140" w:type="dxa"/>
            <w:vAlign w:val="bottom"/>
          </w:tcPr>
          <w:p>
            <w:pPr>
              <w:spacing w:after="0"/>
              <w:rPr>
                <w:sz w:val="2"/>
                <w:szCs w:val="2"/>
                <w:color w:val="auto"/>
              </w:rPr>
            </w:pPr>
          </w:p>
        </w:tc>
        <w:tc>
          <w:tcPr>
            <w:tcW w:w="1100" w:type="dxa"/>
            <w:vAlign w:val="bottom"/>
            <w:vMerge w:val="restart"/>
          </w:tcPr>
          <w:p>
            <w:pPr>
              <w:jc w:val="center"/>
              <w:ind w:right="48"/>
              <w:spacing w:after="0" w:line="149" w:lineRule="exact"/>
              <w:rPr>
                <w:sz w:val="20"/>
                <w:szCs w:val="20"/>
                <w:color w:val="auto"/>
              </w:rPr>
            </w:pPr>
            <w:r>
              <w:rPr>
                <w:rFonts w:ascii="Times New Roman" w:cs="Times New Roman" w:eastAsia="Times New Roman" w:hAnsi="Times New Roman"/>
                <w:sz w:val="14"/>
                <w:szCs w:val="14"/>
                <w:color w:val="auto"/>
              </w:rPr>
              <w:t>Comprehensive</w:t>
            </w:r>
          </w:p>
        </w:tc>
        <w:tc>
          <w:tcPr>
            <w:tcW w:w="140" w:type="dxa"/>
            <w:vAlign w:val="bottom"/>
          </w:tcPr>
          <w:p>
            <w:pPr>
              <w:spacing w:after="0"/>
              <w:rPr>
                <w:sz w:val="2"/>
                <w:szCs w:val="2"/>
                <w:color w:val="auto"/>
              </w:rPr>
            </w:pPr>
          </w:p>
        </w:tc>
        <w:tc>
          <w:tcPr>
            <w:tcW w:w="980" w:type="dxa"/>
            <w:vAlign w:val="bottom"/>
            <w:vMerge w:val="restart"/>
          </w:tcPr>
          <w:p>
            <w:pPr>
              <w:jc w:val="center"/>
              <w:ind w:right="68"/>
              <w:spacing w:after="0" w:line="149" w:lineRule="exact"/>
              <w:rPr>
                <w:sz w:val="20"/>
                <w:szCs w:val="20"/>
                <w:color w:val="auto"/>
              </w:rPr>
            </w:pPr>
            <w:r>
              <w:rPr>
                <w:rFonts w:ascii="Times New Roman" w:cs="Times New Roman" w:eastAsia="Times New Roman" w:hAnsi="Times New Roman"/>
                <w:sz w:val="14"/>
                <w:szCs w:val="14"/>
                <w:color w:val="auto"/>
              </w:rPr>
              <w:t>Stockholders’</w:t>
            </w:r>
          </w:p>
        </w:tc>
        <w:tc>
          <w:tcPr>
            <w:tcW w:w="0" w:type="dxa"/>
            <w:vAlign w:val="bottom"/>
          </w:tcPr>
          <w:p>
            <w:pPr>
              <w:spacing w:after="0"/>
              <w:rPr>
                <w:sz w:val="1"/>
                <w:szCs w:val="1"/>
                <w:color w:val="auto"/>
              </w:rPr>
            </w:pPr>
          </w:p>
        </w:tc>
      </w:tr>
      <w:tr>
        <w:trPr>
          <w:trHeight w:val="102"/>
        </w:trPr>
        <w:tc>
          <w:tcPr>
            <w:tcW w:w="2780" w:type="dxa"/>
            <w:vAlign w:val="bottom"/>
            <w:vMerge w:val="continue"/>
          </w:tcPr>
          <w:p>
            <w:pPr>
              <w:spacing w:after="0"/>
              <w:rPr>
                <w:sz w:val="8"/>
                <w:szCs w:val="8"/>
                <w:color w:val="auto"/>
              </w:rPr>
            </w:pPr>
          </w:p>
        </w:tc>
        <w:tc>
          <w:tcPr>
            <w:tcW w:w="94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color w:val="auto"/>
              </w:rPr>
              <w:t>Shares</w:t>
            </w:r>
          </w:p>
        </w:tc>
        <w:tc>
          <w:tcPr>
            <w:tcW w:w="180" w:type="dxa"/>
            <w:vAlign w:val="bottom"/>
          </w:tcPr>
          <w:p>
            <w:pPr>
              <w:spacing w:after="0"/>
              <w:rPr>
                <w:sz w:val="8"/>
                <w:szCs w:val="8"/>
                <w:color w:val="auto"/>
              </w:rPr>
            </w:pPr>
          </w:p>
        </w:tc>
        <w:tc>
          <w:tcPr>
            <w:tcW w:w="82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Par Value</w:t>
            </w:r>
          </w:p>
        </w:tc>
        <w:tc>
          <w:tcPr>
            <w:tcW w:w="14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94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color w:val="auto"/>
              </w:rPr>
              <w:t>Shares</w:t>
            </w:r>
          </w:p>
        </w:tc>
        <w:tc>
          <w:tcPr>
            <w:tcW w:w="220" w:type="dxa"/>
            <w:vAlign w:val="bottom"/>
          </w:tcPr>
          <w:p>
            <w:pPr>
              <w:spacing w:after="0"/>
              <w:rPr>
                <w:sz w:val="8"/>
                <w:szCs w:val="8"/>
                <w:color w:val="auto"/>
              </w:rPr>
            </w:pPr>
          </w:p>
        </w:tc>
        <w:tc>
          <w:tcPr>
            <w:tcW w:w="92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color w:val="auto"/>
              </w:rPr>
              <w:t>Amount</w:t>
            </w:r>
          </w:p>
        </w:tc>
        <w:tc>
          <w:tcPr>
            <w:tcW w:w="18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8"/>
        </w:trPr>
        <w:tc>
          <w:tcPr>
            <w:tcW w:w="2780" w:type="dxa"/>
            <w:vAlign w:val="bottom"/>
            <w:tcBorders>
              <w:bottom w:val="single" w:sz="8" w:color="auto"/>
            </w:tcBorders>
            <w:vMerge w:val="continue"/>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Capital</w:t>
            </w:r>
          </w:p>
        </w:tc>
        <w:tc>
          <w:tcPr>
            <w:tcW w:w="94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rPr>
              <w:t>Earnings</w:t>
            </w: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color w:val="auto"/>
              </w:rPr>
              <w:t>Loss</w:t>
            </w: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color w:val="auto"/>
              </w:rPr>
              <w:t>Equity</w:t>
            </w:r>
          </w:p>
        </w:tc>
        <w:tc>
          <w:tcPr>
            <w:tcW w:w="0" w:type="dxa"/>
            <w:vAlign w:val="bottom"/>
          </w:tcPr>
          <w:p>
            <w:pPr>
              <w:spacing w:after="0"/>
              <w:rPr>
                <w:sz w:val="1"/>
                <w:szCs w:val="1"/>
                <w:color w:val="auto"/>
              </w:rPr>
            </w:pPr>
          </w:p>
        </w:tc>
      </w:tr>
      <w:tr>
        <w:trPr>
          <w:trHeight w:val="201"/>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November 30, 2023</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42,297,330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1,366,343</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4,237,590</w:t>
            </w:r>
          </w:p>
        </w:tc>
        <w:tc>
          <w:tcPr>
            <w:tcW w:w="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(1,195,491)</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1,616,352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(86,887)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1,700,740</w:t>
            </w:r>
          </w:p>
        </w:tc>
        <w:tc>
          <w:tcPr>
            <w:tcW w:w="0" w:type="dxa"/>
            <w:vAlign w:val="bottom"/>
          </w:tcPr>
          <w:p>
            <w:pPr>
              <w:spacing w:after="0"/>
              <w:rPr>
                <w:sz w:val="1"/>
                <w:szCs w:val="1"/>
                <w:color w:val="auto"/>
              </w:rPr>
            </w:pPr>
          </w:p>
        </w:tc>
      </w:tr>
      <w:tr>
        <w:trPr>
          <w:trHeight w:val="195"/>
        </w:trPr>
        <w:tc>
          <w:tcPr>
            <w:tcW w:w="2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140,940</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140,940</w:t>
            </w:r>
          </w:p>
        </w:tc>
        <w:tc>
          <w:tcPr>
            <w:tcW w:w="0" w:type="dxa"/>
            <w:vAlign w:val="bottom"/>
          </w:tcPr>
          <w:p>
            <w:pPr>
              <w:spacing w:after="0"/>
              <w:rPr>
                <w:sz w:val="1"/>
                <w:szCs w:val="1"/>
                <w:color w:val="auto"/>
              </w:rPr>
            </w:pPr>
          </w:p>
        </w:tc>
      </w:tr>
      <w:tr>
        <w:trPr>
          <w:trHeight w:val="210"/>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(4,142)</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(4,142)</w:t>
            </w:r>
          </w:p>
        </w:tc>
        <w:tc>
          <w:tcPr>
            <w:tcW w:w="0" w:type="dxa"/>
            <w:vAlign w:val="bottom"/>
          </w:tcPr>
          <w:p>
            <w:pPr>
              <w:spacing w:after="0"/>
              <w:rPr>
                <w:sz w:val="1"/>
                <w:szCs w:val="1"/>
                <w:color w:val="auto"/>
              </w:rPr>
            </w:pPr>
          </w:p>
        </w:tc>
      </w:tr>
      <w:tr>
        <w:trPr>
          <w:trHeight w:val="139"/>
        </w:trPr>
        <w:tc>
          <w:tcPr>
            <w:tcW w:w="2780" w:type="dxa"/>
            <w:vAlign w:val="bottom"/>
          </w:tcPr>
          <w:p>
            <w:pPr>
              <w:ind w:left="140"/>
              <w:spacing w:after="0" w:line="139" w:lineRule="exact"/>
              <w:rPr>
                <w:sz w:val="20"/>
                <w:szCs w:val="20"/>
                <w:color w:val="auto"/>
              </w:rPr>
            </w:pPr>
            <w:r>
              <w:rPr>
                <w:rFonts w:ascii="Times New Roman" w:cs="Times New Roman" w:eastAsia="Times New Roman" w:hAnsi="Times New Roman"/>
                <w:sz w:val="14"/>
                <w:szCs w:val="14"/>
                <w:color w:val="auto"/>
              </w:rPr>
              <w:t>Common stock issued for employee stock</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172,244</w:t>
            </w:r>
          </w:p>
        </w:tc>
        <w:tc>
          <w:tcPr>
            <w:tcW w:w="18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40" w:type="dxa"/>
            <w:vAlign w:val="bottom"/>
          </w:tcPr>
          <w:p>
            <w:pPr>
              <w:spacing w:after="0"/>
              <w:rPr>
                <w:sz w:val="12"/>
                <w:szCs w:val="12"/>
                <w:color w:val="auto"/>
              </w:rPr>
            </w:pPr>
          </w:p>
        </w:tc>
        <w:tc>
          <w:tcPr>
            <w:tcW w:w="8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38,138</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22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38,052</w:t>
            </w:r>
          </w:p>
        </w:tc>
        <w:tc>
          <w:tcPr>
            <w:tcW w:w="0" w:type="dxa"/>
            <w:vAlign w:val="bottom"/>
          </w:tcPr>
          <w:p>
            <w:pPr>
              <w:spacing w:after="0"/>
              <w:rPr>
                <w:sz w:val="1"/>
                <w:szCs w:val="1"/>
                <w:color w:val="auto"/>
              </w:rPr>
            </w:pPr>
          </w:p>
        </w:tc>
      </w:tr>
      <w:tr>
        <w:trPr>
          <w:trHeight w:val="193"/>
        </w:trPr>
        <w:tc>
          <w:tcPr>
            <w:tcW w:w="2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plans</w:t>
            </w:r>
          </w:p>
        </w:tc>
        <w:tc>
          <w:tcPr>
            <w:tcW w:w="9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Vesting of restricted stock</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6,152</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1,802</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(873)</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(873)</w:t>
            </w:r>
          </w:p>
        </w:tc>
        <w:tc>
          <w:tcPr>
            <w:tcW w:w="0" w:type="dxa"/>
            <w:vAlign w:val="bottom"/>
          </w:tcPr>
          <w:p>
            <w:pPr>
              <w:spacing w:after="0"/>
              <w:rPr>
                <w:sz w:val="1"/>
                <w:szCs w:val="1"/>
                <w:color w:val="auto"/>
              </w:rPr>
            </w:pPr>
          </w:p>
        </w:tc>
      </w:tr>
      <w:tr>
        <w:trPr>
          <w:trHeight w:val="195"/>
        </w:trPr>
        <w:tc>
          <w:tcPr>
            <w:tcW w:w="2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Repurchases of common stock</w:t>
            </w: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113,050</w:t>
            </w: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(52,255)</w:t>
            </w: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(52,255)</w:t>
            </w:r>
          </w:p>
        </w:tc>
        <w:tc>
          <w:tcPr>
            <w:tcW w:w="0" w:type="dxa"/>
            <w:vAlign w:val="bottom"/>
          </w:tcPr>
          <w:p>
            <w:pPr>
              <w:spacing w:after="0"/>
              <w:rPr>
                <w:sz w:val="1"/>
                <w:szCs w:val="1"/>
                <w:color w:val="auto"/>
              </w:rPr>
            </w:pPr>
          </w:p>
        </w:tc>
      </w:tr>
      <w:tr>
        <w:trPr>
          <w:trHeight w:val="210"/>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16,652</w:t>
            </w: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16,652</w:t>
            </w:r>
          </w:p>
        </w:tc>
        <w:tc>
          <w:tcPr>
            <w:tcW w:w="0" w:type="dxa"/>
            <w:vAlign w:val="bottom"/>
          </w:tcPr>
          <w:p>
            <w:pPr>
              <w:spacing w:after="0"/>
              <w:rPr>
                <w:sz w:val="1"/>
                <w:szCs w:val="1"/>
                <w:color w:val="auto"/>
              </w:rPr>
            </w:pPr>
          </w:p>
        </w:tc>
      </w:tr>
      <w:tr>
        <w:trPr>
          <w:trHeight w:val="196"/>
        </w:trPr>
        <w:tc>
          <w:tcPr>
            <w:tcW w:w="27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Dividends declared</w:t>
            </w:r>
          </w:p>
        </w:tc>
        <w:tc>
          <w:tcPr>
            <w:tcW w:w="9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(37,360)</w:t>
            </w: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(37,360)</w:t>
            </w:r>
          </w:p>
        </w:tc>
        <w:tc>
          <w:tcPr>
            <w:tcW w:w="0" w:type="dxa"/>
            <w:vAlign w:val="bottom"/>
          </w:tcPr>
          <w:p>
            <w:pPr>
              <w:spacing w:after="0"/>
              <w:rPr>
                <w:sz w:val="1"/>
                <w:szCs w:val="1"/>
                <w:color w:val="auto"/>
              </w:rPr>
            </w:pPr>
          </w:p>
        </w:tc>
      </w:tr>
      <w:tr>
        <w:trPr>
          <w:trHeight w:val="228"/>
        </w:trPr>
        <w:tc>
          <w:tcPr>
            <w:tcW w:w="2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February 29, 2024</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42,475,726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1,421,133</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4,352,639</w:t>
            </w:r>
          </w:p>
        </w:tc>
        <w:tc>
          <w:tcPr>
            <w:tcW w:w="2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(1,248,707)</w:t>
            </w: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1,719,932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(91,029)</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1,801,754</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For the Six Months Ended February 29, 2024</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80" w:type="dxa"/>
            <w:vAlign w:val="bottom"/>
          </w:tcPr>
          <w:p>
            <w:pPr>
              <w:spacing w:after="0"/>
              <w:rPr>
                <w:sz w:val="13"/>
                <w:szCs w:val="13"/>
                <w:color w:val="auto"/>
              </w:rPr>
            </w:pPr>
          </w:p>
        </w:tc>
        <w:tc>
          <w:tcPr>
            <w:tcW w:w="1940" w:type="dxa"/>
            <w:vAlign w:val="bottom"/>
            <w:gridSpan w:val="3"/>
            <w:vMerge w:val="restart"/>
          </w:tcPr>
          <w:p>
            <w:pPr>
              <w:jc w:val="right"/>
              <w:ind w:right="448"/>
              <w:spacing w:after="0"/>
              <w:rPr>
                <w:sz w:val="20"/>
                <w:szCs w:val="20"/>
                <w:color w:val="auto"/>
              </w:rPr>
            </w:pPr>
            <w:r>
              <w:rPr>
                <w:rFonts w:ascii="Times New Roman" w:cs="Times New Roman" w:eastAsia="Times New Roman" w:hAnsi="Times New Roman"/>
                <w:sz w:val="14"/>
                <w:szCs w:val="14"/>
                <w:color w:val="auto"/>
              </w:rPr>
              <w:t>Common Stock</w:t>
            </w:r>
          </w:p>
        </w:tc>
        <w:tc>
          <w:tcPr>
            <w:tcW w:w="140" w:type="dxa"/>
            <w:vAlign w:val="bottom"/>
          </w:tcPr>
          <w:p>
            <w:pPr>
              <w:spacing w:after="0"/>
              <w:rPr>
                <w:sz w:val="13"/>
                <w:szCs w:val="13"/>
                <w:color w:val="auto"/>
              </w:rPr>
            </w:pPr>
          </w:p>
        </w:tc>
        <w:tc>
          <w:tcPr>
            <w:tcW w:w="84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Additional</w:t>
            </w:r>
          </w:p>
        </w:tc>
        <w:tc>
          <w:tcPr>
            <w:tcW w:w="20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color w:val="auto"/>
              </w:rPr>
              <w:t>Treasury Stock</w:t>
            </w: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Accumulated</w:t>
            </w:r>
          </w:p>
        </w:tc>
        <w:tc>
          <w:tcPr>
            <w:tcW w:w="140" w:type="dxa"/>
            <w:vAlign w:val="bottom"/>
          </w:tcPr>
          <w:p>
            <w:pPr>
              <w:spacing w:after="0"/>
              <w:rPr>
                <w:sz w:val="13"/>
                <w:szCs w:val="13"/>
                <w:color w:val="auto"/>
              </w:rPr>
            </w:pPr>
          </w:p>
        </w:tc>
        <w:tc>
          <w:tcPr>
            <w:tcW w:w="98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44"/>
        </w:trPr>
        <w:tc>
          <w:tcPr>
            <w:tcW w:w="2780" w:type="dxa"/>
            <w:vAlign w:val="bottom"/>
          </w:tcPr>
          <w:p>
            <w:pPr>
              <w:spacing w:after="0"/>
              <w:rPr>
                <w:sz w:val="12"/>
                <w:szCs w:val="12"/>
                <w:color w:val="auto"/>
              </w:rPr>
            </w:pPr>
          </w:p>
        </w:tc>
        <w:tc>
          <w:tcPr>
            <w:tcW w:w="19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208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center"/>
              <w:ind w:right="68"/>
              <w:spacing w:after="0" w:line="145" w:lineRule="exact"/>
              <w:rPr>
                <w:sz w:val="20"/>
                <w:szCs w:val="20"/>
                <w:color w:val="auto"/>
              </w:rPr>
            </w:pPr>
            <w:r>
              <w:rPr>
                <w:rFonts w:ascii="Times New Roman" w:cs="Times New Roman" w:eastAsia="Times New Roman" w:hAnsi="Times New Roman"/>
                <w:sz w:val="14"/>
                <w:szCs w:val="14"/>
                <w:color w:val="auto"/>
              </w:rPr>
              <w:t>Other</w:t>
            </w:r>
          </w:p>
        </w:tc>
        <w:tc>
          <w:tcPr>
            <w:tcW w:w="14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share data)</w:t>
            </w:r>
          </w:p>
        </w:tc>
        <w:tc>
          <w:tcPr>
            <w:tcW w:w="9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vMerge w:val="restart"/>
          </w:tcPr>
          <w:p>
            <w:pPr>
              <w:jc w:val="right"/>
              <w:ind w:right="208"/>
              <w:spacing w:after="0" w:line="149" w:lineRule="exact"/>
              <w:rPr>
                <w:sz w:val="20"/>
                <w:szCs w:val="20"/>
                <w:color w:val="auto"/>
              </w:rPr>
            </w:pPr>
            <w:r>
              <w:rPr>
                <w:rFonts w:ascii="Times New Roman" w:cs="Times New Roman" w:eastAsia="Times New Roman" w:hAnsi="Times New Roman"/>
                <w:sz w:val="14"/>
                <w:szCs w:val="14"/>
                <w:color w:val="auto"/>
              </w:rPr>
              <w:t>Paid-in</w:t>
            </w:r>
          </w:p>
        </w:tc>
        <w:tc>
          <w:tcPr>
            <w:tcW w:w="9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920" w:type="dxa"/>
            <w:vAlign w:val="bottom"/>
            <w:vMerge w:val="restart"/>
          </w:tcPr>
          <w:p>
            <w:pPr>
              <w:jc w:val="right"/>
              <w:ind w:right="228"/>
              <w:spacing w:after="0" w:line="149" w:lineRule="exact"/>
              <w:rPr>
                <w:sz w:val="20"/>
                <w:szCs w:val="20"/>
                <w:color w:val="auto"/>
              </w:rPr>
            </w:pPr>
            <w:r>
              <w:rPr>
                <w:rFonts w:ascii="Times New Roman" w:cs="Times New Roman" w:eastAsia="Times New Roman" w:hAnsi="Times New Roman"/>
                <w:sz w:val="14"/>
                <w:szCs w:val="14"/>
                <w:color w:val="auto"/>
              </w:rPr>
              <w:t>Retained</w:t>
            </w:r>
          </w:p>
        </w:tc>
        <w:tc>
          <w:tcPr>
            <w:tcW w:w="140" w:type="dxa"/>
            <w:vAlign w:val="bottom"/>
          </w:tcPr>
          <w:p>
            <w:pPr>
              <w:spacing w:after="0"/>
              <w:rPr>
                <w:sz w:val="4"/>
                <w:szCs w:val="4"/>
                <w:color w:val="auto"/>
              </w:rPr>
            </w:pPr>
          </w:p>
        </w:tc>
        <w:tc>
          <w:tcPr>
            <w:tcW w:w="1100" w:type="dxa"/>
            <w:vAlign w:val="bottom"/>
            <w:vMerge w:val="restart"/>
          </w:tcPr>
          <w:p>
            <w:pPr>
              <w:jc w:val="center"/>
              <w:ind w:right="48"/>
              <w:spacing w:after="0" w:line="149" w:lineRule="exact"/>
              <w:rPr>
                <w:sz w:val="20"/>
                <w:szCs w:val="20"/>
                <w:color w:val="auto"/>
              </w:rPr>
            </w:pPr>
            <w:r>
              <w:rPr>
                <w:rFonts w:ascii="Times New Roman" w:cs="Times New Roman" w:eastAsia="Times New Roman" w:hAnsi="Times New Roman"/>
                <w:sz w:val="14"/>
                <w:szCs w:val="14"/>
                <w:color w:val="auto"/>
              </w:rPr>
              <w:t>Comprehensive</w:t>
            </w:r>
          </w:p>
        </w:tc>
        <w:tc>
          <w:tcPr>
            <w:tcW w:w="140" w:type="dxa"/>
            <w:vAlign w:val="bottom"/>
          </w:tcPr>
          <w:p>
            <w:pPr>
              <w:spacing w:after="0"/>
              <w:rPr>
                <w:sz w:val="4"/>
                <w:szCs w:val="4"/>
                <w:color w:val="auto"/>
              </w:rPr>
            </w:pPr>
          </w:p>
        </w:tc>
        <w:tc>
          <w:tcPr>
            <w:tcW w:w="980" w:type="dxa"/>
            <w:vAlign w:val="bottom"/>
            <w:vMerge w:val="restart"/>
          </w:tcPr>
          <w:p>
            <w:pPr>
              <w:jc w:val="center"/>
              <w:ind w:right="68"/>
              <w:spacing w:after="0" w:line="149" w:lineRule="exact"/>
              <w:rPr>
                <w:sz w:val="20"/>
                <w:szCs w:val="20"/>
                <w:color w:val="auto"/>
              </w:rPr>
            </w:pPr>
            <w:r>
              <w:rPr>
                <w:rFonts w:ascii="Times New Roman" w:cs="Times New Roman" w:eastAsia="Times New Roman" w:hAnsi="Times New Roman"/>
                <w:sz w:val="14"/>
                <w:szCs w:val="14"/>
                <w:color w:val="auto"/>
              </w:rPr>
              <w:t>Stockholders’</w:t>
            </w:r>
          </w:p>
        </w:tc>
        <w:tc>
          <w:tcPr>
            <w:tcW w:w="0" w:type="dxa"/>
            <w:vAlign w:val="bottom"/>
          </w:tcPr>
          <w:p>
            <w:pPr>
              <w:spacing w:after="0"/>
              <w:rPr>
                <w:sz w:val="1"/>
                <w:szCs w:val="1"/>
                <w:color w:val="auto"/>
              </w:rPr>
            </w:pPr>
          </w:p>
        </w:tc>
      </w:tr>
      <w:tr>
        <w:trPr>
          <w:trHeight w:val="75"/>
        </w:trPr>
        <w:tc>
          <w:tcPr>
            <w:tcW w:w="2780" w:type="dxa"/>
            <w:vAlign w:val="bottom"/>
            <w:vMerge w:val="continue"/>
          </w:tcPr>
          <w:p>
            <w:pPr>
              <w:spacing w:after="0"/>
              <w:rPr>
                <w:sz w:val="6"/>
                <w:szCs w:val="6"/>
                <w:color w:val="auto"/>
              </w:rPr>
            </w:pPr>
          </w:p>
        </w:tc>
        <w:tc>
          <w:tcPr>
            <w:tcW w:w="94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color w:val="auto"/>
              </w:rPr>
              <w:t>Shares</w:t>
            </w:r>
          </w:p>
        </w:tc>
        <w:tc>
          <w:tcPr>
            <w:tcW w:w="180" w:type="dxa"/>
            <w:vAlign w:val="bottom"/>
          </w:tcPr>
          <w:p>
            <w:pPr>
              <w:spacing w:after="0"/>
              <w:rPr>
                <w:sz w:val="6"/>
                <w:szCs w:val="6"/>
                <w:color w:val="auto"/>
              </w:rPr>
            </w:pPr>
          </w:p>
        </w:tc>
        <w:tc>
          <w:tcPr>
            <w:tcW w:w="82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Par Value</w:t>
            </w:r>
          </w:p>
        </w:tc>
        <w:tc>
          <w:tcPr>
            <w:tcW w:w="14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94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color w:val="auto"/>
              </w:rPr>
              <w:t>Shares</w:t>
            </w:r>
          </w:p>
        </w:tc>
        <w:tc>
          <w:tcPr>
            <w:tcW w:w="220" w:type="dxa"/>
            <w:vAlign w:val="bottom"/>
          </w:tcPr>
          <w:p>
            <w:pPr>
              <w:spacing w:after="0"/>
              <w:rPr>
                <w:sz w:val="6"/>
                <w:szCs w:val="6"/>
                <w:color w:val="auto"/>
              </w:rPr>
            </w:pPr>
          </w:p>
        </w:tc>
        <w:tc>
          <w:tcPr>
            <w:tcW w:w="92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color w:val="auto"/>
              </w:rPr>
              <w:t>Amount</w:t>
            </w:r>
          </w:p>
        </w:tc>
        <w:tc>
          <w:tcPr>
            <w:tcW w:w="18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2780" w:type="dxa"/>
            <w:vAlign w:val="bottom"/>
            <w:tcBorders>
              <w:bottom w:val="single" w:sz="8" w:color="auto"/>
            </w:tcBorders>
            <w:vMerge w:val="continue"/>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Capital</w:t>
            </w:r>
          </w:p>
        </w:tc>
        <w:tc>
          <w:tcPr>
            <w:tcW w:w="94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rPr>
              <w:t>Earnings</w:t>
            </w: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color w:val="auto"/>
              </w:rPr>
              <w:t>Loss</w:t>
            </w: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color w:val="auto"/>
              </w:rPr>
              <w:t>Equity</w:t>
            </w:r>
          </w:p>
        </w:tc>
        <w:tc>
          <w:tcPr>
            <w:tcW w:w="0" w:type="dxa"/>
            <w:vAlign w:val="bottom"/>
          </w:tcPr>
          <w:p>
            <w:pPr>
              <w:spacing w:after="0"/>
              <w:rPr>
                <w:sz w:val="1"/>
                <w:szCs w:val="1"/>
                <w:color w:val="auto"/>
              </w:rPr>
            </w:pPr>
          </w:p>
        </w:tc>
      </w:tr>
      <w:tr>
        <w:trPr>
          <w:trHeight w:val="201"/>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August 31, 2023</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42,096,628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1,323,631</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4,071,256</w:t>
            </w:r>
          </w:p>
        </w:tc>
        <w:tc>
          <w:tcPr>
            <w:tcW w:w="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(1,122,077)</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1,505,096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(87,141)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1,619,930</w:t>
            </w:r>
          </w:p>
        </w:tc>
        <w:tc>
          <w:tcPr>
            <w:tcW w:w="0" w:type="dxa"/>
            <w:vAlign w:val="bottom"/>
          </w:tcPr>
          <w:p>
            <w:pPr>
              <w:spacing w:after="0"/>
              <w:rPr>
                <w:sz w:val="1"/>
                <w:szCs w:val="1"/>
                <w:color w:val="auto"/>
              </w:rPr>
            </w:pPr>
          </w:p>
        </w:tc>
      </w:tr>
      <w:tr>
        <w:trPr>
          <w:trHeight w:val="195"/>
        </w:trPr>
        <w:tc>
          <w:tcPr>
            <w:tcW w:w="2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289,495</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289,495</w:t>
            </w:r>
          </w:p>
        </w:tc>
        <w:tc>
          <w:tcPr>
            <w:tcW w:w="0" w:type="dxa"/>
            <w:vAlign w:val="bottom"/>
          </w:tcPr>
          <w:p>
            <w:pPr>
              <w:spacing w:after="0"/>
              <w:rPr>
                <w:sz w:val="1"/>
                <w:szCs w:val="1"/>
                <w:color w:val="auto"/>
              </w:rPr>
            </w:pPr>
          </w:p>
        </w:tc>
      </w:tr>
      <w:tr>
        <w:trPr>
          <w:trHeight w:val="210"/>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(3,888)</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(3,888)</w:t>
            </w:r>
          </w:p>
        </w:tc>
        <w:tc>
          <w:tcPr>
            <w:tcW w:w="0" w:type="dxa"/>
            <w:vAlign w:val="bottom"/>
          </w:tcPr>
          <w:p>
            <w:pPr>
              <w:spacing w:after="0"/>
              <w:rPr>
                <w:sz w:val="1"/>
                <w:szCs w:val="1"/>
                <w:color w:val="auto"/>
              </w:rPr>
            </w:pPr>
          </w:p>
        </w:tc>
      </w:tr>
      <w:tr>
        <w:trPr>
          <w:trHeight w:val="139"/>
        </w:trPr>
        <w:tc>
          <w:tcPr>
            <w:tcW w:w="2780" w:type="dxa"/>
            <w:vAlign w:val="bottom"/>
          </w:tcPr>
          <w:p>
            <w:pPr>
              <w:ind w:left="140"/>
              <w:spacing w:after="0" w:line="139" w:lineRule="exact"/>
              <w:rPr>
                <w:sz w:val="20"/>
                <w:szCs w:val="20"/>
                <w:color w:val="auto"/>
              </w:rPr>
            </w:pPr>
            <w:r>
              <w:rPr>
                <w:rFonts w:ascii="Times New Roman" w:cs="Times New Roman" w:eastAsia="Times New Roman" w:hAnsi="Times New Roman"/>
                <w:sz w:val="14"/>
                <w:szCs w:val="14"/>
                <w:color w:val="auto"/>
              </w:rPr>
              <w:t>Common stock issued for employee stock</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297,348</w:t>
            </w:r>
          </w:p>
        </w:tc>
        <w:tc>
          <w:tcPr>
            <w:tcW w:w="18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40" w:type="dxa"/>
            <w:vAlign w:val="bottom"/>
          </w:tcPr>
          <w:p>
            <w:pPr>
              <w:spacing w:after="0"/>
              <w:rPr>
                <w:sz w:val="12"/>
                <w:szCs w:val="12"/>
                <w:color w:val="auto"/>
              </w:rPr>
            </w:pPr>
          </w:p>
        </w:tc>
        <w:tc>
          <w:tcPr>
            <w:tcW w:w="8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66,541</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343</w:t>
            </w:r>
          </w:p>
        </w:tc>
        <w:tc>
          <w:tcPr>
            <w:tcW w:w="22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66,391</w:t>
            </w:r>
          </w:p>
        </w:tc>
        <w:tc>
          <w:tcPr>
            <w:tcW w:w="0" w:type="dxa"/>
            <w:vAlign w:val="bottom"/>
          </w:tcPr>
          <w:p>
            <w:pPr>
              <w:spacing w:after="0"/>
              <w:rPr>
                <w:sz w:val="1"/>
                <w:szCs w:val="1"/>
                <w:color w:val="auto"/>
              </w:rPr>
            </w:pPr>
          </w:p>
        </w:tc>
      </w:tr>
      <w:tr>
        <w:trPr>
          <w:trHeight w:val="193"/>
        </w:trPr>
        <w:tc>
          <w:tcPr>
            <w:tcW w:w="2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plans</w:t>
            </w:r>
          </w:p>
        </w:tc>
        <w:tc>
          <w:tcPr>
            <w:tcW w:w="9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Vesting of restricted stock</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81,750</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32,040</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(14,312)</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(14,312)</w:t>
            </w:r>
          </w:p>
        </w:tc>
        <w:tc>
          <w:tcPr>
            <w:tcW w:w="0" w:type="dxa"/>
            <w:vAlign w:val="bottom"/>
          </w:tcPr>
          <w:p>
            <w:pPr>
              <w:spacing w:after="0"/>
              <w:rPr>
                <w:sz w:val="1"/>
                <w:szCs w:val="1"/>
                <w:color w:val="auto"/>
              </w:rPr>
            </w:pPr>
          </w:p>
        </w:tc>
      </w:tr>
      <w:tr>
        <w:trPr>
          <w:trHeight w:val="195"/>
        </w:trPr>
        <w:tc>
          <w:tcPr>
            <w:tcW w:w="2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Repurchases of common stock</w:t>
            </w: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249,000</w:t>
            </w: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(112,165)</w:t>
            </w: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(112,165)</w:t>
            </w:r>
          </w:p>
        </w:tc>
        <w:tc>
          <w:tcPr>
            <w:tcW w:w="0" w:type="dxa"/>
            <w:vAlign w:val="bottom"/>
          </w:tcPr>
          <w:p>
            <w:pPr>
              <w:spacing w:after="0"/>
              <w:rPr>
                <w:sz w:val="1"/>
                <w:szCs w:val="1"/>
                <w:color w:val="auto"/>
              </w:rPr>
            </w:pPr>
          </w:p>
        </w:tc>
      </w:tr>
      <w:tr>
        <w:trPr>
          <w:trHeight w:val="210"/>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30,962</w:t>
            </w: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30,962</w:t>
            </w:r>
          </w:p>
        </w:tc>
        <w:tc>
          <w:tcPr>
            <w:tcW w:w="0" w:type="dxa"/>
            <w:vAlign w:val="bottom"/>
          </w:tcPr>
          <w:p>
            <w:pPr>
              <w:spacing w:after="0"/>
              <w:rPr>
                <w:sz w:val="1"/>
                <w:szCs w:val="1"/>
                <w:color w:val="auto"/>
              </w:rPr>
            </w:pPr>
          </w:p>
        </w:tc>
      </w:tr>
      <w:tr>
        <w:trPr>
          <w:trHeight w:val="196"/>
        </w:trPr>
        <w:tc>
          <w:tcPr>
            <w:tcW w:w="27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Dividends declared</w:t>
            </w:r>
          </w:p>
        </w:tc>
        <w:tc>
          <w:tcPr>
            <w:tcW w:w="9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(74,659)</w:t>
            </w: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(74,659)</w:t>
            </w:r>
          </w:p>
        </w:tc>
        <w:tc>
          <w:tcPr>
            <w:tcW w:w="0" w:type="dxa"/>
            <w:vAlign w:val="bottom"/>
          </w:tcPr>
          <w:p>
            <w:pPr>
              <w:spacing w:after="0"/>
              <w:rPr>
                <w:sz w:val="1"/>
                <w:szCs w:val="1"/>
                <w:color w:val="auto"/>
              </w:rPr>
            </w:pPr>
          </w:p>
        </w:tc>
      </w:tr>
      <w:tr>
        <w:trPr>
          <w:trHeight w:val="228"/>
        </w:trPr>
        <w:tc>
          <w:tcPr>
            <w:tcW w:w="2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February 29, 2024</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42,475,726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1,421,133</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4,352,639</w:t>
            </w:r>
          </w:p>
        </w:tc>
        <w:tc>
          <w:tcPr>
            <w:tcW w:w="2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(1,248,707)</w:t>
            </w: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1,719,932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(91,029)</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1,801,754</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NOTES TO THE CONSOLIDATED FINANCIAL STATEMENTS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FactSet Research Systems Inc.</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9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Page</w:t>
            </w:r>
          </w:p>
        </w:tc>
      </w:tr>
      <w:tr>
        <w:trPr>
          <w:trHeight w:val="189"/>
        </w:trPr>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Note 1</w:t>
            </w:r>
          </w:p>
        </w:tc>
        <w:tc>
          <w:tcPr>
            <w:tcW w:w="1340" w:type="dxa"/>
            <w:vAlign w:val="bottom"/>
            <w:gridSpan w:val="2"/>
            <w:shd w:val="clear" w:color="auto" w:fill="CCEEFF"/>
          </w:tcPr>
          <w:p>
            <w:pPr>
              <w:spacing w:after="0"/>
              <w:rPr>
                <w:sz w:val="16"/>
                <w:szCs w:val="16"/>
                <w:color w:val="auto"/>
              </w:rPr>
            </w:pPr>
          </w:p>
        </w:tc>
        <w:tc>
          <w:tcPr>
            <w:tcW w:w="4480" w:type="dxa"/>
            <w:vAlign w:val="bottom"/>
            <w:gridSpan w:val="17"/>
            <w:shd w:val="clear" w:color="auto" w:fill="CCEEFF"/>
          </w:tcPr>
          <w:p>
            <w:pPr>
              <w:ind w:left="1260"/>
              <w:spacing w:after="0" w:line="189" w:lineRule="exact"/>
              <w:rPr>
                <w:sz w:val="20"/>
                <w:szCs w:val="20"/>
                <w:color w:val="auto"/>
              </w:rPr>
            </w:pPr>
            <w:r>
              <w:rPr>
                <w:rFonts w:ascii="Times New Roman" w:cs="Times New Roman" w:eastAsia="Times New Roman" w:hAnsi="Times New Roman"/>
                <w:sz w:val="18"/>
                <w:szCs w:val="18"/>
                <w:color w:val="0000FF"/>
              </w:rPr>
              <w:t>Description of Business</w:t>
            </w:r>
          </w:p>
        </w:tc>
        <w:tc>
          <w:tcPr>
            <w:tcW w:w="490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11</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7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0000FF"/>
                <w:w w:val="98"/>
              </w:rPr>
              <w:t>Note 2</w:t>
            </w:r>
          </w:p>
        </w:tc>
        <w:tc>
          <w:tcPr>
            <w:tcW w:w="1340" w:type="dxa"/>
            <w:vAlign w:val="bottom"/>
            <w:gridSpan w:val="2"/>
          </w:tcPr>
          <w:p>
            <w:pPr>
              <w:spacing w:after="0"/>
              <w:rPr>
                <w:sz w:val="16"/>
                <w:szCs w:val="16"/>
                <w:color w:val="auto"/>
              </w:rPr>
            </w:pPr>
          </w:p>
        </w:tc>
        <w:tc>
          <w:tcPr>
            <w:tcW w:w="4480" w:type="dxa"/>
            <w:vAlign w:val="bottom"/>
            <w:gridSpan w:val="17"/>
          </w:tcPr>
          <w:p>
            <w:pPr>
              <w:ind w:left="1260"/>
              <w:spacing w:after="0" w:line="189" w:lineRule="exact"/>
              <w:rPr>
                <w:sz w:val="20"/>
                <w:szCs w:val="20"/>
                <w:color w:val="auto"/>
              </w:rPr>
            </w:pPr>
            <w:r>
              <w:rPr>
                <w:rFonts w:ascii="Times New Roman" w:cs="Times New Roman" w:eastAsia="Times New Roman" w:hAnsi="Times New Roman"/>
                <w:sz w:val="18"/>
                <w:szCs w:val="18"/>
                <w:color w:val="0000FF"/>
                <w:w w:val="99"/>
              </w:rPr>
              <w:t>Summary of Significant Accounting Policies</w:t>
            </w:r>
          </w:p>
        </w:tc>
        <w:tc>
          <w:tcPr>
            <w:tcW w:w="490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11</w:t>
            </w: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Note 3</w:t>
            </w:r>
          </w:p>
        </w:tc>
        <w:tc>
          <w:tcPr>
            <w:tcW w:w="1340" w:type="dxa"/>
            <w:vAlign w:val="bottom"/>
            <w:gridSpan w:val="2"/>
            <w:shd w:val="clear" w:color="auto" w:fill="CCEEFF"/>
          </w:tcPr>
          <w:p>
            <w:pPr>
              <w:spacing w:after="0"/>
              <w:rPr>
                <w:sz w:val="16"/>
                <w:szCs w:val="16"/>
                <w:color w:val="auto"/>
              </w:rPr>
            </w:pPr>
          </w:p>
        </w:tc>
        <w:tc>
          <w:tcPr>
            <w:tcW w:w="4480" w:type="dxa"/>
            <w:vAlign w:val="bottom"/>
            <w:gridSpan w:val="17"/>
            <w:shd w:val="clear" w:color="auto" w:fill="CCEEFF"/>
          </w:tcPr>
          <w:p>
            <w:pPr>
              <w:ind w:left="1260"/>
              <w:spacing w:after="0" w:line="189" w:lineRule="exact"/>
              <w:rPr>
                <w:sz w:val="20"/>
                <w:szCs w:val="20"/>
                <w:color w:val="auto"/>
              </w:rPr>
            </w:pPr>
            <w:r>
              <w:rPr>
                <w:rFonts w:ascii="Times New Roman" w:cs="Times New Roman" w:eastAsia="Times New Roman" w:hAnsi="Times New Roman"/>
                <w:sz w:val="18"/>
                <w:szCs w:val="18"/>
                <w:color w:val="0000FF"/>
              </w:rPr>
              <w:t>Revenue Recognition</w:t>
            </w:r>
          </w:p>
        </w:tc>
        <w:tc>
          <w:tcPr>
            <w:tcW w:w="48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14</w:t>
            </w:r>
          </w:p>
        </w:tc>
        <w:tc>
          <w:tcPr>
            <w:tcW w:w="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7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0000FF"/>
                <w:w w:val="98"/>
              </w:rPr>
              <w:t>Note 4</w:t>
            </w:r>
          </w:p>
        </w:tc>
        <w:tc>
          <w:tcPr>
            <w:tcW w:w="1340" w:type="dxa"/>
            <w:vAlign w:val="bottom"/>
            <w:gridSpan w:val="2"/>
          </w:tcPr>
          <w:p>
            <w:pPr>
              <w:spacing w:after="0"/>
              <w:rPr>
                <w:sz w:val="16"/>
                <w:szCs w:val="16"/>
                <w:color w:val="auto"/>
              </w:rPr>
            </w:pPr>
          </w:p>
        </w:tc>
        <w:tc>
          <w:tcPr>
            <w:tcW w:w="4480" w:type="dxa"/>
            <w:vAlign w:val="bottom"/>
            <w:gridSpan w:val="17"/>
          </w:tcPr>
          <w:p>
            <w:pPr>
              <w:ind w:left="1260"/>
              <w:spacing w:after="0" w:line="189" w:lineRule="exact"/>
              <w:rPr>
                <w:sz w:val="20"/>
                <w:szCs w:val="20"/>
                <w:color w:val="auto"/>
              </w:rPr>
            </w:pPr>
            <w:r>
              <w:rPr>
                <w:rFonts w:ascii="Times New Roman" w:cs="Times New Roman" w:eastAsia="Times New Roman" w:hAnsi="Times New Roman"/>
                <w:sz w:val="18"/>
                <w:szCs w:val="18"/>
                <w:color w:val="0000FF"/>
              </w:rPr>
              <w:t>Fair Value Measures</w:t>
            </w:r>
          </w:p>
        </w:tc>
        <w:tc>
          <w:tcPr>
            <w:tcW w:w="48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rPr>
              <w:t>15</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Note 5</w:t>
            </w:r>
          </w:p>
        </w:tc>
        <w:tc>
          <w:tcPr>
            <w:tcW w:w="1340" w:type="dxa"/>
            <w:vAlign w:val="bottom"/>
            <w:gridSpan w:val="2"/>
            <w:shd w:val="clear" w:color="auto" w:fill="CCEEFF"/>
          </w:tcPr>
          <w:p>
            <w:pPr>
              <w:spacing w:after="0"/>
              <w:rPr>
                <w:sz w:val="16"/>
                <w:szCs w:val="16"/>
                <w:color w:val="auto"/>
              </w:rPr>
            </w:pPr>
          </w:p>
        </w:tc>
        <w:tc>
          <w:tcPr>
            <w:tcW w:w="4480" w:type="dxa"/>
            <w:vAlign w:val="bottom"/>
            <w:gridSpan w:val="17"/>
            <w:shd w:val="clear" w:color="auto" w:fill="CCEEFF"/>
          </w:tcPr>
          <w:p>
            <w:pPr>
              <w:ind w:left="1260"/>
              <w:spacing w:after="0" w:line="189" w:lineRule="exact"/>
              <w:rPr>
                <w:sz w:val="20"/>
                <w:szCs w:val="20"/>
                <w:color w:val="auto"/>
              </w:rPr>
            </w:pPr>
            <w:r>
              <w:rPr>
                <w:rFonts w:ascii="Times New Roman" w:cs="Times New Roman" w:eastAsia="Times New Roman" w:hAnsi="Times New Roman"/>
                <w:sz w:val="18"/>
                <w:szCs w:val="18"/>
                <w:color w:val="0000FF"/>
              </w:rPr>
              <w:t>Derivative Instruments</w:t>
            </w:r>
          </w:p>
        </w:tc>
        <w:tc>
          <w:tcPr>
            <w:tcW w:w="48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17</w:t>
            </w:r>
          </w:p>
        </w:tc>
        <w:tc>
          <w:tcPr>
            <w:tcW w:w="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7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0000FF"/>
                <w:w w:val="98"/>
              </w:rPr>
              <w:t>Note 6</w:t>
            </w:r>
          </w:p>
        </w:tc>
        <w:tc>
          <w:tcPr>
            <w:tcW w:w="1340" w:type="dxa"/>
            <w:vAlign w:val="bottom"/>
            <w:gridSpan w:val="2"/>
          </w:tcPr>
          <w:p>
            <w:pPr>
              <w:spacing w:after="0"/>
              <w:rPr>
                <w:sz w:val="16"/>
                <w:szCs w:val="16"/>
                <w:color w:val="auto"/>
              </w:rPr>
            </w:pPr>
          </w:p>
        </w:tc>
        <w:tc>
          <w:tcPr>
            <w:tcW w:w="4480" w:type="dxa"/>
            <w:vAlign w:val="bottom"/>
            <w:gridSpan w:val="17"/>
          </w:tcPr>
          <w:p>
            <w:pPr>
              <w:ind w:left="1260"/>
              <w:spacing w:after="0" w:line="189" w:lineRule="exact"/>
              <w:rPr>
                <w:sz w:val="20"/>
                <w:szCs w:val="20"/>
                <w:color w:val="auto"/>
              </w:rPr>
            </w:pPr>
            <w:r>
              <w:rPr>
                <w:rFonts w:ascii="Times New Roman" w:cs="Times New Roman" w:eastAsia="Times New Roman" w:hAnsi="Times New Roman"/>
                <w:sz w:val="18"/>
                <w:szCs w:val="18"/>
                <w:color w:val="0000FF"/>
              </w:rPr>
              <w:t>Acquisitions</w:t>
            </w:r>
          </w:p>
        </w:tc>
        <w:tc>
          <w:tcPr>
            <w:tcW w:w="48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rPr>
              <w:t>20</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Note 7</w:t>
            </w:r>
          </w:p>
        </w:tc>
        <w:tc>
          <w:tcPr>
            <w:tcW w:w="1340" w:type="dxa"/>
            <w:vAlign w:val="bottom"/>
            <w:gridSpan w:val="2"/>
            <w:shd w:val="clear" w:color="auto" w:fill="CCEEFF"/>
          </w:tcPr>
          <w:p>
            <w:pPr>
              <w:spacing w:after="0"/>
              <w:rPr>
                <w:sz w:val="16"/>
                <w:szCs w:val="16"/>
                <w:color w:val="auto"/>
              </w:rPr>
            </w:pPr>
          </w:p>
        </w:tc>
        <w:tc>
          <w:tcPr>
            <w:tcW w:w="4480" w:type="dxa"/>
            <w:vAlign w:val="bottom"/>
            <w:gridSpan w:val="17"/>
            <w:shd w:val="clear" w:color="auto" w:fill="CCEEFF"/>
          </w:tcPr>
          <w:p>
            <w:pPr>
              <w:ind w:left="1260"/>
              <w:spacing w:after="0" w:line="189" w:lineRule="exact"/>
              <w:rPr>
                <w:sz w:val="20"/>
                <w:szCs w:val="20"/>
                <w:color w:val="auto"/>
              </w:rPr>
            </w:pPr>
            <w:r>
              <w:rPr>
                <w:rFonts w:ascii="Times New Roman" w:cs="Times New Roman" w:eastAsia="Times New Roman" w:hAnsi="Times New Roman"/>
                <w:sz w:val="18"/>
                <w:szCs w:val="18"/>
                <w:color w:val="0000FF"/>
              </w:rPr>
              <w:t>Goodwill</w:t>
            </w:r>
          </w:p>
        </w:tc>
        <w:tc>
          <w:tcPr>
            <w:tcW w:w="48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21</w:t>
            </w:r>
          </w:p>
        </w:tc>
        <w:tc>
          <w:tcPr>
            <w:tcW w:w="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7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0000FF"/>
                <w:w w:val="98"/>
              </w:rPr>
              <w:t>Note 8</w:t>
            </w:r>
          </w:p>
        </w:tc>
        <w:tc>
          <w:tcPr>
            <w:tcW w:w="1340" w:type="dxa"/>
            <w:vAlign w:val="bottom"/>
            <w:gridSpan w:val="2"/>
          </w:tcPr>
          <w:p>
            <w:pPr>
              <w:spacing w:after="0"/>
              <w:rPr>
                <w:sz w:val="16"/>
                <w:szCs w:val="16"/>
                <w:color w:val="auto"/>
              </w:rPr>
            </w:pPr>
          </w:p>
        </w:tc>
        <w:tc>
          <w:tcPr>
            <w:tcW w:w="4480" w:type="dxa"/>
            <w:vAlign w:val="bottom"/>
            <w:gridSpan w:val="17"/>
          </w:tcPr>
          <w:p>
            <w:pPr>
              <w:ind w:left="1260"/>
              <w:spacing w:after="0" w:line="189" w:lineRule="exact"/>
              <w:rPr>
                <w:sz w:val="20"/>
                <w:szCs w:val="20"/>
                <w:color w:val="auto"/>
              </w:rPr>
            </w:pPr>
            <w:r>
              <w:rPr>
                <w:rFonts w:ascii="Times New Roman" w:cs="Times New Roman" w:eastAsia="Times New Roman" w:hAnsi="Times New Roman"/>
                <w:sz w:val="18"/>
                <w:szCs w:val="18"/>
                <w:color w:val="0000FF"/>
              </w:rPr>
              <w:t>Intangible Assets</w:t>
            </w:r>
          </w:p>
        </w:tc>
        <w:tc>
          <w:tcPr>
            <w:tcW w:w="48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rPr>
              <w:t>22</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Note 9</w:t>
            </w:r>
          </w:p>
        </w:tc>
        <w:tc>
          <w:tcPr>
            <w:tcW w:w="1340" w:type="dxa"/>
            <w:vAlign w:val="bottom"/>
            <w:gridSpan w:val="2"/>
            <w:shd w:val="clear" w:color="auto" w:fill="CCEEFF"/>
          </w:tcPr>
          <w:p>
            <w:pPr>
              <w:spacing w:after="0"/>
              <w:rPr>
                <w:sz w:val="16"/>
                <w:szCs w:val="16"/>
                <w:color w:val="auto"/>
              </w:rPr>
            </w:pPr>
          </w:p>
        </w:tc>
        <w:tc>
          <w:tcPr>
            <w:tcW w:w="4480" w:type="dxa"/>
            <w:vAlign w:val="bottom"/>
            <w:gridSpan w:val="17"/>
            <w:shd w:val="clear" w:color="auto" w:fill="CCEEFF"/>
          </w:tcPr>
          <w:p>
            <w:pPr>
              <w:ind w:left="1260"/>
              <w:spacing w:after="0" w:line="189" w:lineRule="exact"/>
              <w:rPr>
                <w:sz w:val="20"/>
                <w:szCs w:val="20"/>
                <w:color w:val="auto"/>
              </w:rPr>
            </w:pPr>
            <w:r>
              <w:rPr>
                <w:rFonts w:ascii="Times New Roman" w:cs="Times New Roman" w:eastAsia="Times New Roman" w:hAnsi="Times New Roman"/>
                <w:sz w:val="18"/>
                <w:szCs w:val="18"/>
                <w:color w:val="0000FF"/>
              </w:rPr>
              <w:t>Income Taxes</w:t>
            </w:r>
          </w:p>
        </w:tc>
        <w:tc>
          <w:tcPr>
            <w:tcW w:w="48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23</w:t>
            </w:r>
          </w:p>
        </w:tc>
        <w:tc>
          <w:tcPr>
            <w:tcW w:w="2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7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8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FF"/>
              </w:rPr>
              <w:t>Note 10</w:t>
            </w:r>
          </w:p>
        </w:tc>
        <w:tc>
          <w:tcPr>
            <w:tcW w:w="4480" w:type="dxa"/>
            <w:vAlign w:val="bottom"/>
            <w:gridSpan w:val="17"/>
          </w:tcPr>
          <w:p>
            <w:pPr>
              <w:ind w:left="1260"/>
              <w:spacing w:after="0" w:line="189" w:lineRule="exact"/>
              <w:rPr>
                <w:sz w:val="20"/>
                <w:szCs w:val="20"/>
                <w:color w:val="auto"/>
              </w:rPr>
            </w:pPr>
            <w:r>
              <w:rPr>
                <w:rFonts w:ascii="Times New Roman" w:cs="Times New Roman" w:eastAsia="Times New Roman" w:hAnsi="Times New Roman"/>
                <w:sz w:val="18"/>
                <w:szCs w:val="18"/>
                <w:color w:val="0000FF"/>
              </w:rPr>
              <w:t>Leases</w:t>
            </w:r>
          </w:p>
        </w:tc>
        <w:tc>
          <w:tcPr>
            <w:tcW w:w="48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rPr>
              <w:t>24</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7"/>
              </w:rPr>
              <w:t>Note 11</w:t>
            </w:r>
          </w:p>
        </w:tc>
        <w:tc>
          <w:tcPr>
            <w:tcW w:w="1260" w:type="dxa"/>
            <w:vAlign w:val="bottom"/>
            <w:shd w:val="clear" w:color="auto" w:fill="CCEEFF"/>
          </w:tcPr>
          <w:p>
            <w:pPr>
              <w:spacing w:after="0"/>
              <w:rPr>
                <w:sz w:val="16"/>
                <w:szCs w:val="16"/>
                <w:color w:val="auto"/>
              </w:rPr>
            </w:pPr>
          </w:p>
        </w:tc>
        <w:tc>
          <w:tcPr>
            <w:tcW w:w="4480" w:type="dxa"/>
            <w:vAlign w:val="bottom"/>
            <w:gridSpan w:val="17"/>
            <w:shd w:val="clear" w:color="auto" w:fill="CCEEFF"/>
          </w:tcPr>
          <w:p>
            <w:pPr>
              <w:ind w:left="1260"/>
              <w:spacing w:after="0" w:line="189" w:lineRule="exact"/>
              <w:rPr>
                <w:sz w:val="20"/>
                <w:szCs w:val="20"/>
                <w:color w:val="auto"/>
              </w:rPr>
            </w:pPr>
            <w:r>
              <w:rPr>
                <w:rFonts w:ascii="Times New Roman" w:cs="Times New Roman" w:eastAsia="Times New Roman" w:hAnsi="Times New Roman"/>
                <w:sz w:val="18"/>
                <w:szCs w:val="18"/>
                <w:color w:val="0000FF"/>
              </w:rPr>
              <w:t>Debt</w:t>
            </w:r>
          </w:p>
        </w:tc>
        <w:tc>
          <w:tcPr>
            <w:tcW w:w="48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25</w:t>
            </w:r>
          </w:p>
        </w:tc>
        <w:tc>
          <w:tcPr>
            <w:tcW w:w="2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7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8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FF"/>
              </w:rPr>
              <w:t>Note 12</w:t>
            </w:r>
          </w:p>
        </w:tc>
        <w:tc>
          <w:tcPr>
            <w:tcW w:w="4480" w:type="dxa"/>
            <w:vAlign w:val="bottom"/>
            <w:gridSpan w:val="17"/>
          </w:tcPr>
          <w:p>
            <w:pPr>
              <w:ind w:left="1260"/>
              <w:spacing w:after="0" w:line="189" w:lineRule="exact"/>
              <w:rPr>
                <w:sz w:val="20"/>
                <w:szCs w:val="20"/>
                <w:color w:val="auto"/>
              </w:rPr>
            </w:pPr>
            <w:r>
              <w:rPr>
                <w:rFonts w:ascii="Times New Roman" w:cs="Times New Roman" w:eastAsia="Times New Roman" w:hAnsi="Times New Roman"/>
                <w:sz w:val="18"/>
                <w:szCs w:val="18"/>
                <w:color w:val="0000FF"/>
              </w:rPr>
              <w:t>Commitments and Contingencies</w:t>
            </w:r>
          </w:p>
        </w:tc>
        <w:tc>
          <w:tcPr>
            <w:tcW w:w="48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rPr>
              <w:t>27</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84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Note 13</w:t>
            </w:r>
          </w:p>
        </w:tc>
        <w:tc>
          <w:tcPr>
            <w:tcW w:w="4480" w:type="dxa"/>
            <w:vAlign w:val="bottom"/>
            <w:gridSpan w:val="17"/>
            <w:shd w:val="clear" w:color="auto" w:fill="CCEEFF"/>
          </w:tcPr>
          <w:p>
            <w:pPr>
              <w:ind w:left="1260"/>
              <w:spacing w:after="0" w:line="189" w:lineRule="exact"/>
              <w:rPr>
                <w:sz w:val="20"/>
                <w:szCs w:val="20"/>
                <w:color w:val="auto"/>
              </w:rPr>
            </w:pPr>
            <w:r>
              <w:rPr>
                <w:rFonts w:ascii="Times New Roman" w:cs="Times New Roman" w:eastAsia="Times New Roman" w:hAnsi="Times New Roman"/>
                <w:sz w:val="18"/>
                <w:szCs w:val="18"/>
                <w:color w:val="0000FF"/>
              </w:rPr>
              <w:t>Stockholders' Equity</w:t>
            </w:r>
          </w:p>
        </w:tc>
        <w:tc>
          <w:tcPr>
            <w:tcW w:w="48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29</w:t>
            </w:r>
          </w:p>
        </w:tc>
        <w:tc>
          <w:tcPr>
            <w:tcW w:w="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7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8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FF"/>
              </w:rPr>
              <w:t>Note 14</w:t>
            </w:r>
          </w:p>
        </w:tc>
        <w:tc>
          <w:tcPr>
            <w:tcW w:w="4480" w:type="dxa"/>
            <w:vAlign w:val="bottom"/>
            <w:gridSpan w:val="17"/>
          </w:tcPr>
          <w:p>
            <w:pPr>
              <w:ind w:left="1260"/>
              <w:spacing w:after="0" w:line="189" w:lineRule="exact"/>
              <w:rPr>
                <w:sz w:val="20"/>
                <w:szCs w:val="20"/>
                <w:color w:val="auto"/>
              </w:rPr>
            </w:pPr>
            <w:r>
              <w:rPr>
                <w:rFonts w:ascii="Times New Roman" w:cs="Times New Roman" w:eastAsia="Times New Roman" w:hAnsi="Times New Roman"/>
                <w:sz w:val="18"/>
                <w:szCs w:val="18"/>
                <w:color w:val="0000FF"/>
              </w:rPr>
              <w:t>Earnings Per Share</w:t>
            </w:r>
          </w:p>
        </w:tc>
        <w:tc>
          <w:tcPr>
            <w:tcW w:w="48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rPr>
              <w:t>30</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84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Note 15</w:t>
            </w:r>
          </w:p>
        </w:tc>
        <w:tc>
          <w:tcPr>
            <w:tcW w:w="4480" w:type="dxa"/>
            <w:vAlign w:val="bottom"/>
            <w:gridSpan w:val="17"/>
            <w:shd w:val="clear" w:color="auto" w:fill="CCEEFF"/>
          </w:tcPr>
          <w:p>
            <w:pPr>
              <w:ind w:left="1260"/>
              <w:spacing w:after="0" w:line="189" w:lineRule="exact"/>
              <w:rPr>
                <w:sz w:val="20"/>
                <w:szCs w:val="20"/>
                <w:color w:val="auto"/>
              </w:rPr>
            </w:pPr>
            <w:r>
              <w:rPr>
                <w:rFonts w:ascii="Times New Roman" w:cs="Times New Roman" w:eastAsia="Times New Roman" w:hAnsi="Times New Roman"/>
                <w:sz w:val="18"/>
                <w:szCs w:val="18"/>
                <w:color w:val="0000FF"/>
              </w:rPr>
              <w:t>Stock-Based Compensation</w:t>
            </w:r>
          </w:p>
        </w:tc>
        <w:tc>
          <w:tcPr>
            <w:tcW w:w="48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30</w:t>
            </w:r>
          </w:p>
        </w:tc>
        <w:tc>
          <w:tcPr>
            <w:tcW w:w="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7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8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FF"/>
              </w:rPr>
              <w:t>Note 16</w:t>
            </w:r>
          </w:p>
        </w:tc>
        <w:tc>
          <w:tcPr>
            <w:tcW w:w="4480" w:type="dxa"/>
            <w:vAlign w:val="bottom"/>
            <w:gridSpan w:val="17"/>
          </w:tcPr>
          <w:p>
            <w:pPr>
              <w:ind w:left="1260"/>
              <w:spacing w:after="0" w:line="189" w:lineRule="exact"/>
              <w:rPr>
                <w:sz w:val="20"/>
                <w:szCs w:val="20"/>
                <w:color w:val="auto"/>
              </w:rPr>
            </w:pPr>
            <w:r>
              <w:rPr>
                <w:rFonts w:ascii="Times New Roman" w:cs="Times New Roman" w:eastAsia="Times New Roman" w:hAnsi="Times New Roman"/>
                <w:sz w:val="18"/>
                <w:szCs w:val="18"/>
                <w:color w:val="0000FF"/>
              </w:rPr>
              <w:t>Segment Information</w:t>
            </w:r>
          </w:p>
        </w:tc>
        <w:tc>
          <w:tcPr>
            <w:tcW w:w="48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rPr>
              <w:t>33</w:t>
            </w:r>
          </w:p>
        </w:tc>
        <w:tc>
          <w:tcPr>
            <w:tcW w:w="20" w:type="dxa"/>
            <w:vAlign w:val="bottom"/>
          </w:tcPr>
          <w:p>
            <w:pPr>
              <w:spacing w:after="0"/>
              <w:rPr>
                <w:sz w:val="16"/>
                <w:szCs w:val="16"/>
                <w:color w:val="auto"/>
              </w:rPr>
            </w:pPr>
          </w:p>
        </w:tc>
      </w:tr>
      <w:tr>
        <w:trPr>
          <w:trHeight w:val="885"/>
        </w:trPr>
        <w:tc>
          <w:tcPr>
            <w:tcW w:w="20" w:type="dxa"/>
            <w:vAlign w:val="bottom"/>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40" w:type="dxa"/>
            <w:vAlign w:val="bottom"/>
            <w:tcBorders>
              <w:top w:val="single" w:sz="8" w:color="0000FF"/>
            </w:tcBorders>
            <w:gridSpan w:val="10"/>
          </w:tcPr>
          <w:p>
            <w:pPr>
              <w:spacing w:after="0"/>
              <w:rPr>
                <w:sz w:val="24"/>
                <w:szCs w:val="24"/>
                <w:color w:val="auto"/>
              </w:rPr>
            </w:pPr>
          </w:p>
        </w:tc>
        <w:tc>
          <w:tcPr>
            <w:tcW w:w="1680" w:type="dxa"/>
            <w:vAlign w:val="bottom"/>
            <w:gridSpan w:val="6"/>
          </w:tcPr>
          <w:p>
            <w:pPr>
              <w:jc w:val="right"/>
              <w:ind w:right="620"/>
              <w:spacing w:after="0"/>
              <w:rPr>
                <w:sz w:val="20"/>
                <w:szCs w:val="20"/>
                <w:color w:val="auto"/>
              </w:rPr>
            </w:pPr>
            <w:r>
              <w:rPr>
                <w:rFonts w:ascii="Times New Roman" w:cs="Times New Roman" w:eastAsia="Times New Roman" w:hAnsi="Times New Roman"/>
                <w:sz w:val="18"/>
                <w:szCs w:val="18"/>
                <w:color w:val="auto"/>
              </w:rPr>
              <w:t>10</w:t>
            </w:r>
          </w:p>
        </w:tc>
        <w:tc>
          <w:tcPr>
            <w:tcW w:w="4700" w:type="dxa"/>
            <w:vAlign w:val="bottom"/>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47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 DESCRIPTION OF BUSINESS</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FactSet Research Systems Inc. and its wholly-owned subsidiaries (collectively, "we," "our," "us," the "Company" or "FactSet") is a global financial digital platform and enterprise solutions provider with open and flexible technologies that deliver financial intelligence to investment professionals worldwide.</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platform delivers expansive data, sophisticated analytics and flexible technology used by global financial professionals to power their critical investment workflows. As of February 28, 2025, we had more than 8,600 clients comprised of over 219,000 investment professionals, including institutional asset managers, bankers, wealth managers, asset owners, partners, hedge funds, corporate users, and private equity and venture capital professionals. Our revenues are primarily derived from subscriptions to our multi-asset class data and solutions powered by our connected data and technology platform. Our products and services include workstations, portfolio analytics and enterprise data solutions. We also offer managed services that operate as an extension of our clients' internal teams to support data, performance, risk and reporting workflows.</w:t>
      </w:r>
    </w:p>
    <w:p>
      <w:pPr>
        <w:spacing w:after="0" w:line="14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drive our business based on our detailed understanding of our clients' workflows, which helps us to solve their most complex challenges. We provide financial data and market intelligence on securities, companies, industries and people to enable our clients to research investment ideas and analyze, monitor and manage their portfolios. Our solutions span the investment lifecycle of investment research, portfolio construction and analysis, trade execution, performance measurement, risk management and reporting. We provide open and flexible technology offerings, including a configurable desktop and mobile platform, comprehensive data feeds, cloud-based digital solutions and application programming interfaces ("APIs"). The CUSIP Global Services ("CGS") business supports security master files relied on by the investment industry for critical front, middle and back-office functions. All of our platforms and solutions are supported by our dedicated client service team.</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We operate our business through three reportable segments ("segments"): the Americas, EMEA and Asia Pacific. Within each segment, we offer data, products and analytical applications by firm type: Institutional Buyside, Dealmakers, Wealth, and Partnerships and CGS. Refer to Note 16, </w:t>
      </w:r>
      <w:r>
        <w:rPr>
          <w:rFonts w:ascii="Times New Roman" w:cs="Times New Roman" w:eastAsia="Times New Roman" w:hAnsi="Times New Roman"/>
          <w:sz w:val="18"/>
          <w:szCs w:val="18"/>
          <w:i w:val="1"/>
          <w:iCs w:val="1"/>
          <w:color w:val="auto"/>
        </w:rPr>
        <w:t>Segment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Information </w:t>
      </w:r>
      <w:r>
        <w:rPr>
          <w:rFonts w:ascii="Times New Roman" w:cs="Times New Roman" w:eastAsia="Times New Roman" w:hAnsi="Times New Roman"/>
          <w:sz w:val="18"/>
          <w:szCs w:val="18"/>
          <w:color w:val="auto"/>
        </w:rPr>
        <w:t>for further discussion on our segments.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2. SUMMARY OF SIGNIFICANT ACCOUNTING POLICIES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conduct business globally and manage our business on a geographic basis. The accompanying unaudited Consolidated Financial Statements and Notes to the Consolidated Financial Statements included in this Quarterly Report on Form 10-Q are prepared in accordance with generally accepted accounting principles in the United States ("GAAP") for interim financial information and the instructions to Form 10-Q and Article 10 of Regulation S-X. Accordingly, they do not include all information and footnotes required by GAAP for annual financial statements. As such, the information in this Quarterly Report on Form 10-Q should be read in conjunction with the audited Consolidated Financial Statements and notes thereto included in our Annual Report on Form 10-K for the fiscal year ended August 31, 2024. The accompanying unaudited Consolidated Financial Statements include our accounts and those of our wholly-owned subsidiaries; all intercompany activity and balances have been eliminated.</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the opinion of management, the accompanying unaudited Consolidated Financial Statements include all normal recurring adjustments, transactions or events discretely impacting the interim periods considered necessary to present fairly our results of operations, financial position, cash flows and equity.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Reclassifications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Asset impairments were included within Selling, general and administrative ("SG&amp;A") in the Consolidated Statements of Income during the three and six months ended February 28, 2025, and were included within Other, net in the Consolidated Statements of Cash Flows for the six months ended February 28, 2025. We conformed the comparative prior period figures to the current period presentation.</w:t>
      </w:r>
    </w:p>
    <w:p>
      <w:pPr>
        <w:spacing w:after="0" w:line="1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six months ended February 28, 2025, Prepaid expenses and other assets, previously included within Other, net, were presented as a separate component of Cash Flows from Operating Activities in the Consolidated Statements of Cash Flows. We conformed the comparative figures for the six months ended February 29, 2024, to the current period presentation.</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preparation of our Consolidated Financial Statements and related disclosures in conformity with GAAP required management to make estimates and assumptions that affect the reported amounts of assets and liabilities and disclosure of contingent assets and liabilities at the date of the financial statements and the reported amounts of revenues and expenses during the reporting period. Significant estimates may include income taxes, stock-based compensation, goodwill and intangible assets, business combinations, property, equipment and leasehold improvements ("PPE"), contingencies and impairment assessments. We base our estimates on historical experience and on various other assumptions that are believed to be reasonable, the results of which form the basis for making judgments about the carrying values of our assets and liabilities. Actual results could differ materially from those estimates.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Concentrations of Credit Risk</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Credit risk arises from the potential nonperformance by counterparties to fulfill their financial obligations. Our financial instruments that potentially subject us to concentrations of credit risk consist primarily of our cash, cash equivalents, restricted cash, accounts receivable, investments in mutual funds and derivative instruments. The maximum credit exposure of our cash, cash equivalents, restricted cash, accounts receivable and investments in mutual funds is their carrying values as of the balance sheet date. The maximum credit exposure related to our derivative instruments is based upon their respective gross fair values as of the balance sheet date.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Cash Equivalents, Restricted Cash and Investments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exposed to credit risk on our cash, cash equivalents, restricted cash and investments in mutual funds in the event of default by the financial and governmental institutions with which we transact. We invest in a manner that aligns with our restrictive cash investment practices, preserves capital and provides liquidity, while minimizing our exposure to credit risk. We limit our exposure to credit loss by investing with multiple financial and governmental institutions that we believe are high-quality and credit-worthy. We have not experienced any credit losses relating to our cash, cash equivalents, restricted cash and investments in mutual funds.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accounts receivable credit risk is dependent upon the financial stability of our individual clients. As of February 28, 2025 and August 31, 2024, our accounts receivable reserve was $15.0 million and $14.6 million, respectively. We do not require collateral from our clients; however, no single client represented more than 3.5% of our total revenues for the six months ended February 28, 2025 and February 29, 2024. Due to our large and geographically dispersed client base, our concentration of credit risk related to our accounts receivable is generally limited.</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 Instruments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use of derivative instruments exposes us to credit risk to the extent counterparties may be unable to meet the terms of their agreements. To mitigate credit risk, we limit counterparties to financial institutions we believe are credit-worthy and use several institutions to reduce concentration risk. We do not expect any losses as a result of default by our counterparties.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Concentrations of Data Providers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integrate data from various third-party sources into our hosted proprietary data and analytics platform. As certain data sources have a limited number of suppliers, we make every effort to assure that, where reasonable, alternative sources are available. We are not dependent on any individual third-party data supplier to meet the needs of our clients, with only two data suppliers each representing more than 10% of our total data costs for the six months ended February 28, 2025 and February 29, 2024.</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Concentrations of Cloud Providers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clients rely on us for the delivery of time-sensitive, up-to-date data and applications. Our business is dependent on our ability to process substantial volumes of data and transactions rapidly and efficiently. We currently use multiple providers of cloud services; however, one supplier provided the majority of our cloud computing support for the six months ended February 28, 2025 and February 29, 2024. We maintain back-up facilities and other redundancies at our data centers, take security measures and have emergency procedures to minimize the risk that an event will disrupt our operations.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did not adopt any new standards or updates issued by the Financial Accounting Standards Board ("FASB") during the six months ended February 28, 2025 that had a material impact on our Consolidated Financial Statements.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Pronouncements Not Yet Adopted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Statement - Disaggregation of Income Statement Expenses</w:t>
      </w:r>
    </w:p>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November 2024, the FASB issued Accounting Standards Update ("ASU") 2024-03, </w:t>
      </w:r>
      <w:r>
        <w:rPr>
          <w:rFonts w:ascii="Times New Roman" w:cs="Times New Roman" w:eastAsia="Times New Roman" w:hAnsi="Times New Roman"/>
          <w:sz w:val="18"/>
          <w:szCs w:val="18"/>
          <w:i w:val="1"/>
          <w:iCs w:val="1"/>
          <w:color w:val="auto"/>
        </w:rPr>
        <w:t>Income Statement - Reporting Comprehensive Income - Expense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Disaggregation Disclosures (Subtopic 220-40) - Disaggregation of Income Statement Expenses</w:t>
      </w:r>
      <w:r>
        <w:rPr>
          <w:rFonts w:ascii="Times New Roman" w:cs="Times New Roman" w:eastAsia="Times New Roman" w:hAnsi="Times New Roman"/>
          <w:sz w:val="18"/>
          <w:szCs w:val="18"/>
          <w:color w:val="auto"/>
        </w:rPr>
        <w:t>. This ASU requires disaggregation of certain income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 expense captions into specified categories to be disclosed within the footnotes to the financial statements. This ASU does not change the expense captions on the income statement. The amendments in this ASU are to be applied prospectively, although retrospective application is permitted, and are effective for our annual financial statements starting in fiscal 2028 and interim periods starting in fiscal 2029. Early adoption is permitted. This ASU is not expected to have a material impact on our Consolidated Financial Statements. We are currently assessing the impact of the new requirements on our disclosures.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 Securities and Exchange Commission ("SEC") Disclosures - The Enhancement and Standardization of Climate-Related Disclosures for Investors</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March 2024, the SEC adopted a final rule under SEC Release Nos. 33-11275 and 34-99678, </w:t>
      </w:r>
      <w:r>
        <w:rPr>
          <w:rFonts w:ascii="Times New Roman" w:cs="Times New Roman" w:eastAsia="Times New Roman" w:hAnsi="Times New Roman"/>
          <w:sz w:val="18"/>
          <w:szCs w:val="18"/>
          <w:i w:val="1"/>
          <w:iCs w:val="1"/>
          <w:color w:val="auto"/>
        </w:rPr>
        <w:t>The Enhancement and Standardization of Climate-Related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Disclosures for Investors</w:t>
      </w:r>
      <w:r>
        <w:rPr>
          <w:rFonts w:ascii="Times New Roman" w:cs="Times New Roman" w:eastAsia="Times New Roman" w:hAnsi="Times New Roman"/>
          <w:sz w:val="18"/>
          <w:szCs w:val="18"/>
          <w:color w:val="auto"/>
        </w:rPr>
        <w:t>, which would require disclosure of certain climate-related information in various filings with the SEC. In April 2024, the SEC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stayed implementation of the final rule pending completion of judicial review. In March 2025, the SEC stated that it has ended its defense of the rule. We are currently monitoring the legal challenges and assessing the potential impact of the rule on our disclosures.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Codification Improvements - Amendments to Remove References to the Concepts Statements</w:t>
      </w:r>
    </w:p>
    <w:p>
      <w:pPr>
        <w:spacing w:after="0" w:line="18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March 2024, the FASB issued ASU 2024-02, </w:t>
      </w:r>
      <w:r>
        <w:rPr>
          <w:rFonts w:ascii="Times New Roman" w:cs="Times New Roman" w:eastAsia="Times New Roman" w:hAnsi="Times New Roman"/>
          <w:sz w:val="18"/>
          <w:szCs w:val="18"/>
          <w:i w:val="1"/>
          <w:iCs w:val="1"/>
          <w:color w:val="auto"/>
        </w:rPr>
        <w:t>Codification Improvements - Amendments to Remove References to the Concepts Statements</w:t>
      </w:r>
      <w:r>
        <w:rPr>
          <w:rFonts w:ascii="Times New Roman" w:cs="Times New Roman" w:eastAsia="Times New Roman" w:hAnsi="Times New Roman"/>
          <w:sz w:val="18"/>
          <w:szCs w:val="18"/>
          <w:color w:val="auto"/>
        </w:rPr>
        <w:t>. This ASU amends the FASB Accounting Standards Codification ("the Codification") to remove references to various FASB Concepts Statements and impacts a variety of topics in the Codification. The amendments apply to all reporting entities within the scope of the affected accounting guidance, but in most instances the references removed are extraneous and not required to understand or apply the guidance. The amendments in this ASU are to be applied prospectively, although retrospective application is permitted, and are effective for our interim and annual financial statements starting in fiscal 2026. Early adoption is permitted. This ASU is not expected to have a material impact on our Consolidated Financial Statements or related disclosures.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 - Improvements to Income Tax Disclosures</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 Improvements to Income Tax Disclosures</w:t>
      </w:r>
      <w:r>
        <w:rPr>
          <w:rFonts w:ascii="Times New Roman" w:cs="Times New Roman" w:eastAsia="Times New Roman" w:hAnsi="Times New Roman"/>
          <w:sz w:val="18"/>
          <w:szCs w:val="18"/>
          <w:color w:val="auto"/>
        </w:rPr>
        <w:t>. This ASU enhances annual income tax disclosures primarily related to our effective tax rate reconciliation and income taxes paid. The amendments in this ASU are to be applied prospectively, although retrospective application is permitted, and are effective for our annual financial statements starting in fiscal 2026. Early adoption is permitted. This ASU is not expected to have a material impact on our Consolidated Financial Statements. We are currently assessing the impact of the new requirements on our disclosures.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Reporting - Improvements to Reportable Segment Disclosures</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 Improvements to Reportable Segment Disclosures</w:t>
      </w:r>
      <w:r>
        <w:rPr>
          <w:rFonts w:ascii="Times New Roman" w:cs="Times New Roman" w:eastAsia="Times New Roman" w:hAnsi="Times New Roman"/>
          <w:sz w:val="18"/>
          <w:szCs w:val="18"/>
          <w:color w:val="auto"/>
        </w:rPr>
        <w:t>. This ASU enhances segment disclosures primarily related to significant segment expenses for both interim and annual periods. The amendments in this ASU are to be applied retrospectively and are effective for our annual financial statements starting in fiscal 2025 and interim periods starting in fiscal 2026. Early adoption is permitted. This ASU is not expected to have a material impact on our Consolidated Financial Statements. We are currently assessing the impact of the new requirements on our disclosures.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Disclosure Improvements - Codification Amendment in Response to the SEC's Disclosure Update and Simplification Initiative</w:t>
      </w:r>
    </w:p>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October 2023, the FASB issued ASU 2023-06, </w:t>
      </w:r>
      <w:r>
        <w:rPr>
          <w:rFonts w:ascii="Times New Roman" w:cs="Times New Roman" w:eastAsia="Times New Roman" w:hAnsi="Times New Roman"/>
          <w:sz w:val="18"/>
          <w:szCs w:val="18"/>
          <w:i w:val="1"/>
          <w:iCs w:val="1"/>
          <w:color w:val="auto"/>
        </w:rPr>
        <w:t>Disclosure Improvements - Codification Amendment in Response to the SEC’s Disclosure Update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Simplification Initiative</w:t>
      </w:r>
      <w:r>
        <w:rPr>
          <w:rFonts w:ascii="Times New Roman" w:cs="Times New Roman" w:eastAsia="Times New Roman" w:hAnsi="Times New Roman"/>
          <w:sz w:val="18"/>
          <w:szCs w:val="18"/>
          <w:color w:val="auto"/>
        </w:rPr>
        <w:t>. The ASU incorporates several disclosure and presentation requirements currently residing in the SEC Regulations S-X and S-K.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amendments will be applied prospectively and are effective when the SEC removes the related requirements from Regulations S-X or S-K. Any amendments the SEC does not remove by June 30, 2027 will not be effective. As we are currently subject to these SEC requirements, this ASU is not expected to have a material impact on our Consolidated Financial Statements or related disclosures.</w:t>
      </w:r>
    </w:p>
    <w:p>
      <w:pPr>
        <w:spacing w:after="0" w:line="14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No other new accounting pronouncements issued or effective during the six months ended February 28, 2025 have had, or are expected to have, a material impact on our Consolidated Financial Statements.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3. REVENUE RECOGNITION</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derive most of our revenues by delivering client access to our multi-asset class solutions powered by our platform of connected data and technology that is available over the contractual term (referred to as the "Hosted Platform"). The Hosted Platform is a subscription-based service that provides client access to various combinations of products and services including workstations, portfolio analytics and enterprise solutions. We also derive revenues through the CGS platform, a subscription-based service that provides access to a database of universally recognized security identifiers and related descriptive data for issuers and their financial instruments (referred to as the "Identifier Platform").</w:t>
      </w:r>
    </w:p>
    <w:p>
      <w:pPr>
        <w:spacing w:after="0" w:line="14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majority of each of our contracts with clients, whether for Hosted Platform or Identifier Platform services, represents a single performance obligation covering a series of distinct products and services that are substantially the same and that have the same pattern of transfer to the client. The primary nature of the promise to the client is to provide daily access to each of these data and analytics platforms over the associated contractual term. These platforms provide integrated financial information, analytical applications and industry-leading service for the investment community. Based on the nature of the products and services offered by these platforms, we apply an output time-based measure of progress as the client is simultaneously receiving and consuming the benefits of the respective platform. We recognize revenue for the majority of these platforms in accordance with the 'as invoiced' practical expedient, because the consideration that we have the right to invoice corresponds directly with the value of our performance to date. There are no significant judgments that would impact the timing of revenue recognition.</w:t>
      </w:r>
    </w:p>
    <w:p>
      <w:pPr>
        <w:spacing w:after="0" w:line="15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Due to our election of the practical expedient, we do not consider payment terms as a financing component within a client contract when, at contract inception, the period between the transfer of the promised services to the client and the payment timing for those services will be one year or less.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majority of client contracts have a duration of one year, or the amount we are entitled to receive corresponds directly with the value of our performance obligations completed to date. Therefore, we do not disclose the value of the remaining unsatisfied performance obligations.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Disaggregated Revenues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We disaggregate revenues from our client contracts by segment based on the geographic region where the sale originated. Our business segmentation by geography is aligned with the operational and economic characteristics of our business. Refer to Note 16, </w:t>
      </w:r>
      <w:r>
        <w:rPr>
          <w:rFonts w:ascii="Times New Roman" w:cs="Times New Roman" w:eastAsia="Times New Roman" w:hAnsi="Times New Roman"/>
          <w:sz w:val="18"/>
          <w:szCs w:val="18"/>
          <w:i w:val="1"/>
          <w:iCs w:val="1"/>
          <w:color w:val="auto"/>
        </w:rPr>
        <w:t>Segment Information</w:t>
      </w:r>
      <w:r>
        <w:rPr>
          <w:rFonts w:ascii="Times New Roman" w:cs="Times New Roman" w:eastAsia="Times New Roman" w:hAnsi="Times New Roman"/>
          <w:sz w:val="18"/>
          <w:szCs w:val="18"/>
          <w:color w:val="auto"/>
        </w:rPr>
        <w:t>, for further information.</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revenues disaggregated by segment:</w:t>
            </w:r>
          </w:p>
        </w:tc>
        <w:tc>
          <w:tcPr>
            <w:tcW w:w="4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2"/>
        </w:trPr>
        <w:tc>
          <w:tcPr>
            <w:tcW w:w="4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780" w:type="dxa"/>
            <w:vAlign w:val="bottom"/>
            <w:gridSpan w:val="3"/>
          </w:tcPr>
          <w:p>
            <w:pPr>
              <w:jc w:val="right"/>
              <w:ind w:right="630"/>
              <w:spacing w:after="0"/>
              <w:rPr>
                <w:sz w:val="20"/>
                <w:szCs w:val="20"/>
                <w:color w:val="auto"/>
              </w:rPr>
            </w:pPr>
            <w:r>
              <w:rPr>
                <w:rFonts w:ascii="Times New Roman" w:cs="Times New Roman" w:eastAsia="Times New Roman" w:hAnsi="Times New Roman"/>
                <w:sz w:val="18"/>
                <w:szCs w:val="18"/>
                <w:color w:val="auto"/>
              </w:rPr>
              <w:t>Three Months Ended</w:t>
            </w:r>
          </w:p>
        </w:tc>
        <w:tc>
          <w:tcPr>
            <w:tcW w:w="240" w:type="dxa"/>
            <w:vAlign w:val="bottom"/>
          </w:tcPr>
          <w:p>
            <w:pPr>
              <w:spacing w:after="0"/>
              <w:rPr>
                <w:sz w:val="24"/>
                <w:szCs w:val="24"/>
                <w:color w:val="auto"/>
              </w:rPr>
            </w:pPr>
          </w:p>
        </w:tc>
        <w:tc>
          <w:tcPr>
            <w:tcW w:w="2820" w:type="dxa"/>
            <w:vAlign w:val="bottom"/>
            <w:gridSpan w:val="3"/>
          </w:tcPr>
          <w:p>
            <w:pPr>
              <w:jc w:val="right"/>
              <w:ind w:right="750"/>
              <w:spacing w:after="0"/>
              <w:rPr>
                <w:sz w:val="20"/>
                <w:szCs w:val="20"/>
                <w:color w:val="auto"/>
              </w:rPr>
            </w:pPr>
            <w:r>
              <w:rPr>
                <w:rFonts w:ascii="Times New Roman" w:cs="Times New Roman" w:eastAsia="Times New Roman" w:hAnsi="Times New Roman"/>
                <w:sz w:val="18"/>
                <w:szCs w:val="18"/>
                <w:color w:val="auto"/>
              </w:rPr>
              <w:t>Six Months Ended</w:t>
            </w:r>
          </w:p>
        </w:tc>
        <w:tc>
          <w:tcPr>
            <w:tcW w:w="0" w:type="dxa"/>
            <w:vAlign w:val="bottom"/>
          </w:tcPr>
          <w:p>
            <w:pPr>
              <w:spacing w:after="0"/>
              <w:rPr>
                <w:sz w:val="1"/>
                <w:szCs w:val="1"/>
                <w:color w:val="auto"/>
              </w:rPr>
            </w:pPr>
          </w:p>
        </w:tc>
      </w:tr>
      <w:tr>
        <w:trPr>
          <w:trHeight w:val="230"/>
        </w:trPr>
        <w:tc>
          <w:tcPr>
            <w:tcW w:w="49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440" w:type="dxa"/>
            <w:vAlign w:val="bottom"/>
          </w:tcPr>
          <w:p>
            <w:pPr>
              <w:spacing w:after="0"/>
              <w:rPr>
                <w:sz w:val="19"/>
                <w:szCs w:val="19"/>
                <w:color w:val="auto"/>
              </w:rPr>
            </w:pPr>
          </w:p>
        </w:tc>
        <w:tc>
          <w:tcPr>
            <w:tcW w:w="12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February 28,</w:t>
            </w:r>
          </w:p>
        </w:tc>
        <w:tc>
          <w:tcPr>
            <w:tcW w:w="220" w:type="dxa"/>
            <w:vAlign w:val="bottom"/>
          </w:tcPr>
          <w:p>
            <w:pPr>
              <w:spacing w:after="0"/>
              <w:rPr>
                <w:sz w:val="19"/>
                <w:szCs w:val="19"/>
                <w:color w:val="auto"/>
              </w:rPr>
            </w:pPr>
          </w:p>
        </w:tc>
        <w:tc>
          <w:tcPr>
            <w:tcW w:w="12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February 29,</w:t>
            </w:r>
          </w:p>
        </w:tc>
        <w:tc>
          <w:tcPr>
            <w:tcW w:w="240" w:type="dxa"/>
            <w:vAlign w:val="bottom"/>
          </w:tcPr>
          <w:p>
            <w:pPr>
              <w:spacing w:after="0"/>
              <w:rPr>
                <w:sz w:val="19"/>
                <w:szCs w:val="19"/>
                <w:color w:val="auto"/>
              </w:rPr>
            </w:pPr>
          </w:p>
        </w:tc>
        <w:tc>
          <w:tcPr>
            <w:tcW w:w="12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February 28,</w:t>
            </w:r>
          </w:p>
        </w:tc>
        <w:tc>
          <w:tcPr>
            <w:tcW w:w="240" w:type="dxa"/>
            <w:vAlign w:val="bottom"/>
          </w:tcPr>
          <w:p>
            <w:pPr>
              <w:spacing w:after="0"/>
              <w:rPr>
                <w:sz w:val="19"/>
                <w:szCs w:val="19"/>
                <w:color w:val="auto"/>
              </w:rPr>
            </w:pPr>
          </w:p>
        </w:tc>
        <w:tc>
          <w:tcPr>
            <w:tcW w:w="13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February 29,</w:t>
            </w:r>
          </w:p>
        </w:tc>
        <w:tc>
          <w:tcPr>
            <w:tcW w:w="0" w:type="dxa"/>
            <w:vAlign w:val="bottom"/>
          </w:tcPr>
          <w:p>
            <w:pPr>
              <w:spacing w:after="0"/>
              <w:rPr>
                <w:sz w:val="1"/>
                <w:szCs w:val="1"/>
                <w:color w:val="auto"/>
              </w:rPr>
            </w:pPr>
          </w:p>
        </w:tc>
      </w:tr>
      <w:tr>
        <w:trPr>
          <w:trHeight w:val="234"/>
        </w:trPr>
        <w:tc>
          <w:tcPr>
            <w:tcW w:w="4960" w:type="dxa"/>
            <w:vAlign w:val="bottom"/>
            <w:tcBorders>
              <w:bottom w:val="single" w:sz="8" w:color="auto"/>
            </w:tcBorders>
            <w:vMerge w:val="continue"/>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23"/>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Americas</w:t>
            </w:r>
          </w:p>
        </w:tc>
        <w:tc>
          <w:tcPr>
            <w:tcW w:w="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369,661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352,618</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736,903</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700,985</w:t>
            </w:r>
          </w:p>
        </w:tc>
        <w:tc>
          <w:tcPr>
            <w:tcW w:w="0" w:type="dxa"/>
            <w:vAlign w:val="bottom"/>
          </w:tcPr>
          <w:p>
            <w:pPr>
              <w:spacing w:after="0"/>
              <w:rPr>
                <w:sz w:val="1"/>
                <w:szCs w:val="1"/>
                <w:color w:val="auto"/>
              </w:rPr>
            </w:pPr>
          </w:p>
        </w:tc>
      </w:tr>
      <w:tr>
        <w:trPr>
          <w:trHeight w:val="243"/>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EMEA</w:t>
            </w:r>
          </w:p>
        </w:tc>
        <w:tc>
          <w:tcPr>
            <w:tcW w:w="4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143,387</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139,176</w:t>
            </w:r>
          </w:p>
        </w:tc>
        <w:tc>
          <w:tcPr>
            <w:tcW w:w="2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287,112</w:t>
            </w: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278,737</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4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57,612</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54,151</w:t>
            </w:r>
          </w:p>
        </w:tc>
        <w:tc>
          <w:tcPr>
            <w:tcW w:w="2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115,312</w:t>
            </w:r>
          </w:p>
        </w:tc>
        <w:tc>
          <w:tcPr>
            <w:tcW w:w="2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108,439</w:t>
            </w:r>
          </w:p>
        </w:tc>
        <w:tc>
          <w:tcPr>
            <w:tcW w:w="0" w:type="dxa"/>
            <w:vAlign w:val="bottom"/>
          </w:tcPr>
          <w:p>
            <w:pPr>
              <w:spacing w:after="0"/>
              <w:rPr>
                <w:sz w:val="1"/>
                <w:szCs w:val="1"/>
                <w:color w:val="auto"/>
              </w:rPr>
            </w:pPr>
          </w:p>
        </w:tc>
      </w:tr>
      <w:tr>
        <w:trPr>
          <w:trHeight w:val="237"/>
        </w:trPr>
        <w:tc>
          <w:tcPr>
            <w:tcW w:w="49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4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570,660</w:t>
            </w: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545,945</w:t>
            </w:r>
          </w:p>
        </w:tc>
        <w:tc>
          <w:tcPr>
            <w:tcW w:w="2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1,139,327</w:t>
            </w:r>
          </w:p>
        </w:tc>
        <w:tc>
          <w:tcPr>
            <w:tcW w:w="2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1,088,161</w:t>
            </w:r>
          </w:p>
        </w:tc>
        <w:tc>
          <w:tcPr>
            <w:tcW w:w="0" w:type="dxa"/>
            <w:vAlign w:val="bottom"/>
          </w:tcPr>
          <w:p>
            <w:pPr>
              <w:spacing w:after="0"/>
              <w:rPr>
                <w:sz w:val="1"/>
                <w:szCs w:val="1"/>
                <w:color w:val="auto"/>
              </w:rPr>
            </w:pPr>
          </w:p>
        </w:tc>
      </w:tr>
      <w:tr>
        <w:trPr>
          <w:trHeight w:val="891"/>
        </w:trPr>
        <w:tc>
          <w:tcPr>
            <w:tcW w:w="4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8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9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4. FAIR VALUE MEASURES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Fair value is defined as the price that would be received from selling an asset or paid to transfer a liability (i.e., the "exit price") in an orderly transaction between market participants at the measurement date. In determining fair value, the use of various valuation methodologies, including market, income and cost approaches are permissible. When pricing an asset or liability, the inputs to these valuation methodologies consider market comparable information, taking into account the principal or most advantageous market in which we would transact.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Hierarchy</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accounting guidance for fair value measurements establishes a three-level fair value hierarchy that requires an entity to maximize the use of observable inputs and minimize the use of unobservable inputs when measuring fair value. The hierarchy ranks the reliability of the inputs, based upon the lowest level of input that is significant to the fair value measurement, used to determine fair value. Our assessment of the significance of a particular input to the fair value measurement requires judgment and may affect its placement within the fair value hierarchy. We have categorized our assets and liabilities within the fair value hierarchy as follows: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Level 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applies to assets or liabilities for which there are quoted prices in active markets for identical assets or liabilities.</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Level 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applies to assets or liabilities for which there are inputs other than quoted prices that are observable for the asset or liability such as quoted prices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similar assets or liabilities in active markets; quoted prices for identical assets or liabilities in markets with insufficient volume or infrequent transactions (less active markets); or model-derived valuations in which significant inputs are observable or can be derived principally from, or corroborated by, observable market data.</w:t>
      </w:r>
    </w:p>
    <w:p>
      <w:pPr>
        <w:spacing w:after="0" w:line="139"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Level 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applies to assets or liabilities for which there are unobservable inputs to the valuation methodology that are significant to the measurement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fair value of the assets or liabilities.</w:t>
      </w:r>
    </w:p>
    <w:p>
      <w:pPr>
        <w:spacing w:after="0" w:line="1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assumptions used in determining fair value represent our best estimates, but these estimates involve inherent uncertainties and the application of our judgment. As a result, if factors change, our fair value estimates could be materially different in the future and may adversely affect our business and financial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Assets and Liabilities Measured at Fair Value on a Recurring Basis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tables show, by level within the fair value hierarchy, our assets and liabilities that are measured at fair value on a recurring basis as of February 28, 2025 and August 31, 2024. We did not have any transfers between levels of fair value measurements during the six months ended February 28, 2025 and the fiscal year ended August 31, 2024.</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700" w:type="dxa"/>
            <w:vAlign w:val="bottom"/>
            <w:gridSpan w:val="5"/>
          </w:tcPr>
          <w:p>
            <w:pPr>
              <w:jc w:val="center"/>
              <w:ind w:left="710"/>
              <w:spacing w:after="0"/>
              <w:rPr>
                <w:sz w:val="20"/>
                <w:szCs w:val="20"/>
                <w:color w:val="auto"/>
              </w:rPr>
            </w:pPr>
            <w:r>
              <w:rPr>
                <w:rFonts w:ascii="Times New Roman" w:cs="Times New Roman" w:eastAsia="Times New Roman" w:hAnsi="Times New Roman"/>
                <w:sz w:val="18"/>
                <w:szCs w:val="18"/>
                <w:color w:val="auto"/>
                <w:w w:val="98"/>
              </w:rPr>
              <w:t>Fair Value Measurements as of February 28, 2025</w:t>
            </w:r>
          </w:p>
        </w:tc>
        <w:tc>
          <w:tcPr>
            <w:tcW w:w="1100" w:type="dxa"/>
            <w:vAlign w:val="bottom"/>
          </w:tcPr>
          <w:p>
            <w:pPr>
              <w:spacing w:after="0"/>
              <w:rPr>
                <w:sz w:val="20"/>
                <w:szCs w:val="20"/>
                <w:color w:val="auto"/>
              </w:rPr>
            </w:pPr>
          </w:p>
        </w:tc>
      </w:tr>
      <w:tr>
        <w:trPr>
          <w:trHeight w:val="270"/>
        </w:trPr>
        <w:tc>
          <w:tcPr>
            <w:tcW w:w="20" w:type="dxa"/>
            <w:vAlign w:val="bottom"/>
            <w:tcBorders>
              <w:bottom w:val="single" w:sz="8" w:color="auto"/>
            </w:tcBorders>
          </w:tcPr>
          <w:p>
            <w:pPr>
              <w:spacing w:after="0"/>
              <w:rPr>
                <w:sz w:val="23"/>
                <w:szCs w:val="23"/>
                <w:color w:val="auto"/>
              </w:rPr>
            </w:pPr>
          </w:p>
        </w:tc>
        <w:tc>
          <w:tcPr>
            <w:tcW w:w="51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Level 1</w:t>
            </w:r>
          </w:p>
        </w:tc>
        <w:tc>
          <w:tcPr>
            <w:tcW w:w="32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color w:val="auto"/>
              </w:rPr>
              <w:t>Level 2</w:t>
            </w:r>
          </w:p>
        </w:tc>
        <w:tc>
          <w:tcPr>
            <w:tcW w:w="32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Level 3</w:t>
            </w:r>
          </w:p>
        </w:tc>
        <w:tc>
          <w:tcPr>
            <w:tcW w:w="11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Total</w:t>
            </w:r>
          </w:p>
        </w:tc>
      </w:tr>
      <w:tr>
        <w:trPr>
          <w:trHeight w:val="203"/>
        </w:trPr>
        <w:tc>
          <w:tcPr>
            <w:tcW w:w="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w w:val="97"/>
              </w:rPr>
              <w:t>Assets</w:t>
            </w:r>
          </w:p>
        </w:tc>
        <w:tc>
          <w:tcPr>
            <w:tcW w:w="4640" w:type="dxa"/>
            <w:vAlign w:val="bottom"/>
            <w:tcBorders>
              <w:bottom w:val="single" w:sz="8" w:color="CCEEFF"/>
            </w:tcBorders>
            <w:gridSpan w:val="2"/>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6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r>
      <w:tr>
        <w:trPr>
          <w:trHeight w:val="270"/>
        </w:trPr>
        <w:tc>
          <w:tcPr>
            <w:tcW w:w="20" w:type="dxa"/>
            <w:vAlign w:val="bottom"/>
          </w:tcPr>
          <w:p>
            <w:pPr>
              <w:spacing w:after="0"/>
              <w:rPr>
                <w:sz w:val="23"/>
                <w:szCs w:val="23"/>
                <w:color w:val="auto"/>
              </w:rPr>
            </w:pPr>
          </w:p>
        </w:tc>
        <w:tc>
          <w:tcPr>
            <w:tcW w:w="5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Money market funds</w:t>
            </w:r>
            <w:r>
              <w:rPr>
                <w:rFonts w:ascii="Times New Roman" w:cs="Times New Roman" w:eastAsia="Times New Roman" w:hAnsi="Times New Roman"/>
                <w:sz w:val="23"/>
                <w:szCs w:val="23"/>
                <w:color w:val="auto"/>
                <w:vertAlign w:val="superscript"/>
              </w:rPr>
              <w:t>(1)</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49,022</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90"/>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bscript"/>
              </w:rPr>
              <w:t>$</w:t>
            </w:r>
          </w:p>
        </w:tc>
        <w:tc>
          <w:tcPr>
            <w:tcW w:w="1660" w:type="dxa"/>
            <w:vAlign w:val="bottom"/>
          </w:tcPr>
          <w:p>
            <w:pPr>
              <w:ind w:left="980"/>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49,022</w:t>
            </w:r>
          </w:p>
        </w:tc>
      </w:tr>
      <w:tr>
        <w:trPr>
          <w:trHeight w:val="270"/>
        </w:trPr>
        <w:tc>
          <w:tcPr>
            <w:tcW w:w="20" w:type="dxa"/>
            <w:vAlign w:val="bottom"/>
            <w:shd w:val="clear" w:color="auto" w:fill="CCEEFF"/>
          </w:tcPr>
          <w:p>
            <w:pPr>
              <w:spacing w:after="0"/>
              <w:rPr>
                <w:sz w:val="23"/>
                <w:szCs w:val="23"/>
                <w:color w:val="auto"/>
              </w:rPr>
            </w:pPr>
          </w:p>
        </w:tc>
        <w:tc>
          <w:tcPr>
            <w:tcW w:w="5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Mutual funds</w:t>
            </w:r>
            <w:r>
              <w:rPr>
                <w:rFonts w:ascii="Times New Roman" w:cs="Times New Roman" w:eastAsia="Times New Roman" w:hAnsi="Times New Roman"/>
                <w:sz w:val="23"/>
                <w:szCs w:val="23"/>
                <w:color w:val="auto"/>
                <w:vertAlign w:val="superscript"/>
              </w:rPr>
              <w:t>(2)</w:t>
            </w: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8,471</w:t>
            </w:r>
          </w:p>
        </w:tc>
        <w:tc>
          <w:tcPr>
            <w:tcW w:w="320" w:type="dxa"/>
            <w:vAlign w:val="bottom"/>
            <w:shd w:val="clear" w:color="auto" w:fill="CCEEFF"/>
          </w:tcPr>
          <w:p>
            <w:pPr>
              <w:spacing w:after="0"/>
              <w:rPr>
                <w:sz w:val="23"/>
                <w:szCs w:val="23"/>
                <w:color w:val="auto"/>
              </w:rPr>
            </w:pPr>
          </w:p>
        </w:tc>
        <w:tc>
          <w:tcPr>
            <w:tcW w:w="166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8,471</w:t>
            </w:r>
          </w:p>
        </w:tc>
      </w:tr>
      <w:tr>
        <w:trPr>
          <w:trHeight w:val="270"/>
        </w:trPr>
        <w:tc>
          <w:tcPr>
            <w:tcW w:w="20" w:type="dxa"/>
            <w:vAlign w:val="bottom"/>
            <w:tcBorders>
              <w:bottom w:val="single" w:sz="8" w:color="CCEEFF"/>
            </w:tcBorders>
          </w:tcPr>
          <w:p>
            <w:pPr>
              <w:spacing w:after="0"/>
              <w:rPr>
                <w:sz w:val="23"/>
                <w:szCs w:val="23"/>
                <w:color w:val="auto"/>
              </w:rPr>
            </w:pPr>
          </w:p>
        </w:tc>
        <w:tc>
          <w:tcPr>
            <w:tcW w:w="512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Derivative instruments</w:t>
            </w:r>
            <w:r>
              <w:rPr>
                <w:rFonts w:ascii="Times New Roman" w:cs="Times New Roman" w:eastAsia="Times New Roman" w:hAnsi="Times New Roman"/>
                <w:sz w:val="23"/>
                <w:szCs w:val="23"/>
                <w:color w:val="auto"/>
                <w:vertAlign w:val="superscript"/>
              </w:rPr>
              <w:t>(3)</w:t>
            </w:r>
          </w:p>
        </w:tc>
        <w:tc>
          <w:tcPr>
            <w:tcW w:w="3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20" w:type="dxa"/>
            <w:vAlign w:val="bottom"/>
            <w:shd w:val="clear" w:color="auto" w:fill="CCEEFF"/>
          </w:tcPr>
          <w:p>
            <w:pPr>
              <w:spacing w:after="0"/>
              <w:rPr>
                <w:sz w:val="19"/>
                <w:szCs w:val="19"/>
                <w:color w:val="auto"/>
              </w:rPr>
            </w:pPr>
          </w:p>
        </w:tc>
        <w:tc>
          <w:tcPr>
            <w:tcW w:w="51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i w:val="1"/>
                <w:iCs w:val="1"/>
                <w:color w:val="auto"/>
              </w:rPr>
              <w:t>Total assets measured at fair value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49,022</w:t>
            </w:r>
          </w:p>
        </w:tc>
        <w:tc>
          <w:tcPr>
            <w:tcW w:w="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8,475</w:t>
            </w:r>
          </w:p>
        </w:tc>
        <w:tc>
          <w:tcPr>
            <w:tcW w:w="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57,497</w:t>
            </w:r>
          </w:p>
        </w:tc>
      </w:tr>
      <w:tr>
        <w:trPr>
          <w:trHeight w:val="257"/>
        </w:trPr>
        <w:tc>
          <w:tcPr>
            <w:tcW w:w="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3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w w:val="98"/>
              </w:rPr>
              <w:t>Liabilities</w:t>
            </w:r>
          </w:p>
        </w:tc>
        <w:tc>
          <w:tcPr>
            <w:tcW w:w="43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r>
      <w:tr>
        <w:trPr>
          <w:trHeight w:val="270"/>
        </w:trPr>
        <w:tc>
          <w:tcPr>
            <w:tcW w:w="20" w:type="dxa"/>
            <w:vAlign w:val="bottom"/>
          </w:tcPr>
          <w:p>
            <w:pPr>
              <w:spacing w:after="0"/>
              <w:rPr>
                <w:sz w:val="23"/>
                <w:szCs w:val="23"/>
                <w:color w:val="auto"/>
              </w:rPr>
            </w:pPr>
          </w:p>
        </w:tc>
        <w:tc>
          <w:tcPr>
            <w:tcW w:w="5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Derivative instruments</w:t>
            </w:r>
            <w:r>
              <w:rPr>
                <w:rFonts w:ascii="Times New Roman" w:cs="Times New Roman" w:eastAsia="Times New Roman" w:hAnsi="Times New Roman"/>
                <w:sz w:val="23"/>
                <w:szCs w:val="23"/>
                <w:color w:val="auto"/>
                <w:vertAlign w:val="superscript"/>
              </w:rPr>
              <w:t>(3)</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2,489</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ind w:left="980"/>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2,489</w:t>
            </w:r>
          </w:p>
        </w:tc>
      </w:tr>
      <w:tr>
        <w:trPr>
          <w:trHeight w:val="230"/>
        </w:trPr>
        <w:tc>
          <w:tcPr>
            <w:tcW w:w="20" w:type="dxa"/>
            <w:vAlign w:val="bottom"/>
            <w:shd w:val="clear" w:color="auto" w:fill="CCEEFF"/>
          </w:tcPr>
          <w:p>
            <w:pPr>
              <w:spacing w:after="0"/>
              <w:rPr>
                <w:sz w:val="19"/>
                <w:szCs w:val="19"/>
                <w:color w:val="auto"/>
              </w:rPr>
            </w:pPr>
          </w:p>
        </w:tc>
        <w:tc>
          <w:tcPr>
            <w:tcW w:w="5120" w:type="dxa"/>
            <w:vAlign w:val="bottom"/>
            <w:gridSpan w:val="3"/>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Contingent liabilities</w:t>
            </w:r>
            <w:r>
              <w:rPr>
                <w:rFonts w:ascii="Times New Roman" w:cs="Times New Roman" w:eastAsia="Times New Roman" w:hAnsi="Times New Roman"/>
                <w:sz w:val="23"/>
                <w:szCs w:val="23"/>
                <w:color w:val="auto"/>
                <w:vertAlign w:val="superscript"/>
              </w:rPr>
              <w:t>(4)</w:t>
            </w: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26,158</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26,158</w:t>
            </w:r>
          </w:p>
        </w:tc>
      </w:tr>
      <w:tr>
        <w:trPr>
          <w:trHeight w:val="228"/>
        </w:trPr>
        <w:tc>
          <w:tcPr>
            <w:tcW w:w="20" w:type="dxa"/>
            <w:vAlign w:val="bottom"/>
          </w:tcPr>
          <w:p>
            <w:pPr>
              <w:spacing w:after="0"/>
              <w:rPr>
                <w:sz w:val="19"/>
                <w:szCs w:val="19"/>
                <w:color w:val="auto"/>
              </w:rPr>
            </w:pPr>
          </w:p>
        </w:tc>
        <w:tc>
          <w:tcPr>
            <w:tcW w:w="5120" w:type="dxa"/>
            <w:vAlign w:val="bottom"/>
            <w:gridSpan w:val="3"/>
          </w:tcPr>
          <w:p>
            <w:pPr>
              <w:ind w:left="120"/>
              <w:spacing w:after="0"/>
              <w:rPr>
                <w:sz w:val="20"/>
                <w:szCs w:val="20"/>
                <w:color w:val="auto"/>
              </w:rPr>
            </w:pPr>
            <w:r>
              <w:rPr>
                <w:rFonts w:ascii="Times New Roman" w:cs="Times New Roman" w:eastAsia="Times New Roman" w:hAnsi="Times New Roman"/>
                <w:sz w:val="18"/>
                <w:szCs w:val="18"/>
                <w:i w:val="1"/>
                <w:iCs w:val="1"/>
                <w:color w:val="auto"/>
              </w:rPr>
              <w:t>Total liabilities measured at fair value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2,489</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26,158 $</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28,647</w:t>
            </w:r>
          </w:p>
        </w:tc>
      </w:tr>
      <w:tr>
        <w:trPr>
          <w:trHeight w:val="765"/>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700" w:type="dxa"/>
            <w:vAlign w:val="bottom"/>
            <w:gridSpan w:val="5"/>
          </w:tcPr>
          <w:p>
            <w:pPr>
              <w:jc w:val="center"/>
              <w:ind w:left="710"/>
              <w:spacing w:after="0"/>
              <w:rPr>
                <w:sz w:val="20"/>
                <w:szCs w:val="20"/>
                <w:color w:val="auto"/>
              </w:rPr>
            </w:pPr>
            <w:r>
              <w:rPr>
                <w:rFonts w:ascii="Times New Roman" w:cs="Times New Roman" w:eastAsia="Times New Roman" w:hAnsi="Times New Roman"/>
                <w:sz w:val="18"/>
                <w:szCs w:val="18"/>
                <w:color w:val="auto"/>
                <w:w w:val="99"/>
              </w:rPr>
              <w:t>Fair Value Measurements as of August 31, 2024</w:t>
            </w:r>
          </w:p>
        </w:tc>
        <w:tc>
          <w:tcPr>
            <w:tcW w:w="1100" w:type="dxa"/>
            <w:vAlign w:val="bottom"/>
          </w:tcPr>
          <w:p>
            <w:pPr>
              <w:spacing w:after="0"/>
              <w:rPr>
                <w:sz w:val="24"/>
                <w:szCs w:val="24"/>
                <w:color w:val="auto"/>
              </w:rPr>
            </w:pPr>
          </w:p>
        </w:tc>
      </w:tr>
      <w:tr>
        <w:trPr>
          <w:trHeight w:val="270"/>
        </w:trPr>
        <w:tc>
          <w:tcPr>
            <w:tcW w:w="20" w:type="dxa"/>
            <w:vAlign w:val="bottom"/>
            <w:tcBorders>
              <w:bottom w:val="single" w:sz="8" w:color="auto"/>
            </w:tcBorders>
          </w:tcPr>
          <w:p>
            <w:pPr>
              <w:spacing w:after="0"/>
              <w:rPr>
                <w:sz w:val="23"/>
                <w:szCs w:val="23"/>
                <w:color w:val="auto"/>
              </w:rPr>
            </w:pPr>
          </w:p>
        </w:tc>
        <w:tc>
          <w:tcPr>
            <w:tcW w:w="51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Level 1</w:t>
            </w:r>
          </w:p>
        </w:tc>
        <w:tc>
          <w:tcPr>
            <w:tcW w:w="32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color w:val="auto"/>
              </w:rPr>
              <w:t>Level 2</w:t>
            </w:r>
          </w:p>
        </w:tc>
        <w:tc>
          <w:tcPr>
            <w:tcW w:w="32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Level 3</w:t>
            </w:r>
          </w:p>
        </w:tc>
        <w:tc>
          <w:tcPr>
            <w:tcW w:w="11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Total</w:t>
            </w:r>
          </w:p>
        </w:tc>
      </w:tr>
      <w:tr>
        <w:trPr>
          <w:trHeight w:val="203"/>
        </w:trPr>
        <w:tc>
          <w:tcPr>
            <w:tcW w:w="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w w:val="97"/>
              </w:rPr>
              <w:t>Assets</w:t>
            </w:r>
          </w:p>
        </w:tc>
        <w:tc>
          <w:tcPr>
            <w:tcW w:w="4640" w:type="dxa"/>
            <w:vAlign w:val="bottom"/>
            <w:tcBorders>
              <w:bottom w:val="single" w:sz="8" w:color="CCEEFF"/>
            </w:tcBorders>
            <w:gridSpan w:val="2"/>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6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r>
      <w:tr>
        <w:trPr>
          <w:trHeight w:val="270"/>
        </w:trPr>
        <w:tc>
          <w:tcPr>
            <w:tcW w:w="20" w:type="dxa"/>
            <w:vAlign w:val="bottom"/>
          </w:tcPr>
          <w:p>
            <w:pPr>
              <w:spacing w:after="0"/>
              <w:rPr>
                <w:sz w:val="23"/>
                <w:szCs w:val="23"/>
                <w:color w:val="auto"/>
              </w:rPr>
            </w:pPr>
          </w:p>
        </w:tc>
        <w:tc>
          <w:tcPr>
            <w:tcW w:w="5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Money market funds</w:t>
            </w:r>
            <w:r>
              <w:rPr>
                <w:rFonts w:ascii="Times New Roman" w:cs="Times New Roman" w:eastAsia="Times New Roman" w:hAnsi="Times New Roman"/>
                <w:sz w:val="23"/>
                <w:szCs w:val="23"/>
                <w:color w:val="auto"/>
                <w:vertAlign w:val="superscript"/>
              </w:rPr>
              <w:t>(1)</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129,635</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90"/>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 xml:space="preserve"> $</w:t>
            </w:r>
          </w:p>
        </w:tc>
        <w:tc>
          <w:tcPr>
            <w:tcW w:w="1660" w:type="dxa"/>
            <w:vAlign w:val="bottom"/>
          </w:tcPr>
          <w:p>
            <w:pPr>
              <w:ind w:left="980"/>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129,635</w:t>
            </w:r>
          </w:p>
        </w:tc>
      </w:tr>
      <w:tr>
        <w:trPr>
          <w:trHeight w:val="270"/>
        </w:trPr>
        <w:tc>
          <w:tcPr>
            <w:tcW w:w="20" w:type="dxa"/>
            <w:vAlign w:val="bottom"/>
            <w:shd w:val="clear" w:color="auto" w:fill="CCEEFF"/>
          </w:tcPr>
          <w:p>
            <w:pPr>
              <w:spacing w:after="0"/>
              <w:rPr>
                <w:sz w:val="23"/>
                <w:szCs w:val="23"/>
                <w:color w:val="auto"/>
              </w:rPr>
            </w:pPr>
          </w:p>
        </w:tc>
        <w:tc>
          <w:tcPr>
            <w:tcW w:w="5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Mutual funds</w:t>
            </w:r>
            <w:r>
              <w:rPr>
                <w:rFonts w:ascii="Times New Roman" w:cs="Times New Roman" w:eastAsia="Times New Roman" w:hAnsi="Times New Roman"/>
                <w:sz w:val="23"/>
                <w:szCs w:val="23"/>
                <w:color w:val="auto"/>
                <w:vertAlign w:val="superscript"/>
              </w:rPr>
              <w:t>(2)</w:t>
            </w: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69,619</w:t>
            </w:r>
          </w:p>
        </w:tc>
        <w:tc>
          <w:tcPr>
            <w:tcW w:w="320" w:type="dxa"/>
            <w:vAlign w:val="bottom"/>
            <w:shd w:val="clear" w:color="auto" w:fill="CCEEFF"/>
          </w:tcPr>
          <w:p>
            <w:pPr>
              <w:spacing w:after="0"/>
              <w:rPr>
                <w:sz w:val="23"/>
                <w:szCs w:val="23"/>
                <w:color w:val="auto"/>
              </w:rPr>
            </w:pPr>
          </w:p>
        </w:tc>
        <w:tc>
          <w:tcPr>
            <w:tcW w:w="166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69,619</w:t>
            </w:r>
          </w:p>
        </w:tc>
      </w:tr>
      <w:tr>
        <w:trPr>
          <w:trHeight w:val="270"/>
        </w:trPr>
        <w:tc>
          <w:tcPr>
            <w:tcW w:w="20" w:type="dxa"/>
            <w:vAlign w:val="bottom"/>
            <w:tcBorders>
              <w:bottom w:val="single" w:sz="8" w:color="CCEEFF"/>
            </w:tcBorders>
          </w:tcPr>
          <w:p>
            <w:pPr>
              <w:spacing w:after="0"/>
              <w:rPr>
                <w:sz w:val="23"/>
                <w:szCs w:val="23"/>
                <w:color w:val="auto"/>
              </w:rPr>
            </w:pPr>
          </w:p>
        </w:tc>
        <w:tc>
          <w:tcPr>
            <w:tcW w:w="512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Derivative instruments</w:t>
            </w:r>
            <w:r>
              <w:rPr>
                <w:rFonts w:ascii="Times New Roman" w:cs="Times New Roman" w:eastAsia="Times New Roman" w:hAnsi="Times New Roman"/>
                <w:sz w:val="23"/>
                <w:szCs w:val="23"/>
                <w:color w:val="auto"/>
                <w:vertAlign w:val="superscript"/>
              </w:rPr>
              <w:t>(3)</w:t>
            </w:r>
          </w:p>
        </w:tc>
        <w:tc>
          <w:tcPr>
            <w:tcW w:w="3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2,619</w:t>
            </w:r>
          </w:p>
        </w:tc>
        <w:tc>
          <w:tcPr>
            <w:tcW w:w="32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2,619</w:t>
            </w:r>
          </w:p>
        </w:tc>
      </w:tr>
      <w:tr>
        <w:trPr>
          <w:trHeight w:val="223"/>
        </w:trPr>
        <w:tc>
          <w:tcPr>
            <w:tcW w:w="20" w:type="dxa"/>
            <w:vAlign w:val="bottom"/>
            <w:shd w:val="clear" w:color="auto" w:fill="CCEEFF"/>
          </w:tcPr>
          <w:p>
            <w:pPr>
              <w:spacing w:after="0"/>
              <w:rPr>
                <w:sz w:val="19"/>
                <w:szCs w:val="19"/>
                <w:color w:val="auto"/>
              </w:rPr>
            </w:pPr>
          </w:p>
        </w:tc>
        <w:tc>
          <w:tcPr>
            <w:tcW w:w="51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i w:val="1"/>
                <w:iCs w:val="1"/>
                <w:color w:val="auto"/>
              </w:rPr>
              <w:t>Total assets measured at fair value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129,635</w:t>
            </w:r>
          </w:p>
        </w:tc>
        <w:tc>
          <w:tcPr>
            <w:tcW w:w="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72,238</w:t>
            </w:r>
          </w:p>
        </w:tc>
        <w:tc>
          <w:tcPr>
            <w:tcW w:w="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201,873</w:t>
            </w:r>
          </w:p>
        </w:tc>
      </w:tr>
      <w:tr>
        <w:trPr>
          <w:trHeight w:val="256"/>
        </w:trPr>
        <w:tc>
          <w:tcPr>
            <w:tcW w:w="20" w:type="dxa"/>
            <w:vAlign w:val="bottom"/>
          </w:tcPr>
          <w:p>
            <w:pPr>
              <w:spacing w:after="0"/>
              <w:rPr>
                <w:sz w:val="22"/>
                <w:szCs w:val="22"/>
                <w:color w:val="auto"/>
              </w:rPr>
            </w:pPr>
          </w:p>
        </w:tc>
        <w:tc>
          <w:tcPr>
            <w:tcW w:w="5120" w:type="dxa"/>
            <w:vAlign w:val="bottom"/>
            <w:gridSpan w:val="3"/>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w w:val="98"/>
              </w:rPr>
              <w:t>Liabilities</w:t>
            </w:r>
          </w:p>
        </w:tc>
        <w:tc>
          <w:tcPr>
            <w:tcW w:w="43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r>
      <w:tr>
        <w:trPr>
          <w:trHeight w:val="270"/>
        </w:trPr>
        <w:tc>
          <w:tcPr>
            <w:tcW w:w="20" w:type="dxa"/>
            <w:vAlign w:val="bottom"/>
          </w:tcPr>
          <w:p>
            <w:pPr>
              <w:spacing w:after="0"/>
              <w:rPr>
                <w:sz w:val="23"/>
                <w:szCs w:val="23"/>
                <w:color w:val="auto"/>
              </w:rPr>
            </w:pPr>
          </w:p>
        </w:tc>
        <w:tc>
          <w:tcPr>
            <w:tcW w:w="5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Derivative instruments</w:t>
            </w:r>
            <w:r>
              <w:rPr>
                <w:rFonts w:ascii="Times New Roman" w:cs="Times New Roman" w:eastAsia="Times New Roman" w:hAnsi="Times New Roman"/>
                <w:sz w:val="23"/>
                <w:szCs w:val="23"/>
                <w:color w:val="auto"/>
                <w:vertAlign w:val="superscript"/>
              </w:rPr>
              <w:t>(3)</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ind w:left="98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270"/>
        </w:trPr>
        <w:tc>
          <w:tcPr>
            <w:tcW w:w="20" w:type="dxa"/>
            <w:vAlign w:val="bottom"/>
            <w:shd w:val="clear" w:color="auto" w:fill="CCEEFF"/>
          </w:tcPr>
          <w:p>
            <w:pPr>
              <w:spacing w:after="0"/>
              <w:rPr>
                <w:sz w:val="23"/>
                <w:szCs w:val="23"/>
                <w:color w:val="auto"/>
              </w:rPr>
            </w:pPr>
          </w:p>
        </w:tc>
        <w:tc>
          <w:tcPr>
            <w:tcW w:w="5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Contingent liability</w:t>
            </w:r>
            <w:r>
              <w:rPr>
                <w:rFonts w:ascii="Times New Roman" w:cs="Times New Roman" w:eastAsia="Times New Roman" w:hAnsi="Times New Roman"/>
                <w:sz w:val="23"/>
                <w:szCs w:val="23"/>
                <w:color w:val="auto"/>
                <w:vertAlign w:val="superscript"/>
              </w:rPr>
              <w:t>(4)</w:t>
            </w:r>
          </w:p>
        </w:tc>
        <w:tc>
          <w:tcPr>
            <w:tcW w:w="30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CEEFF"/>
          </w:tcPr>
          <w:p>
            <w:pPr>
              <w:spacing w:after="0"/>
              <w:rPr>
                <w:sz w:val="23"/>
                <w:szCs w:val="23"/>
                <w:color w:val="auto"/>
              </w:rPr>
            </w:pPr>
          </w:p>
        </w:tc>
        <w:tc>
          <w:tcPr>
            <w:tcW w:w="1660" w:type="dxa"/>
            <w:vAlign w:val="bottom"/>
            <w:tcBorders>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4,193</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4,193</w:t>
            </w:r>
          </w:p>
        </w:tc>
      </w:tr>
      <w:tr>
        <w:trPr>
          <w:trHeight w:val="228"/>
        </w:trPr>
        <w:tc>
          <w:tcPr>
            <w:tcW w:w="20" w:type="dxa"/>
            <w:vAlign w:val="bottom"/>
          </w:tcPr>
          <w:p>
            <w:pPr>
              <w:spacing w:after="0"/>
              <w:rPr>
                <w:sz w:val="19"/>
                <w:szCs w:val="19"/>
                <w:color w:val="auto"/>
              </w:rPr>
            </w:pPr>
          </w:p>
        </w:tc>
        <w:tc>
          <w:tcPr>
            <w:tcW w:w="5120" w:type="dxa"/>
            <w:vAlign w:val="bottom"/>
            <w:gridSpan w:val="3"/>
          </w:tcPr>
          <w:p>
            <w:pPr>
              <w:ind w:left="120"/>
              <w:spacing w:after="0"/>
              <w:rPr>
                <w:sz w:val="20"/>
                <w:szCs w:val="20"/>
                <w:color w:val="auto"/>
              </w:rPr>
            </w:pPr>
            <w:r>
              <w:rPr>
                <w:rFonts w:ascii="Times New Roman" w:cs="Times New Roman" w:eastAsia="Times New Roman" w:hAnsi="Times New Roman"/>
                <w:sz w:val="18"/>
                <w:szCs w:val="18"/>
                <w:i w:val="1"/>
                <w:iCs w:val="1"/>
                <w:color w:val="auto"/>
              </w:rPr>
              <w:t>Total liabilities measured at fair value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4,193 $</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4,443</w:t>
            </w:r>
          </w:p>
        </w:tc>
      </w:tr>
    </w:tbl>
    <w:p>
      <w:pPr>
        <w:spacing w:after="0" w:line="184" w:lineRule="exact"/>
        <w:rPr>
          <w:sz w:val="20"/>
          <w:szCs w:val="20"/>
          <w:color w:val="auto"/>
        </w:rPr>
      </w:pPr>
    </w:p>
    <w:p>
      <w:pPr>
        <w:ind w:left="260" w:hanging="252"/>
        <w:spacing w:after="0" w:line="280" w:lineRule="auto"/>
        <w:tabs>
          <w:tab w:leader="none" w:pos="249"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money market funds are readily convertible into cash. The net asset value of each fund on the last day of the reporting period is used to determine its fair value. Our money market funds are included in Cash and cash equivalents within the Consolidated Balance Sheets.</w:t>
      </w:r>
    </w:p>
    <w:p>
      <w:pPr>
        <w:spacing w:after="0" w:line="56" w:lineRule="exact"/>
        <w:rPr>
          <w:rFonts w:ascii="Times New Roman" w:cs="Times New Roman" w:eastAsia="Times New Roman" w:hAnsi="Times New Roman"/>
          <w:sz w:val="16"/>
          <w:szCs w:val="16"/>
          <w:color w:val="auto"/>
        </w:rPr>
      </w:pPr>
    </w:p>
    <w:p>
      <w:pPr>
        <w:jc w:val="both"/>
        <w:ind w:left="260" w:hanging="252"/>
        <w:spacing w:after="0" w:line="272" w:lineRule="auto"/>
        <w:tabs>
          <w:tab w:leader="none" w:pos="246"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mutual funds' fair value is based on the fair value of the underlying investments held by the mutual funds, allocated to each share of the mutual fund using a net asset value approach. The fair value of each underlying investment is based on observable inputs. Our mutual funds are included in Investments within the Consolidated Balance Sheets.</w:t>
      </w:r>
    </w:p>
    <w:p>
      <w:pPr>
        <w:spacing w:after="0" w:line="76" w:lineRule="exact"/>
        <w:rPr>
          <w:rFonts w:ascii="Times New Roman" w:cs="Times New Roman" w:eastAsia="Times New Roman" w:hAnsi="Times New Roman"/>
          <w:sz w:val="16"/>
          <w:szCs w:val="16"/>
          <w:color w:val="auto"/>
        </w:rPr>
      </w:pPr>
    </w:p>
    <w:p>
      <w:pPr>
        <w:jc w:val="both"/>
        <w:ind w:left="260" w:hanging="252"/>
        <w:spacing w:after="0" w:line="260" w:lineRule="auto"/>
        <w:tabs>
          <w:tab w:leader="none" w:pos="25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Our derivative instruments as of February 28, 2025 included our foreign exchange forward contracts and, as of August 31, 2024, included our foreign exchange forward contracts and our 2024 Swap Agreement. We utilized the income approach to measure fair value for our foreign exchange forward contracts. The income approach uses pricing models that rely on market observable inputs such as spot, forward and interest rates, as well as credit default swap spreads. To estimate fair value for our interest rate swap agreement, we utilized a present value of future cash flows, leveraging a model-derived valuation that uses observable inputs such as interest rate yield curves. Refer to Note 5, </w:t>
      </w:r>
      <w:r>
        <w:rPr>
          <w:rFonts w:ascii="Times New Roman" w:cs="Times New Roman" w:eastAsia="Times New Roman" w:hAnsi="Times New Roman"/>
          <w:sz w:val="16"/>
          <w:szCs w:val="16"/>
          <w:i w:val="1"/>
          <w:iCs w:val="1"/>
          <w:color w:val="auto"/>
        </w:rPr>
        <w:t>Derivative Instruments</w:t>
      </w:r>
      <w:r>
        <w:rPr>
          <w:rFonts w:ascii="Times New Roman" w:cs="Times New Roman" w:eastAsia="Times New Roman" w:hAnsi="Times New Roman"/>
          <w:sz w:val="16"/>
          <w:szCs w:val="16"/>
          <w:color w:val="auto"/>
        </w:rPr>
        <w:t xml:space="preserve"> for the definition of the 2024 Swap Agreement and for more information on our derivative instruments and their classification within the Consolidated Balance Sheets.</w:t>
      </w:r>
    </w:p>
    <w:p>
      <w:pPr>
        <w:spacing w:after="0" w:line="73" w:lineRule="exact"/>
        <w:rPr>
          <w:rFonts w:ascii="Times New Roman" w:cs="Times New Roman" w:eastAsia="Times New Roman" w:hAnsi="Times New Roman"/>
          <w:sz w:val="16"/>
          <w:szCs w:val="16"/>
          <w:color w:val="auto"/>
        </w:rPr>
      </w:pPr>
    </w:p>
    <w:p>
      <w:pPr>
        <w:jc w:val="both"/>
        <w:ind w:left="260" w:hanging="252"/>
        <w:spacing w:after="0" w:line="258" w:lineRule="auto"/>
        <w:tabs>
          <w:tab w:leader="none" w:pos="2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contingent liabilities resulted from the acquisitions of Liquid Holdings LLC ("LiquidityBook") and Platform Group Limited ("Irwin") during fiscal 2025 and the acquisition of another business during fiscal 2023. These liabilities reflect the present value of potential future payments that are contingent upon the achievement of certain specified milestones. The acquisition date fair value of the contingent liabilities for fiscal 2025 and 2023 was $21.6 million and $7.9 million, respectively, and was valued using a scenario-based method. This method incorporates unobservable inputs and assumptions made by management, including the probability of achieving specified milestones, expected time until payment and the discount rate. The fair value of the contingent liabilities is reduced by milestone achievement and remeasured each reporting period until the contingencies are resolved, with any changes in fair value recorded in SG&amp;A within the Consolidated Statements of Income. Aside from milestone achievement, the remaining changes in the fair value of the contingent liabilities from their respective acquisition dates through February 28, 2025 were driven by the passage of time, with no</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60"/>
        <w:spacing w:after="0" w:line="283" w:lineRule="auto"/>
        <w:rPr>
          <w:sz w:val="20"/>
          <w:szCs w:val="20"/>
          <w:color w:val="auto"/>
        </w:rPr>
      </w:pPr>
      <w:r>
        <w:rPr>
          <w:rFonts w:ascii="Times New Roman" w:cs="Times New Roman" w:eastAsia="Times New Roman" w:hAnsi="Times New Roman"/>
          <w:sz w:val="16"/>
          <w:szCs w:val="16"/>
          <w:color w:val="auto"/>
        </w:rPr>
        <w:t xml:space="preserve">changes made to key assumptions used in our fair value estimates. Refer to Note 6, </w:t>
      </w:r>
      <w:r>
        <w:rPr>
          <w:rFonts w:ascii="Times New Roman" w:cs="Times New Roman" w:eastAsia="Times New Roman" w:hAnsi="Times New Roman"/>
          <w:sz w:val="16"/>
          <w:szCs w:val="16"/>
          <w:i w:val="1"/>
          <w:iCs w:val="1"/>
          <w:color w:val="auto"/>
        </w:rPr>
        <w:t>Acquisitions</w:t>
      </w:r>
      <w:r>
        <w:rPr>
          <w:rFonts w:ascii="Times New Roman" w:cs="Times New Roman" w:eastAsia="Times New Roman" w:hAnsi="Times New Roman"/>
          <w:sz w:val="16"/>
          <w:szCs w:val="16"/>
          <w:color w:val="auto"/>
        </w:rPr>
        <w:t xml:space="preserve"> for more information on the LiquidityBook and Irwin transactions and their respective contingent liabilities.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Assets and Liabilities Measured at Fair Value on a Non-Recurring Basis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Assets that are measured at fair value on a non-recurring basis primarily include our PPE, lease right-of-use ("ROU") assets, goodwill and intangible assets. These assets are assessed for impairment whenever events or circumstances indicate their carrying value may not be fully recoverable, and at least annually for goodwill. The fair values of these non-financial assets are determined based on valuation techniques using the best information available, and may include quoted market prices, market comparable information and discounted cash flow projections.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 Assets and Liabilities Measured at Fair Value for Disclosure Purposes </w:t>
      </w:r>
      <w:r>
        <w:rPr>
          <w:rFonts w:ascii="Times New Roman" w:cs="Times New Roman" w:eastAsia="Times New Roman" w:hAnsi="Times New Roman"/>
          <w:sz w:val="18"/>
          <w:szCs w:val="18"/>
          <w:color w:val="auto"/>
        </w:rPr>
        <w:t>O</w:t>
      </w:r>
      <w:r>
        <w:rPr>
          <w:rFonts w:ascii="Times New Roman" w:cs="Times New Roman" w:eastAsia="Times New Roman" w:hAnsi="Times New Roman"/>
          <w:sz w:val="18"/>
          <w:szCs w:val="18"/>
          <w:b w:val="1"/>
          <w:bCs w:val="1"/>
          <w:i w:val="1"/>
          <w:iCs w:val="1"/>
          <w:color w:val="auto"/>
        </w:rPr>
        <w:t>nly</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elected not to carry our debt, which includes our Current debt and Long-term debt, at fair value on the Consolidated Balance Sheets. The carrying value of our debt is net of related unamortized discounts and debt issuance costs.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Our debt is comprised of our Senior Notes and 2022 Credit Facilities. Our Senior Notes are publicly traded; therefore, the fair value of our Senior Notes is estimated based on quoted prices in active markets as of the reporting date, which are considered Level 1 inputs. The fair value of our 2022 Credit Facilities is estimated based on quoted market prices for similar instruments, adjusted for unobservable inputs to ensure comparability to our investment rating, maturity terms and principal outstanding, which are considered Level 3 inputs. Refer to Note 11,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for definitions of, and more information on, our Senior Notes and 2022 Credit Facilities.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information on our outstanding debt as of February 28, 2025 and August 31, 2024:</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0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20" w:type="dxa"/>
            <w:vAlign w:val="bottom"/>
            <w:gridSpan w:val="3"/>
          </w:tcPr>
          <w:p>
            <w:pPr>
              <w:jc w:val="right"/>
              <w:ind w:right="450"/>
              <w:spacing w:after="0"/>
              <w:rPr>
                <w:sz w:val="20"/>
                <w:szCs w:val="20"/>
                <w:color w:val="auto"/>
              </w:rPr>
            </w:pPr>
            <w:r>
              <w:rPr>
                <w:rFonts w:ascii="Times New Roman" w:cs="Times New Roman" w:eastAsia="Times New Roman" w:hAnsi="Times New Roman"/>
                <w:sz w:val="18"/>
                <w:szCs w:val="18"/>
                <w:color w:val="auto"/>
              </w:rPr>
              <w:t>February 28, 2025</w:t>
            </w:r>
          </w:p>
        </w:tc>
        <w:tc>
          <w:tcPr>
            <w:tcW w:w="180" w:type="dxa"/>
            <w:vAlign w:val="bottom"/>
          </w:tcPr>
          <w:p>
            <w:pPr>
              <w:spacing w:after="0"/>
              <w:rPr>
                <w:sz w:val="19"/>
                <w:szCs w:val="19"/>
                <w:color w:val="auto"/>
              </w:rPr>
            </w:pPr>
          </w:p>
        </w:tc>
        <w:tc>
          <w:tcPr>
            <w:tcW w:w="2220" w:type="dxa"/>
            <w:vAlign w:val="bottom"/>
            <w:gridSpan w:val="3"/>
          </w:tcPr>
          <w:p>
            <w:pPr>
              <w:jc w:val="right"/>
              <w:ind w:right="510"/>
              <w:spacing w:after="0"/>
              <w:rPr>
                <w:sz w:val="20"/>
                <w:szCs w:val="20"/>
                <w:color w:val="auto"/>
              </w:rPr>
            </w:pPr>
            <w:r>
              <w:rPr>
                <w:rFonts w:ascii="Times New Roman" w:cs="Times New Roman" w:eastAsia="Times New Roman" w:hAnsi="Times New Roman"/>
                <w:sz w:val="18"/>
                <w:szCs w:val="18"/>
                <w:color w:val="auto"/>
              </w:rPr>
              <w:t>August 31, 2024</w:t>
            </w:r>
          </w:p>
        </w:tc>
        <w:tc>
          <w:tcPr>
            <w:tcW w:w="0" w:type="dxa"/>
            <w:vAlign w:val="bottom"/>
          </w:tcPr>
          <w:p>
            <w:pPr>
              <w:spacing w:after="0"/>
              <w:rPr>
                <w:sz w:val="1"/>
                <w:szCs w:val="1"/>
                <w:color w:val="auto"/>
              </w:rPr>
            </w:pPr>
          </w:p>
        </w:tc>
      </w:tr>
      <w:tr>
        <w:trPr>
          <w:trHeight w:val="180"/>
        </w:trPr>
        <w:tc>
          <w:tcPr>
            <w:tcW w:w="4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820" w:type="dxa"/>
            <w:vAlign w:val="bottom"/>
          </w:tcPr>
          <w:p>
            <w:pPr>
              <w:jc w:val="center"/>
              <w:ind w:left="470"/>
              <w:spacing w:after="0" w:line="181" w:lineRule="exact"/>
              <w:rPr>
                <w:sz w:val="20"/>
                <w:szCs w:val="20"/>
                <w:color w:val="auto"/>
              </w:rPr>
            </w:pPr>
            <w:r>
              <w:rPr>
                <w:rFonts w:ascii="Times New Roman" w:cs="Times New Roman" w:eastAsia="Times New Roman" w:hAnsi="Times New Roman"/>
                <w:sz w:val="18"/>
                <w:szCs w:val="18"/>
                <w:color w:val="auto"/>
                <w:w w:val="96"/>
              </w:rPr>
              <w:t>Fair Value</w:t>
            </w:r>
          </w:p>
        </w:tc>
        <w:tc>
          <w:tcPr>
            <w:tcW w:w="180" w:type="dxa"/>
            <w:vAlign w:val="bottom"/>
          </w:tcPr>
          <w:p>
            <w:pPr>
              <w:spacing w:after="0"/>
              <w:rPr>
                <w:sz w:val="15"/>
                <w:szCs w:val="15"/>
                <w:color w:val="auto"/>
              </w:rPr>
            </w:pPr>
          </w:p>
        </w:tc>
        <w:tc>
          <w:tcPr>
            <w:tcW w:w="1020" w:type="dxa"/>
            <w:vAlign w:val="bottom"/>
          </w:tcPr>
          <w:p>
            <w:pPr>
              <w:jc w:val="right"/>
              <w:ind w:right="190"/>
              <w:spacing w:after="0" w:line="181" w:lineRule="exact"/>
              <w:rPr>
                <w:sz w:val="20"/>
                <w:szCs w:val="20"/>
                <w:color w:val="auto"/>
              </w:rPr>
            </w:pPr>
            <w:r>
              <w:rPr>
                <w:rFonts w:ascii="Times New Roman" w:cs="Times New Roman" w:eastAsia="Times New Roman" w:hAnsi="Times New Roman"/>
                <w:sz w:val="18"/>
                <w:szCs w:val="18"/>
                <w:color w:val="auto"/>
              </w:rPr>
              <w:t>Principal</w:t>
            </w:r>
          </w:p>
        </w:tc>
        <w:tc>
          <w:tcPr>
            <w:tcW w:w="120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8"/>
                <w:szCs w:val="18"/>
                <w:color w:val="auto"/>
              </w:rPr>
              <w:t>Estimated Fair</w:t>
            </w:r>
          </w:p>
        </w:tc>
        <w:tc>
          <w:tcPr>
            <w:tcW w:w="180" w:type="dxa"/>
            <w:vAlign w:val="bottom"/>
          </w:tcPr>
          <w:p>
            <w:pPr>
              <w:spacing w:after="0"/>
              <w:rPr>
                <w:sz w:val="15"/>
                <w:szCs w:val="15"/>
                <w:color w:val="auto"/>
              </w:rPr>
            </w:pPr>
          </w:p>
        </w:tc>
        <w:tc>
          <w:tcPr>
            <w:tcW w:w="1020" w:type="dxa"/>
            <w:vAlign w:val="bottom"/>
          </w:tcPr>
          <w:p>
            <w:pPr>
              <w:jc w:val="right"/>
              <w:ind w:right="190"/>
              <w:spacing w:after="0" w:line="181" w:lineRule="exact"/>
              <w:rPr>
                <w:sz w:val="20"/>
                <w:szCs w:val="20"/>
                <w:color w:val="auto"/>
              </w:rPr>
            </w:pPr>
            <w:r>
              <w:rPr>
                <w:rFonts w:ascii="Times New Roman" w:cs="Times New Roman" w:eastAsia="Times New Roman" w:hAnsi="Times New Roman"/>
                <w:sz w:val="18"/>
                <w:szCs w:val="18"/>
                <w:color w:val="auto"/>
              </w:rPr>
              <w:t>Principal</w:t>
            </w:r>
          </w:p>
        </w:tc>
        <w:tc>
          <w:tcPr>
            <w:tcW w:w="120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8"/>
                <w:szCs w:val="18"/>
                <w:color w:val="auto"/>
              </w:rPr>
              <w:t>Estimated Fair</w:t>
            </w:r>
          </w:p>
        </w:tc>
        <w:tc>
          <w:tcPr>
            <w:tcW w:w="0" w:type="dxa"/>
            <w:vAlign w:val="bottom"/>
          </w:tcPr>
          <w:p>
            <w:pPr>
              <w:spacing w:after="0"/>
              <w:rPr>
                <w:sz w:val="1"/>
                <w:szCs w:val="1"/>
                <w:color w:val="auto"/>
              </w:rPr>
            </w:pPr>
          </w:p>
        </w:tc>
      </w:tr>
      <w:tr>
        <w:trPr>
          <w:trHeight w:val="243"/>
        </w:trPr>
        <w:tc>
          <w:tcPr>
            <w:tcW w:w="4620" w:type="dxa"/>
            <w:vAlign w:val="bottom"/>
            <w:tcBorders>
              <w:bottom w:val="single" w:sz="8" w:color="auto"/>
            </w:tcBorders>
            <w:gridSpan w:val="2"/>
            <w:vMerge w:val="continue"/>
          </w:tcPr>
          <w:p>
            <w:pPr>
              <w:spacing w:after="0"/>
              <w:rPr>
                <w:sz w:val="21"/>
                <w:szCs w:val="21"/>
                <w:color w:val="auto"/>
              </w:rPr>
            </w:pPr>
          </w:p>
        </w:tc>
        <w:tc>
          <w:tcPr>
            <w:tcW w:w="1820" w:type="dxa"/>
            <w:vAlign w:val="bottom"/>
            <w:tcBorders>
              <w:bottom w:val="single" w:sz="8" w:color="auto"/>
            </w:tcBorders>
          </w:tcPr>
          <w:p>
            <w:pPr>
              <w:jc w:val="center"/>
              <w:ind w:left="490"/>
              <w:spacing w:after="0"/>
              <w:rPr>
                <w:sz w:val="20"/>
                <w:szCs w:val="20"/>
                <w:color w:val="auto"/>
              </w:rPr>
            </w:pPr>
            <w:r>
              <w:rPr>
                <w:rFonts w:ascii="Times New Roman" w:cs="Times New Roman" w:eastAsia="Times New Roman" w:hAnsi="Times New Roman"/>
                <w:sz w:val="18"/>
                <w:szCs w:val="18"/>
                <w:color w:val="auto"/>
                <w:w w:val="99"/>
              </w:rPr>
              <w:t>Hierarchy</w:t>
            </w:r>
          </w:p>
        </w:tc>
        <w:tc>
          <w:tcPr>
            <w:tcW w:w="1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Amount</w:t>
            </w: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Value</w:t>
            </w:r>
          </w:p>
        </w:tc>
        <w:tc>
          <w:tcPr>
            <w:tcW w:w="1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Amount</w:t>
            </w: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Value</w:t>
            </w:r>
          </w:p>
        </w:tc>
        <w:tc>
          <w:tcPr>
            <w:tcW w:w="0" w:type="dxa"/>
            <w:vAlign w:val="bottom"/>
          </w:tcPr>
          <w:p>
            <w:pPr>
              <w:spacing w:after="0"/>
              <w:rPr>
                <w:sz w:val="1"/>
                <w:szCs w:val="1"/>
                <w:color w:val="auto"/>
              </w:rPr>
            </w:pPr>
          </w:p>
        </w:tc>
      </w:tr>
      <w:tr>
        <w:trPr>
          <w:trHeight w:val="223"/>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2027</w:t>
            </w:r>
          </w:p>
        </w:tc>
        <w:tc>
          <w:tcPr>
            <w:tcW w:w="4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w:t>
            </w:r>
          </w:p>
        </w:tc>
        <w:tc>
          <w:tcPr>
            <w:tcW w:w="1820" w:type="dxa"/>
            <w:vAlign w:val="bottom"/>
            <w:shd w:val="clear" w:color="auto" w:fill="CCEEFF"/>
          </w:tcPr>
          <w:p>
            <w:pPr>
              <w:jc w:val="center"/>
              <w:ind w:left="470"/>
              <w:spacing w:after="0"/>
              <w:rPr>
                <w:sz w:val="20"/>
                <w:szCs w:val="20"/>
                <w:color w:val="auto"/>
              </w:rPr>
            </w:pPr>
            <w:r>
              <w:rPr>
                <w:rFonts w:ascii="Times New Roman" w:cs="Times New Roman" w:eastAsia="Times New Roman" w:hAnsi="Times New Roman"/>
                <w:sz w:val="18"/>
                <w:szCs w:val="18"/>
                <w:color w:val="auto"/>
                <w:w w:val="99"/>
              </w:rPr>
              <w:t>Level 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483,965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479,760</w:t>
            </w:r>
          </w:p>
        </w:tc>
        <w:tc>
          <w:tcPr>
            <w:tcW w:w="0" w:type="dxa"/>
            <w:vAlign w:val="bottom"/>
          </w:tcPr>
          <w:p>
            <w:pPr>
              <w:spacing w:after="0"/>
              <w:rPr>
                <w:sz w:val="1"/>
                <w:szCs w:val="1"/>
                <w:color w:val="auto"/>
              </w:rPr>
            </w:pPr>
          </w:p>
        </w:tc>
      </w:tr>
      <w:tr>
        <w:trPr>
          <w:trHeight w:val="229"/>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2032</w:t>
            </w:r>
          </w:p>
        </w:tc>
        <w:tc>
          <w:tcPr>
            <w:tcW w:w="4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w:t>
            </w:r>
          </w:p>
        </w:tc>
        <w:tc>
          <w:tcPr>
            <w:tcW w:w="182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w w:val="99"/>
              </w:rPr>
              <w:t>Level 1</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449,430</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449,380</w:t>
            </w:r>
          </w:p>
        </w:tc>
        <w:tc>
          <w:tcPr>
            <w:tcW w:w="0" w:type="dxa"/>
            <w:vAlign w:val="bottom"/>
          </w:tcPr>
          <w:p>
            <w:pPr>
              <w:spacing w:after="0"/>
              <w:rPr>
                <w:sz w:val="1"/>
                <w:szCs w:val="1"/>
                <w:color w:val="auto"/>
              </w:rPr>
            </w:pPr>
          </w:p>
        </w:tc>
      </w:tr>
      <w:tr>
        <w:trPr>
          <w:trHeight w:val="230"/>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2022</w:t>
            </w:r>
          </w:p>
        </w:tc>
        <w:tc>
          <w:tcPr>
            <w:tcW w:w="4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Revolving Facility</w:t>
            </w:r>
          </w:p>
        </w:tc>
        <w:tc>
          <w:tcPr>
            <w:tcW w:w="1820" w:type="dxa"/>
            <w:vAlign w:val="bottom"/>
            <w:shd w:val="clear" w:color="auto" w:fill="CCEEFF"/>
          </w:tcPr>
          <w:p>
            <w:pPr>
              <w:jc w:val="center"/>
              <w:ind w:left="470"/>
              <w:spacing w:after="0"/>
              <w:rPr>
                <w:sz w:val="20"/>
                <w:szCs w:val="20"/>
                <w:color w:val="auto"/>
              </w:rPr>
            </w:pPr>
            <w:r>
              <w:rPr>
                <w:rFonts w:ascii="Times New Roman" w:cs="Times New Roman" w:eastAsia="Times New Roman" w:hAnsi="Times New Roman"/>
                <w:sz w:val="18"/>
                <w:szCs w:val="18"/>
                <w:color w:val="auto"/>
                <w:w w:val="99"/>
              </w:rPr>
              <w:t>Level 3</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480,000</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480,644</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246,578</w:t>
            </w:r>
          </w:p>
        </w:tc>
        <w:tc>
          <w:tcPr>
            <w:tcW w:w="0" w:type="dxa"/>
            <w:vAlign w:val="bottom"/>
          </w:tcPr>
          <w:p>
            <w:pPr>
              <w:spacing w:after="0"/>
              <w:rPr>
                <w:sz w:val="1"/>
                <w:szCs w:val="1"/>
                <w:color w:val="auto"/>
              </w:rPr>
            </w:pPr>
          </w:p>
        </w:tc>
      </w:tr>
      <w:tr>
        <w:trPr>
          <w:trHeight w:val="230"/>
        </w:trPr>
        <w:tc>
          <w:tcPr>
            <w:tcW w:w="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w w:val="99"/>
              </w:rPr>
              <w:t>2022</w:t>
            </w:r>
          </w:p>
        </w:tc>
        <w:tc>
          <w:tcPr>
            <w:tcW w:w="42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Term Facility</w:t>
            </w:r>
          </w:p>
        </w:tc>
        <w:tc>
          <w:tcPr>
            <w:tcW w:w="1820" w:type="dxa"/>
            <w:vAlign w:val="bottom"/>
            <w:tcBorders>
              <w:bottom w:val="single" w:sz="8" w:color="CCEEFF"/>
            </w:tcBorders>
          </w:tcPr>
          <w:p>
            <w:pPr>
              <w:jc w:val="center"/>
              <w:ind w:left="470"/>
              <w:spacing w:after="0"/>
              <w:rPr>
                <w:sz w:val="20"/>
                <w:szCs w:val="20"/>
                <w:color w:val="auto"/>
              </w:rPr>
            </w:pPr>
            <w:r>
              <w:rPr>
                <w:rFonts w:ascii="Times New Roman" w:cs="Times New Roman" w:eastAsia="Times New Roman" w:hAnsi="Times New Roman"/>
                <w:sz w:val="18"/>
                <w:szCs w:val="18"/>
                <w:color w:val="auto"/>
                <w:w w:val="99"/>
              </w:rPr>
              <w:t>Level 3</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125,242</w:t>
            </w:r>
          </w:p>
        </w:tc>
        <w:tc>
          <w:tcPr>
            <w:tcW w:w="0" w:type="dxa"/>
            <w:vAlign w:val="bottom"/>
          </w:tcPr>
          <w:p>
            <w:pPr>
              <w:spacing w:after="0"/>
              <w:rPr>
                <w:sz w:val="1"/>
                <w:szCs w:val="1"/>
                <w:color w:val="auto"/>
              </w:rPr>
            </w:pPr>
          </w:p>
        </w:tc>
      </w:tr>
      <w:tr>
        <w:trPr>
          <w:trHeight w:val="223"/>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principal amount</w:t>
            </w:r>
          </w:p>
        </w:tc>
        <w:tc>
          <w:tcPr>
            <w:tcW w:w="18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1,480,000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1,414,039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1,375,000</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1,300,960</w:t>
            </w:r>
          </w:p>
        </w:tc>
        <w:tc>
          <w:tcPr>
            <w:tcW w:w="0" w:type="dxa"/>
            <w:vAlign w:val="bottom"/>
          </w:tcPr>
          <w:p>
            <w:pPr>
              <w:spacing w:after="0"/>
              <w:rPr>
                <w:sz w:val="1"/>
                <w:szCs w:val="1"/>
                <w:color w:val="auto"/>
              </w:rPr>
            </w:pPr>
          </w:p>
        </w:tc>
      </w:tr>
      <w:tr>
        <w:trPr>
          <w:trHeight w:val="230"/>
        </w:trPr>
        <w:tc>
          <w:tcPr>
            <w:tcW w:w="46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unamortized discounts and debt issuance costs</w:t>
            </w:r>
          </w:p>
        </w:tc>
        <w:tc>
          <w:tcPr>
            <w:tcW w:w="18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(7,838)</w:t>
            </w:r>
          </w:p>
        </w:tc>
        <w:tc>
          <w:tcPr>
            <w:tcW w:w="24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(9,027)</w:t>
            </w:r>
          </w:p>
        </w:tc>
        <w:tc>
          <w:tcPr>
            <w:tcW w:w="26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carrying value of debt</w:t>
            </w:r>
          </w:p>
        </w:tc>
        <w:tc>
          <w:tcPr>
            <w:tcW w:w="18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1,472,162</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1,365,973</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0" w:type="dxa"/>
            <w:vAlign w:val="bottom"/>
            <w:tcBorders>
              <w:top w:val="single" w:sz="8" w:color="CCEEFF"/>
            </w:tcBorders>
          </w:tcPr>
          <w:p>
            <w:pPr>
              <w:spacing w:after="0" w:line="20" w:lineRule="exact"/>
              <w:rPr>
                <w:sz w:val="1"/>
                <w:szCs w:val="1"/>
                <w:color w:val="auto"/>
              </w:rPr>
            </w:pPr>
          </w:p>
        </w:tc>
        <w:tc>
          <w:tcPr>
            <w:tcW w:w="422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5. DERIVATIVE INSTRUMENTS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Hedges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designing our hedging approach, we consider several factors, including offsetting exposures, the significance of exposures, the forecasting of risk and the potential effectiveness of the hedge to reduce the volatility of our earnings and cash flows. Factors considered in the decision to hedge an underlying market exposure include the materiality of the risk, the volatility of the market, the duration of the hedge, the degree to which the underlying exposure is committed, and the availability, effectiveness and cost of derivative instruments.</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We utilize derivative instruments to manage risk and not for speculative or trading purposes. We limit counterparties to financial institutions we believe are credit-worthy. Refer to Note 2, </w:t>
      </w:r>
      <w:r>
        <w:rPr>
          <w:rFonts w:ascii="Times New Roman" w:cs="Times New Roman" w:eastAsia="Times New Roman" w:hAnsi="Times New Roman"/>
          <w:sz w:val="18"/>
          <w:szCs w:val="18"/>
          <w:i w:val="1"/>
          <w:iCs w:val="1"/>
          <w:color w:val="auto"/>
        </w:rPr>
        <w:t>Summary of Significant Accounting Policies - Concentrations of Credit Risk</w:t>
      </w:r>
      <w:r>
        <w:rPr>
          <w:rFonts w:ascii="Times New Roman" w:cs="Times New Roman" w:eastAsia="Times New Roman" w:hAnsi="Times New Roman"/>
          <w:sz w:val="18"/>
          <w:szCs w:val="18"/>
          <w:color w:val="auto"/>
        </w:rPr>
        <w:t>, for further discussion on counterparty credit risk.</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leverage foreign currency forward contracts and interest rate swap agreements to mitigate certain operational exposures from the impact of changes in foreign currency exchange rates and to manage our floating interest rate exposure, respectively. Our foreign currency forward contracts and interest rate swap agreements are designated as cash flow hedges at inception.</w:t>
      </w:r>
    </w:p>
    <w:p>
      <w:pPr>
        <w:spacing w:after="0" w:line="14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For highly effective cash flows hedges, the change in the derivative's fair value is recorded in Accumulated other comprehensive loss ("AOCL"), net of tax, in the Consolidated Balance Sheets. Our cash flow hedges were highly effective with no amount of ineffectiveness recorded in the Consolidated Statements of Income during the three and six months ended February 28, 2025 and February 29, 2024.</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Realized gains or losses from the settlement of our foreign currency forward contracts and interest rate swap agreements are subsequently reclassified into SG&amp;A and Interest expense, respectively, in the Consolidated Statements of Income. There was no discontinuance of our cash flow hedges during the six months ended February 28, 2025 and February 29, 2024. As such, no corresponding gains or losses were reclassified into earnings prior to settlement during those respective periods.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Forward Contracts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we operate globally, we are exposed to the risk that our financial condition, results of operations and cash flows could be impacted by changes in foreign currency exchange rates. During the six months ended February 28, 2025 and February 29, 2024, we maintained a series of foreign currency forward contracts to hedge a portion of our projected operating expenses in our primary currency exposures, namely the British Pound Sterling, Euro, Indian Rupee and Philippine Peso. As of February 28, 2025, the hedge maturity periods of our outstanding foreign currency forward contracts range from the third quarter of fiscal 2025 through the second quarter of fiscal 2026.</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gross notional value of our foreign currency forward contracts to purchase the respective local currency with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dollars as of February 28, 2025 and August 31, 2024:</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7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3040" w:type="dxa"/>
            <w:vAlign w:val="bottom"/>
            <w:gridSpan w:val="3"/>
          </w:tcPr>
          <w:p>
            <w:pPr>
              <w:jc w:val="right"/>
              <w:ind w:right="1090"/>
              <w:spacing w:after="0"/>
              <w:rPr>
                <w:sz w:val="20"/>
                <w:szCs w:val="20"/>
                <w:color w:val="auto"/>
              </w:rPr>
            </w:pPr>
            <w:r>
              <w:rPr>
                <w:rFonts w:ascii="Times New Roman" w:cs="Times New Roman" w:eastAsia="Times New Roman" w:hAnsi="Times New Roman"/>
                <w:sz w:val="18"/>
                <w:szCs w:val="18"/>
                <w:color w:val="auto"/>
              </w:rPr>
              <w:t>February 28, 2025</w:t>
            </w:r>
          </w:p>
        </w:tc>
        <w:tc>
          <w:tcPr>
            <w:tcW w:w="660" w:type="dxa"/>
            <w:vAlign w:val="bottom"/>
          </w:tcPr>
          <w:p>
            <w:pPr>
              <w:spacing w:after="0"/>
              <w:rPr>
                <w:sz w:val="19"/>
                <w:szCs w:val="19"/>
                <w:color w:val="auto"/>
              </w:rPr>
            </w:pPr>
          </w:p>
        </w:tc>
        <w:tc>
          <w:tcPr>
            <w:tcW w:w="3040" w:type="dxa"/>
            <w:vAlign w:val="bottom"/>
            <w:gridSpan w:val="3"/>
          </w:tcPr>
          <w:p>
            <w:pPr>
              <w:jc w:val="right"/>
              <w:ind w:right="1170"/>
              <w:spacing w:after="0"/>
              <w:rPr>
                <w:sz w:val="20"/>
                <w:szCs w:val="20"/>
                <w:color w:val="auto"/>
              </w:rPr>
            </w:pPr>
            <w:r>
              <w:rPr>
                <w:rFonts w:ascii="Times New Roman" w:cs="Times New Roman" w:eastAsia="Times New Roman" w:hAnsi="Times New Roman"/>
                <w:sz w:val="18"/>
                <w:szCs w:val="18"/>
                <w:color w:val="auto"/>
              </w:rPr>
              <w:t>August 31, 2024</w:t>
            </w:r>
          </w:p>
        </w:tc>
        <w:tc>
          <w:tcPr>
            <w:tcW w:w="0" w:type="dxa"/>
            <w:vAlign w:val="bottom"/>
          </w:tcPr>
          <w:p>
            <w:pPr>
              <w:spacing w:after="0"/>
              <w:rPr>
                <w:sz w:val="1"/>
                <w:szCs w:val="1"/>
                <w:color w:val="auto"/>
              </w:rPr>
            </w:pPr>
          </w:p>
        </w:tc>
      </w:tr>
      <w:tr>
        <w:trPr>
          <w:trHeight w:val="180"/>
        </w:trPr>
        <w:tc>
          <w:tcPr>
            <w:tcW w:w="27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7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tcPr>
          <w:p>
            <w:pPr>
              <w:jc w:val="right"/>
              <w:ind w:right="150"/>
              <w:spacing w:after="0" w:line="181" w:lineRule="exact"/>
              <w:rPr>
                <w:sz w:val="20"/>
                <w:szCs w:val="20"/>
                <w:color w:val="auto"/>
              </w:rPr>
            </w:pPr>
            <w:r>
              <w:rPr>
                <w:rFonts w:ascii="Times New Roman" w:cs="Times New Roman" w:eastAsia="Times New Roman" w:hAnsi="Times New Roman"/>
                <w:sz w:val="18"/>
                <w:szCs w:val="18"/>
                <w:color w:val="auto"/>
              </w:rPr>
              <w:t>Notional Contract</w:t>
            </w:r>
          </w:p>
        </w:tc>
        <w:tc>
          <w:tcPr>
            <w:tcW w:w="6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tcPr>
          <w:p>
            <w:pPr>
              <w:jc w:val="right"/>
              <w:ind w:right="170"/>
              <w:spacing w:after="0" w:line="181" w:lineRule="exact"/>
              <w:rPr>
                <w:sz w:val="20"/>
                <w:szCs w:val="20"/>
                <w:color w:val="auto"/>
              </w:rPr>
            </w:pPr>
            <w:r>
              <w:rPr>
                <w:rFonts w:ascii="Times New Roman" w:cs="Times New Roman" w:eastAsia="Times New Roman" w:hAnsi="Times New Roman"/>
                <w:sz w:val="18"/>
                <w:szCs w:val="18"/>
                <w:color w:val="auto"/>
              </w:rPr>
              <w:t>Notional Contract</w:t>
            </w:r>
          </w:p>
        </w:tc>
        <w:tc>
          <w:tcPr>
            <w:tcW w:w="0" w:type="dxa"/>
            <w:vAlign w:val="bottom"/>
          </w:tcPr>
          <w:p>
            <w:pPr>
              <w:spacing w:after="0"/>
              <w:rPr>
                <w:sz w:val="1"/>
                <w:szCs w:val="1"/>
                <w:color w:val="auto"/>
              </w:rPr>
            </w:pPr>
          </w:p>
        </w:tc>
      </w:tr>
      <w:tr>
        <w:trPr>
          <w:trHeight w:val="243"/>
        </w:trPr>
        <w:tc>
          <w:tcPr>
            <w:tcW w:w="2740" w:type="dxa"/>
            <w:vAlign w:val="bottom"/>
            <w:tcBorders>
              <w:bottom w:val="single" w:sz="8" w:color="auto"/>
            </w:tcBorders>
            <w:vMerge w:val="continue"/>
          </w:tcPr>
          <w:p>
            <w:pPr>
              <w:spacing w:after="0"/>
              <w:rPr>
                <w:sz w:val="21"/>
                <w:szCs w:val="21"/>
                <w:color w:val="auto"/>
              </w:rPr>
            </w:pPr>
          </w:p>
        </w:tc>
        <w:tc>
          <w:tcPr>
            <w:tcW w:w="3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Local Currency Amount</w:t>
            </w:r>
          </w:p>
        </w:tc>
        <w:tc>
          <w:tcPr>
            <w:tcW w:w="18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Amount (USD)</w:t>
            </w:r>
          </w:p>
        </w:tc>
        <w:tc>
          <w:tcPr>
            <w:tcW w:w="1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Local Currency Amount</w:t>
            </w:r>
          </w:p>
        </w:tc>
        <w:tc>
          <w:tcPr>
            <w:tcW w:w="18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Amount (USD)</w:t>
            </w:r>
          </w:p>
        </w:tc>
        <w:tc>
          <w:tcPr>
            <w:tcW w:w="0" w:type="dxa"/>
            <w:vAlign w:val="bottom"/>
          </w:tcPr>
          <w:p>
            <w:pPr>
              <w:spacing w:after="0"/>
              <w:rPr>
                <w:sz w:val="1"/>
                <w:szCs w:val="1"/>
                <w:color w:val="auto"/>
              </w:rPr>
            </w:pPr>
          </w:p>
        </w:tc>
      </w:tr>
      <w:tr>
        <w:trPr>
          <w:trHeight w:val="223"/>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British Pound Sterling</w:t>
            </w:r>
          </w:p>
        </w:tc>
        <w:tc>
          <w:tcPr>
            <w:tcW w:w="176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55,323</w:t>
            </w:r>
          </w:p>
        </w:tc>
        <w:tc>
          <w:tcPr>
            <w:tcW w:w="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52,372</w:t>
            </w:r>
          </w:p>
        </w:tc>
        <w:tc>
          <w:tcPr>
            <w:tcW w:w="0" w:type="dxa"/>
            <w:vAlign w:val="bottom"/>
          </w:tcPr>
          <w:p>
            <w:pPr>
              <w:spacing w:after="0"/>
              <w:rPr>
                <w:sz w:val="1"/>
                <w:szCs w:val="1"/>
                <w:color w:val="auto"/>
              </w:rPr>
            </w:pPr>
          </w:p>
        </w:tc>
      </w:tr>
      <w:tr>
        <w:trPr>
          <w:trHeight w:val="229"/>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Indian Rupee</w:t>
            </w:r>
          </w:p>
        </w:tc>
        <w:tc>
          <w:tcPr>
            <w:tcW w:w="176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Rs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4,325,590</w:t>
            </w: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50,100</w:t>
            </w:r>
          </w:p>
        </w:tc>
        <w:tc>
          <w:tcPr>
            <w:tcW w:w="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4,651,351</w:t>
            </w: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55,200</w:t>
            </w:r>
          </w:p>
        </w:tc>
        <w:tc>
          <w:tcPr>
            <w:tcW w:w="0" w:type="dxa"/>
            <w:vAlign w:val="bottom"/>
          </w:tcPr>
          <w:p>
            <w:pPr>
              <w:spacing w:after="0"/>
              <w:rPr>
                <w:sz w:val="1"/>
                <w:szCs w:val="1"/>
                <w:color w:val="auto"/>
              </w:rPr>
            </w:pPr>
          </w:p>
        </w:tc>
      </w:tr>
      <w:tr>
        <w:trPr>
          <w:trHeight w:val="230"/>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w:t>
            </w:r>
          </w:p>
        </w:tc>
        <w:tc>
          <w:tcPr>
            <w:tcW w:w="176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33,600</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36,398</w:t>
            </w:r>
          </w:p>
        </w:tc>
        <w:tc>
          <w:tcPr>
            <w:tcW w:w="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43,800</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48,183</w:t>
            </w:r>
          </w:p>
        </w:tc>
        <w:tc>
          <w:tcPr>
            <w:tcW w:w="0" w:type="dxa"/>
            <w:vAlign w:val="bottom"/>
          </w:tcPr>
          <w:p>
            <w:pPr>
              <w:spacing w:after="0"/>
              <w:rPr>
                <w:sz w:val="1"/>
                <w:szCs w:val="1"/>
                <w:color w:val="auto"/>
              </w:rPr>
            </w:pPr>
          </w:p>
        </w:tc>
      </w:tr>
      <w:tr>
        <w:trPr>
          <w:trHeight w:val="229"/>
        </w:trPr>
        <w:tc>
          <w:tcPr>
            <w:tcW w:w="2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Philippine Peso</w:t>
            </w:r>
          </w:p>
        </w:tc>
        <w:tc>
          <w:tcPr>
            <w:tcW w:w="1760" w:type="dxa"/>
            <w:vAlign w:val="bottom"/>
            <w:tcBorders>
              <w:bottom w:val="single" w:sz="8" w:color="CCEEFF"/>
            </w:tcBorders>
          </w:tcPr>
          <w:p>
            <w:pPr>
              <w:ind w:left="11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1,957,088</w:t>
            </w: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33,600</w:t>
            </w:r>
          </w:p>
        </w:tc>
        <w:tc>
          <w:tcPr>
            <w:tcW w:w="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1,850,674</w:t>
            </w: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32,400</w:t>
            </w:r>
          </w:p>
        </w:tc>
        <w:tc>
          <w:tcPr>
            <w:tcW w:w="0" w:type="dxa"/>
            <w:vAlign w:val="bottom"/>
          </w:tcPr>
          <w:p>
            <w:pPr>
              <w:spacing w:after="0"/>
              <w:rPr>
                <w:sz w:val="1"/>
                <w:szCs w:val="1"/>
                <w:color w:val="auto"/>
              </w:rPr>
            </w:pPr>
          </w:p>
        </w:tc>
      </w:tr>
      <w:tr>
        <w:trPr>
          <w:trHeight w:val="223"/>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7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175,421</w:t>
            </w:r>
          </w:p>
        </w:tc>
        <w:tc>
          <w:tcPr>
            <w:tcW w:w="6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188,155</w:t>
            </w:r>
          </w:p>
        </w:tc>
        <w:tc>
          <w:tcPr>
            <w:tcW w:w="0" w:type="dxa"/>
            <w:vAlign w:val="bottom"/>
          </w:tcPr>
          <w:p>
            <w:pPr>
              <w:spacing w:after="0"/>
              <w:rPr>
                <w:sz w:val="1"/>
                <w:szCs w:val="1"/>
                <w:color w:val="auto"/>
              </w:rPr>
            </w:pPr>
          </w:p>
        </w:tc>
      </w:tr>
    </w:tbl>
    <w:p>
      <w:pPr>
        <w:spacing w:after="0" w:line="25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Refer to Part I, Item 3. </w:t>
      </w:r>
      <w:r>
        <w:rPr>
          <w:rFonts w:ascii="Times New Roman" w:cs="Times New Roman" w:eastAsia="Times New Roman" w:hAnsi="Times New Roman"/>
          <w:sz w:val="18"/>
          <w:szCs w:val="18"/>
          <w:i w:val="1"/>
          <w:iCs w:val="1"/>
          <w:color w:val="auto"/>
        </w:rPr>
        <w:t>Quantitative and Qualitative Disclosures About Market Risk</w:t>
      </w:r>
      <w:r>
        <w:rPr>
          <w:rFonts w:ascii="Times New Roman" w:cs="Times New Roman" w:eastAsia="Times New Roman" w:hAnsi="Times New Roman"/>
          <w:sz w:val="18"/>
          <w:szCs w:val="18"/>
          <w:color w:val="auto"/>
        </w:rPr>
        <w:t xml:space="preserve"> of this Quarterly Report on Form 10-Q for further discussion on our exposure to foreign exchange rate fluctuations.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Swap Agreements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Swap Agreement</w:t>
      </w:r>
    </w:p>
    <w:p>
      <w:pPr>
        <w:spacing w:after="0" w:line="20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1, 2024, we entered into an interest rate swap agreement ("2024 Swap Agreement") with a notional amount of $200.0 million to hedge a portion of our outstanding floating Secured Overnight Financing Rate ("SOFR") debt with a fixed interest rate of 5.145%. The notional amount of the 2024 Swap Agreement declined by $50.0 million on a quarterly basis beginning May 31, 2024. The 2024 Swap Agreement matured on February 28, 2025.</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 Swap Agreement</w:t>
      </w:r>
    </w:p>
    <w:p>
      <w:pPr>
        <w:spacing w:after="0" w:line="17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March 1, 2022, we entered into an interest rate swap agreement ("2022 Swap Agreement") with a notional amount of $800.0 million to hedge a portion of our outstanding floating SOFR debt with a fixed interest rate of 1.162%. The notional amount of the 2022 Swap Agreement declined by $100.0 million on a quarterly basis beginning May 31, 2022. The 2022 Swap Agreement matured on February 28, 2024.</w:t>
      </w:r>
    </w:p>
    <w:p>
      <w:pPr>
        <w:spacing w:after="0" w:line="13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 xml:space="preserve">Refer to Note 11,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for further discussion of our outstanding floating rate debt and refer to Part I, Item 3. </w:t>
      </w:r>
      <w:r>
        <w:rPr>
          <w:rFonts w:ascii="Times New Roman" w:cs="Times New Roman" w:eastAsia="Times New Roman" w:hAnsi="Times New Roman"/>
          <w:sz w:val="18"/>
          <w:szCs w:val="18"/>
          <w:i w:val="1"/>
          <w:iCs w:val="1"/>
          <w:color w:val="auto"/>
        </w:rPr>
        <w:t>Quantitative and Qualitative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About Market Risk, </w:t>
      </w:r>
      <w:r>
        <w:rPr>
          <w:rFonts w:ascii="Times New Roman" w:cs="Times New Roman" w:eastAsia="Times New Roman" w:hAnsi="Times New Roman"/>
          <w:sz w:val="18"/>
          <w:szCs w:val="18"/>
          <w:color w:val="auto"/>
        </w:rPr>
        <w:t>in this Quarterly Report on Form 10-Q for further discussion of our exposure to interest rate risk on our outstanding floating rate debt.</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Notional Value and Fair Value of Derivative Instruments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gross notional values of our derivative instruments: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6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Gross Notional Value</w:t>
            </w: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February 28, 2025</w:t>
            </w:r>
          </w:p>
        </w:tc>
        <w:tc>
          <w:tcPr>
            <w:tcW w:w="2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color w:val="auto"/>
                <w:w w:val="98"/>
              </w:rPr>
              <w:t>August 31, 2024</w:t>
            </w:r>
          </w:p>
        </w:tc>
        <w:tc>
          <w:tcPr>
            <w:tcW w:w="0" w:type="dxa"/>
            <w:vAlign w:val="bottom"/>
          </w:tcPr>
          <w:p>
            <w:pPr>
              <w:spacing w:after="0"/>
              <w:rPr>
                <w:sz w:val="1"/>
                <w:szCs w:val="1"/>
                <w:color w:val="auto"/>
              </w:rPr>
            </w:pPr>
          </w:p>
        </w:tc>
      </w:tr>
      <w:tr>
        <w:trPr>
          <w:trHeight w:val="243"/>
        </w:trPr>
        <w:tc>
          <w:tcPr>
            <w:tcW w:w="3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gridSpan w:val="2"/>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175,421</w:t>
            </w:r>
          </w:p>
        </w:tc>
        <w:tc>
          <w:tcPr>
            <w:tcW w:w="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188,155</w:t>
            </w:r>
          </w:p>
        </w:tc>
        <w:tc>
          <w:tcPr>
            <w:tcW w:w="0" w:type="dxa"/>
            <w:vAlign w:val="bottom"/>
          </w:tcPr>
          <w:p>
            <w:pPr>
              <w:spacing w:after="0"/>
              <w:rPr>
                <w:sz w:val="1"/>
                <w:szCs w:val="1"/>
                <w:color w:val="auto"/>
              </w:rPr>
            </w:pPr>
          </w:p>
        </w:tc>
      </w:tr>
      <w:tr>
        <w:trPr>
          <w:trHeight w:val="243"/>
        </w:trPr>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swap agreement</w:t>
            </w: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0" w:type="dxa"/>
            <w:vAlign w:val="bottom"/>
          </w:tcPr>
          <w:p>
            <w:pPr>
              <w:spacing w:after="0"/>
              <w:rPr>
                <w:sz w:val="1"/>
                <w:szCs w:val="1"/>
                <w:color w:val="auto"/>
              </w:rPr>
            </w:pPr>
          </w:p>
        </w:tc>
      </w:tr>
      <w:tr>
        <w:trPr>
          <w:trHeight w:val="27"/>
        </w:trPr>
        <w:tc>
          <w:tcPr>
            <w:tcW w:w="212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flow hedges</w:t>
            </w:r>
          </w:p>
        </w:tc>
        <w:tc>
          <w:tcPr>
            <w:tcW w:w="15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175,421</w:t>
            </w:r>
          </w:p>
        </w:tc>
        <w:tc>
          <w:tcPr>
            <w:tcW w:w="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288,155</w:t>
            </w:r>
          </w:p>
        </w:tc>
        <w:tc>
          <w:tcPr>
            <w:tcW w:w="0" w:type="dxa"/>
            <w:vAlign w:val="bottom"/>
          </w:tcPr>
          <w:p>
            <w:pPr>
              <w:spacing w:after="0"/>
              <w:rPr>
                <w:sz w:val="1"/>
                <w:szCs w:val="1"/>
                <w:color w:val="auto"/>
              </w:rPr>
            </w:pPr>
          </w:p>
        </w:tc>
      </w:tr>
      <w:tr>
        <w:trPr>
          <w:trHeight w:val="486"/>
        </w:trPr>
        <w:tc>
          <w:tcPr>
            <w:tcW w:w="57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The following is a summary of the fair values of our derivative instruments:</w:t>
            </w:r>
          </w:p>
        </w:tc>
        <w:tc>
          <w:tcPr>
            <w:tcW w:w="7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1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32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Fair Value of Derivative Instruments</w:t>
            </w: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120" w:type="dxa"/>
            <w:vAlign w:val="bottom"/>
            <w:tcBorders>
              <w:bottom w:val="single" w:sz="8" w:color="auto"/>
            </w:tcBorders>
            <w:vMerge w:val="continue"/>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8"/>
                <w:szCs w:val="18"/>
                <w:color w:val="auto"/>
                <w:w w:val="98"/>
              </w:rPr>
              <w:t>Derivative Assets</w:t>
            </w:r>
          </w:p>
        </w:tc>
        <w:tc>
          <w:tcPr>
            <w:tcW w:w="5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Derivative Liabilities</w:t>
            </w:r>
          </w:p>
        </w:tc>
        <w:tc>
          <w:tcPr>
            <w:tcW w:w="6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12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Derivatives designated as</w:t>
            </w:r>
          </w:p>
        </w:tc>
        <w:tc>
          <w:tcPr>
            <w:tcW w:w="158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Balance Sheet</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960" w:type="dxa"/>
            <w:vAlign w:val="bottom"/>
            <w:gridSpan w:val="2"/>
          </w:tcPr>
          <w:p>
            <w:pPr>
              <w:ind w:left="260"/>
              <w:spacing w:after="0" w:line="169" w:lineRule="exact"/>
              <w:rPr>
                <w:sz w:val="20"/>
                <w:szCs w:val="20"/>
                <w:color w:val="auto"/>
              </w:rPr>
            </w:pPr>
            <w:r>
              <w:rPr>
                <w:rFonts w:ascii="Times New Roman" w:cs="Times New Roman" w:eastAsia="Times New Roman" w:hAnsi="Times New Roman"/>
                <w:sz w:val="18"/>
                <w:szCs w:val="18"/>
                <w:color w:val="auto"/>
              </w:rPr>
              <w:t>Balance Sheet</w:t>
            </w: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hedging instruments</w:t>
            </w:r>
          </w:p>
        </w:tc>
        <w:tc>
          <w:tcPr>
            <w:tcW w:w="1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Classification</w:t>
            </w:r>
          </w:p>
        </w:tc>
        <w:tc>
          <w:tcPr>
            <w:tcW w:w="1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February 28, 2025</w:t>
            </w:r>
          </w:p>
        </w:tc>
        <w:tc>
          <w:tcPr>
            <w:tcW w:w="1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August 31, 2024</w:t>
            </w:r>
          </w:p>
        </w:tc>
        <w:tc>
          <w:tcPr>
            <w:tcW w:w="1960" w:type="dxa"/>
            <w:vAlign w:val="bottom"/>
            <w:tcBorders>
              <w:bottom w:val="single" w:sz="8" w:color="auto"/>
            </w:tcBorders>
            <w:gridSpan w:val="2"/>
          </w:tcPr>
          <w:p>
            <w:pPr>
              <w:ind w:left="260"/>
              <w:spacing w:after="0"/>
              <w:rPr>
                <w:sz w:val="20"/>
                <w:szCs w:val="20"/>
                <w:color w:val="auto"/>
              </w:rPr>
            </w:pPr>
            <w:r>
              <w:rPr>
                <w:rFonts w:ascii="Times New Roman" w:cs="Times New Roman" w:eastAsia="Times New Roman" w:hAnsi="Times New Roman"/>
                <w:sz w:val="18"/>
                <w:szCs w:val="18"/>
                <w:color w:val="auto"/>
              </w:rPr>
              <w:t>Classification</w:t>
            </w:r>
          </w:p>
        </w:tc>
        <w:tc>
          <w:tcPr>
            <w:tcW w:w="272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color w:val="auto"/>
              </w:rPr>
              <w:t>February 28, 2025 August 31, 2024</w:t>
            </w:r>
          </w:p>
        </w:tc>
        <w:tc>
          <w:tcPr>
            <w:tcW w:w="0" w:type="dxa"/>
            <w:vAlign w:val="bottom"/>
          </w:tcPr>
          <w:p>
            <w:pPr>
              <w:spacing w:after="0"/>
              <w:rPr>
                <w:sz w:val="1"/>
                <w:szCs w:val="1"/>
                <w:color w:val="auto"/>
              </w:rPr>
            </w:pPr>
          </w:p>
        </w:tc>
      </w:tr>
      <w:tr>
        <w:trPr>
          <w:trHeight w:val="169"/>
        </w:trPr>
        <w:tc>
          <w:tcPr>
            <w:tcW w:w="212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Foreign currency forward</w:t>
            </w:r>
          </w:p>
        </w:tc>
        <w:tc>
          <w:tcPr>
            <w:tcW w:w="158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w w:val="99"/>
              </w:rPr>
              <w:t>Prepaid expenses and</w:t>
            </w: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960" w:type="dxa"/>
            <w:vAlign w:val="bottom"/>
            <w:gridSpan w:val="2"/>
            <w:shd w:val="clear" w:color="auto" w:fill="CCEEFF"/>
          </w:tcPr>
          <w:p>
            <w:pPr>
              <w:ind w:left="260"/>
              <w:spacing w:after="0" w:line="169" w:lineRule="exact"/>
              <w:rPr>
                <w:sz w:val="20"/>
                <w:szCs w:val="20"/>
                <w:color w:val="auto"/>
              </w:rPr>
            </w:pPr>
            <w:r>
              <w:rPr>
                <w:rFonts w:ascii="Times New Roman" w:cs="Times New Roman" w:eastAsia="Times New Roman" w:hAnsi="Times New Roman"/>
                <w:sz w:val="18"/>
                <w:szCs w:val="18"/>
                <w:color w:val="auto"/>
              </w:rPr>
              <w:t>Accounts payable and</w:t>
            </w: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contracts</w:t>
            </w:r>
          </w:p>
        </w:tc>
        <w:tc>
          <w:tcPr>
            <w:tcW w:w="1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7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2,619</w:t>
            </w:r>
          </w:p>
        </w:tc>
        <w:tc>
          <w:tcPr>
            <w:tcW w:w="19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accrued expenses</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2,489</w:t>
            </w:r>
          </w:p>
        </w:tc>
        <w:tc>
          <w:tcPr>
            <w:tcW w:w="60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176"/>
        </w:trPr>
        <w:tc>
          <w:tcPr>
            <w:tcW w:w="2120" w:type="dxa"/>
            <w:vAlign w:val="bottom"/>
          </w:tcPr>
          <w:p>
            <w:pPr>
              <w:spacing w:after="0"/>
              <w:rPr>
                <w:sz w:val="15"/>
                <w:szCs w:val="15"/>
                <w:color w:val="auto"/>
              </w:rPr>
            </w:pPr>
          </w:p>
        </w:tc>
        <w:tc>
          <w:tcPr>
            <w:tcW w:w="15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w w:val="99"/>
              </w:rPr>
              <w:t>Prepaid expenses and</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960" w:type="dxa"/>
            <w:vAlign w:val="bottom"/>
            <w:gridSpan w:val="2"/>
          </w:tcPr>
          <w:p>
            <w:pPr>
              <w:ind w:left="260"/>
              <w:spacing w:after="0" w:line="176" w:lineRule="exact"/>
              <w:rPr>
                <w:sz w:val="20"/>
                <w:szCs w:val="20"/>
                <w:color w:val="auto"/>
              </w:rPr>
            </w:pPr>
            <w:r>
              <w:rPr>
                <w:rFonts w:ascii="Times New Roman" w:cs="Times New Roman" w:eastAsia="Times New Roman" w:hAnsi="Times New Roman"/>
                <w:sz w:val="18"/>
                <w:szCs w:val="18"/>
                <w:color w:val="auto"/>
              </w:rPr>
              <w:t>Accounts payable and</w:t>
            </w: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Interest rate swap agreement other current assets</w:t>
            </w:r>
          </w:p>
        </w:tc>
        <w:tc>
          <w:tcPr>
            <w:tcW w:w="120" w:type="dxa"/>
            <w:vAlign w:val="bottom"/>
            <w:tcBorders>
              <w:bottom w:val="single" w:sz="8" w:color="CCEEFF"/>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CCEEFF"/>
            </w:tcBorders>
            <w:gridSpan w:val="2"/>
          </w:tcPr>
          <w:p>
            <w:pPr>
              <w:ind w:left="260"/>
              <w:spacing w:after="0"/>
              <w:rPr>
                <w:sz w:val="20"/>
                <w:szCs w:val="20"/>
                <w:color w:val="auto"/>
              </w:rPr>
            </w:pPr>
            <w:r>
              <w:rPr>
                <w:rFonts w:ascii="Times New Roman" w:cs="Times New Roman" w:eastAsia="Times New Roman" w:hAnsi="Times New Roman"/>
                <w:sz w:val="18"/>
                <w:szCs w:val="18"/>
                <w:color w:val="auto"/>
              </w:rPr>
              <w:t>accrued expenses</w:t>
            </w:r>
          </w:p>
        </w:tc>
        <w:tc>
          <w:tcPr>
            <w:tcW w:w="1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23"/>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flow hedges</w:t>
            </w: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2,619</w:t>
            </w:r>
          </w:p>
        </w:tc>
        <w:tc>
          <w:tcPr>
            <w:tcW w:w="1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2,489</w:t>
            </w:r>
          </w:p>
        </w:tc>
        <w:tc>
          <w:tcPr>
            <w:tcW w:w="60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 Recognition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the pre-tax effect of cash flow hedge accounting on our AOCL for the three months ended February 28, 2025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29, 2024:</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60" w:type="dxa"/>
            <w:vAlign w:val="bottom"/>
          </w:tcPr>
          <w:p>
            <w:pPr>
              <w:spacing w:after="0"/>
              <w:rPr>
                <w:sz w:val="18"/>
                <w:szCs w:val="18"/>
                <w:color w:val="auto"/>
              </w:rPr>
            </w:pPr>
          </w:p>
        </w:tc>
        <w:tc>
          <w:tcPr>
            <w:tcW w:w="25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Gain (Loss) Recognized in AOCL</w:t>
            </w:r>
          </w:p>
        </w:tc>
        <w:tc>
          <w:tcPr>
            <w:tcW w:w="2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8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Gain (Loss) Reclassified from</w:t>
            </w:r>
          </w:p>
        </w:tc>
        <w:tc>
          <w:tcPr>
            <w:tcW w:w="0" w:type="dxa"/>
            <w:vAlign w:val="bottom"/>
          </w:tcPr>
          <w:p>
            <w:pPr>
              <w:spacing w:after="0"/>
              <w:rPr>
                <w:sz w:val="1"/>
                <w:szCs w:val="1"/>
                <w:color w:val="auto"/>
              </w:rPr>
            </w:pPr>
          </w:p>
        </w:tc>
      </w:tr>
      <w:tr>
        <w:trPr>
          <w:trHeight w:val="234"/>
        </w:trPr>
        <w:tc>
          <w:tcPr>
            <w:tcW w:w="3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40" w:type="dxa"/>
            <w:vAlign w:val="bottom"/>
            <w:gridSpan w:val="3"/>
          </w:tcPr>
          <w:p>
            <w:pPr>
              <w:jc w:val="right"/>
              <w:ind w:right="670"/>
              <w:spacing w:after="0"/>
              <w:rPr>
                <w:sz w:val="20"/>
                <w:szCs w:val="20"/>
                <w:color w:val="auto"/>
              </w:rPr>
            </w:pPr>
            <w:r>
              <w:rPr>
                <w:rFonts w:ascii="Times New Roman" w:cs="Times New Roman" w:eastAsia="Times New Roman" w:hAnsi="Times New Roman"/>
                <w:sz w:val="18"/>
                <w:szCs w:val="18"/>
                <w:color w:val="auto"/>
              </w:rPr>
              <w:t>on Derivatives</w:t>
            </w:r>
          </w:p>
        </w:tc>
        <w:tc>
          <w:tcPr>
            <w:tcW w:w="2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80" w:type="dxa"/>
            <w:vAlign w:val="bottom"/>
            <w:gridSpan w:val="3"/>
          </w:tcPr>
          <w:p>
            <w:pPr>
              <w:jc w:val="right"/>
              <w:ind w:right="470"/>
              <w:spacing w:after="0"/>
              <w:rPr>
                <w:sz w:val="20"/>
                <w:szCs w:val="20"/>
                <w:color w:val="auto"/>
              </w:rPr>
            </w:pPr>
            <w:r>
              <w:rPr>
                <w:rFonts w:ascii="Times New Roman" w:cs="Times New Roman" w:eastAsia="Times New Roman" w:hAnsi="Times New Roman"/>
                <w:sz w:val="18"/>
                <w:szCs w:val="18"/>
                <w:color w:val="auto"/>
              </w:rPr>
              <w:t>AOCL into Income</w:t>
            </w:r>
          </w:p>
        </w:tc>
        <w:tc>
          <w:tcPr>
            <w:tcW w:w="0" w:type="dxa"/>
            <w:vAlign w:val="bottom"/>
          </w:tcPr>
          <w:p>
            <w:pPr>
              <w:spacing w:after="0"/>
              <w:rPr>
                <w:sz w:val="1"/>
                <w:szCs w:val="1"/>
                <w:color w:val="auto"/>
              </w:rPr>
            </w:pPr>
          </w:p>
        </w:tc>
      </w:tr>
      <w:tr>
        <w:trPr>
          <w:trHeight w:val="27"/>
        </w:trPr>
        <w:tc>
          <w:tcPr>
            <w:tcW w:w="36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3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3660" w:type="dxa"/>
            <w:vAlign w:val="bottom"/>
            <w:vMerge w:val="continue"/>
          </w:tcPr>
          <w:p>
            <w:pPr>
              <w:spacing w:after="0"/>
              <w:rPr>
                <w:sz w:val="23"/>
                <w:szCs w:val="23"/>
                <w:color w:val="auto"/>
              </w:rPr>
            </w:pPr>
          </w:p>
        </w:tc>
        <w:tc>
          <w:tcPr>
            <w:tcW w:w="140" w:type="dxa"/>
            <w:vAlign w:val="bottom"/>
          </w:tcPr>
          <w:p>
            <w:pPr>
              <w:spacing w:after="0"/>
              <w:rPr>
                <w:sz w:val="23"/>
                <w:szCs w:val="23"/>
                <w:color w:val="auto"/>
              </w:rPr>
            </w:pPr>
          </w:p>
        </w:tc>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February 28,</w:t>
            </w:r>
          </w:p>
        </w:tc>
        <w:tc>
          <w:tcPr>
            <w:tcW w:w="140" w:type="dxa"/>
            <w:vAlign w:val="bottom"/>
          </w:tcPr>
          <w:p>
            <w:pPr>
              <w:spacing w:after="0"/>
              <w:rPr>
                <w:sz w:val="23"/>
                <w:szCs w:val="23"/>
                <w:color w:val="auto"/>
              </w:rPr>
            </w:pPr>
          </w:p>
        </w:tc>
        <w:tc>
          <w:tcPr>
            <w:tcW w:w="11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February 29,</w:t>
            </w: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Location of Gain (Loss)</w:t>
            </w:r>
          </w:p>
        </w:tc>
        <w:tc>
          <w:tcPr>
            <w:tcW w:w="140" w:type="dxa"/>
            <w:vAlign w:val="bottom"/>
          </w:tcPr>
          <w:p>
            <w:pPr>
              <w:spacing w:after="0"/>
              <w:rPr>
                <w:sz w:val="23"/>
                <w:szCs w:val="23"/>
                <w:color w:val="auto"/>
              </w:rPr>
            </w:pP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9"/>
              </w:rPr>
              <w:t>February 28,</w:t>
            </w:r>
          </w:p>
        </w:tc>
        <w:tc>
          <w:tcPr>
            <w:tcW w:w="140" w:type="dxa"/>
            <w:vAlign w:val="bottom"/>
          </w:tcPr>
          <w:p>
            <w:pPr>
              <w:spacing w:after="0"/>
              <w:rPr>
                <w:sz w:val="23"/>
                <w:szCs w:val="23"/>
                <w:color w:val="auto"/>
              </w:rPr>
            </w:pP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February 29,</w:t>
            </w:r>
          </w:p>
        </w:tc>
        <w:tc>
          <w:tcPr>
            <w:tcW w:w="0" w:type="dxa"/>
            <w:vAlign w:val="bottom"/>
          </w:tcPr>
          <w:p>
            <w:pPr>
              <w:spacing w:after="0"/>
              <w:rPr>
                <w:sz w:val="1"/>
                <w:szCs w:val="1"/>
                <w:color w:val="auto"/>
              </w:rPr>
            </w:pPr>
          </w:p>
        </w:tc>
      </w:tr>
      <w:tr>
        <w:trPr>
          <w:trHeight w:val="180"/>
        </w:trPr>
        <w:tc>
          <w:tcPr>
            <w:tcW w:w="36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Derivatives in Cash Flow Hedging Relationships</w:t>
            </w:r>
          </w:p>
        </w:tc>
        <w:tc>
          <w:tcPr>
            <w:tcW w:w="140" w:type="dxa"/>
            <w:vAlign w:val="bottom"/>
          </w:tcPr>
          <w:p>
            <w:pPr>
              <w:spacing w:after="0"/>
              <w:rPr>
                <w:sz w:val="15"/>
                <w:szCs w:val="15"/>
                <w:color w:val="auto"/>
              </w:rPr>
            </w:pPr>
          </w:p>
        </w:tc>
        <w:tc>
          <w:tcPr>
            <w:tcW w:w="114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tcPr>
          <w:p>
            <w:pPr>
              <w:spacing w:after="0"/>
              <w:rPr>
                <w:sz w:val="15"/>
                <w:szCs w:val="15"/>
                <w:color w:val="auto"/>
              </w:rPr>
            </w:pPr>
          </w:p>
        </w:tc>
        <w:tc>
          <w:tcPr>
            <w:tcW w:w="116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color w:val="auto"/>
              </w:rPr>
              <w:t>2024</w:t>
            </w:r>
          </w:p>
        </w:tc>
        <w:tc>
          <w:tcPr>
            <w:tcW w:w="2380" w:type="dxa"/>
            <w:vAlign w:val="bottom"/>
          </w:tcPr>
          <w:p>
            <w:pPr>
              <w:ind w:left="520"/>
              <w:spacing w:after="0" w:line="181" w:lineRule="exact"/>
              <w:rPr>
                <w:sz w:val="20"/>
                <w:szCs w:val="20"/>
                <w:color w:val="auto"/>
              </w:rPr>
            </w:pPr>
            <w:r>
              <w:rPr>
                <w:rFonts w:ascii="Times New Roman" w:cs="Times New Roman" w:eastAsia="Times New Roman" w:hAnsi="Times New Roman"/>
                <w:sz w:val="18"/>
                <w:szCs w:val="18"/>
                <w:color w:val="auto"/>
              </w:rPr>
              <w:t>Reclassified from</w:t>
            </w:r>
          </w:p>
        </w:tc>
        <w:tc>
          <w:tcPr>
            <w:tcW w:w="140" w:type="dxa"/>
            <w:vAlign w:val="bottom"/>
          </w:tcPr>
          <w:p>
            <w:pPr>
              <w:spacing w:after="0"/>
              <w:rPr>
                <w:sz w:val="15"/>
                <w:szCs w:val="15"/>
                <w:color w:val="auto"/>
              </w:rPr>
            </w:pPr>
          </w:p>
        </w:tc>
        <w:tc>
          <w:tcPr>
            <w:tcW w:w="112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tcPr>
          <w:p>
            <w:pPr>
              <w:spacing w:after="0"/>
              <w:rPr>
                <w:sz w:val="15"/>
                <w:szCs w:val="15"/>
                <w:color w:val="auto"/>
              </w:rPr>
            </w:pPr>
          </w:p>
        </w:tc>
        <w:tc>
          <w:tcPr>
            <w:tcW w:w="112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29"/>
        </w:trPr>
        <w:tc>
          <w:tcPr>
            <w:tcW w:w="366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2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AOCL into Income</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2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SG&amp;A</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30"/>
        </w:trPr>
        <w:tc>
          <w:tcPr>
            <w:tcW w:w="3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rate swap agreement</w:t>
            </w: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3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Interest expense</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0" w:type="dxa"/>
            <w:vAlign w:val="bottom"/>
          </w:tcPr>
          <w:p>
            <w:pPr>
              <w:spacing w:after="0"/>
              <w:rPr>
                <w:sz w:val="1"/>
                <w:szCs w:val="1"/>
                <w:color w:val="auto"/>
              </w:rPr>
            </w:pPr>
          </w:p>
        </w:tc>
      </w:tr>
      <w:tr>
        <w:trPr>
          <w:trHeight w:val="223"/>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flow hedges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23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following table provides the pre-tax effect of cash flow hedge accounting on our AOCL for the six months ended February 28, 2025 and</w:t>
      </w:r>
    </w:p>
    <w:p>
      <w:pPr>
        <w:ind w:left="20"/>
        <w:spacing w:after="0"/>
        <w:rPr>
          <w:sz w:val="20"/>
          <w:szCs w:val="20"/>
          <w:color w:val="auto"/>
        </w:rPr>
      </w:pPr>
      <w:r>
        <w:rPr>
          <w:rFonts w:ascii="Times New Roman" w:cs="Times New Roman" w:eastAsia="Times New Roman" w:hAnsi="Times New Roman"/>
          <w:sz w:val="18"/>
          <w:szCs w:val="18"/>
          <w:color w:val="auto"/>
        </w:rPr>
        <w:t>February 29, 2024:</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00" w:type="dxa"/>
            <w:vAlign w:val="bottom"/>
          </w:tcPr>
          <w:p>
            <w:pPr>
              <w:spacing w:after="0"/>
              <w:rPr>
                <w:sz w:val="18"/>
                <w:szCs w:val="18"/>
                <w:color w:val="auto"/>
              </w:rPr>
            </w:pPr>
          </w:p>
        </w:tc>
        <w:tc>
          <w:tcPr>
            <w:tcW w:w="2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Gain (Loss) Recognized in AOCL</w:t>
            </w:r>
          </w:p>
        </w:tc>
        <w:tc>
          <w:tcPr>
            <w:tcW w:w="2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8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Gain (Loss) Reclassified from</w:t>
            </w:r>
          </w:p>
        </w:tc>
        <w:tc>
          <w:tcPr>
            <w:tcW w:w="0" w:type="dxa"/>
            <w:vAlign w:val="bottom"/>
          </w:tcPr>
          <w:p>
            <w:pPr>
              <w:spacing w:after="0"/>
              <w:rPr>
                <w:sz w:val="1"/>
                <w:szCs w:val="1"/>
                <w:color w:val="auto"/>
              </w:rPr>
            </w:pPr>
          </w:p>
        </w:tc>
      </w:tr>
      <w:tr>
        <w:trPr>
          <w:trHeight w:val="234"/>
        </w:trPr>
        <w:tc>
          <w:tcPr>
            <w:tcW w:w="3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0" w:type="dxa"/>
            <w:vAlign w:val="bottom"/>
            <w:gridSpan w:val="3"/>
          </w:tcPr>
          <w:p>
            <w:pPr>
              <w:jc w:val="right"/>
              <w:ind w:right="650"/>
              <w:spacing w:after="0"/>
              <w:rPr>
                <w:sz w:val="20"/>
                <w:szCs w:val="20"/>
                <w:color w:val="auto"/>
              </w:rPr>
            </w:pPr>
            <w:r>
              <w:rPr>
                <w:rFonts w:ascii="Times New Roman" w:cs="Times New Roman" w:eastAsia="Times New Roman" w:hAnsi="Times New Roman"/>
                <w:sz w:val="18"/>
                <w:szCs w:val="18"/>
                <w:color w:val="auto"/>
              </w:rPr>
              <w:t>on Derivatives</w:t>
            </w:r>
          </w:p>
        </w:tc>
        <w:tc>
          <w:tcPr>
            <w:tcW w:w="2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80" w:type="dxa"/>
            <w:vAlign w:val="bottom"/>
            <w:gridSpan w:val="3"/>
          </w:tcPr>
          <w:p>
            <w:pPr>
              <w:jc w:val="right"/>
              <w:ind w:right="470"/>
              <w:spacing w:after="0"/>
              <w:rPr>
                <w:sz w:val="20"/>
                <w:szCs w:val="20"/>
                <w:color w:val="auto"/>
              </w:rPr>
            </w:pPr>
            <w:r>
              <w:rPr>
                <w:rFonts w:ascii="Times New Roman" w:cs="Times New Roman" w:eastAsia="Times New Roman" w:hAnsi="Times New Roman"/>
                <w:sz w:val="18"/>
                <w:szCs w:val="18"/>
                <w:color w:val="auto"/>
              </w:rPr>
              <w:t>AOCL into Income</w:t>
            </w:r>
          </w:p>
        </w:tc>
        <w:tc>
          <w:tcPr>
            <w:tcW w:w="0" w:type="dxa"/>
            <w:vAlign w:val="bottom"/>
          </w:tcPr>
          <w:p>
            <w:pPr>
              <w:spacing w:after="0"/>
              <w:rPr>
                <w:sz w:val="1"/>
                <w:szCs w:val="1"/>
                <w:color w:val="auto"/>
              </w:rPr>
            </w:pPr>
          </w:p>
        </w:tc>
      </w:tr>
      <w:tr>
        <w:trPr>
          <w:trHeight w:val="27"/>
        </w:trPr>
        <w:tc>
          <w:tcPr>
            <w:tcW w:w="37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3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3700" w:type="dxa"/>
            <w:vAlign w:val="bottom"/>
            <w:vMerge w:val="continue"/>
          </w:tcPr>
          <w:p>
            <w:pPr>
              <w:spacing w:after="0"/>
              <w:rPr>
                <w:sz w:val="23"/>
                <w:szCs w:val="23"/>
                <w:color w:val="auto"/>
              </w:rPr>
            </w:pPr>
          </w:p>
        </w:tc>
        <w:tc>
          <w:tcPr>
            <w:tcW w:w="140" w:type="dxa"/>
            <w:vAlign w:val="bottom"/>
          </w:tcPr>
          <w:p>
            <w:pPr>
              <w:spacing w:after="0"/>
              <w:rPr>
                <w:sz w:val="23"/>
                <w:szCs w:val="23"/>
                <w:color w:val="auto"/>
              </w:rPr>
            </w:pPr>
          </w:p>
        </w:tc>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February 28,</w:t>
            </w:r>
          </w:p>
        </w:tc>
        <w:tc>
          <w:tcPr>
            <w:tcW w:w="140" w:type="dxa"/>
            <w:vAlign w:val="bottom"/>
          </w:tcPr>
          <w:p>
            <w:pPr>
              <w:spacing w:after="0"/>
              <w:rPr>
                <w:sz w:val="23"/>
                <w:szCs w:val="23"/>
                <w:color w:val="auto"/>
              </w:rPr>
            </w:pP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9"/>
              </w:rPr>
              <w:t>February 29,</w:t>
            </w: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Location of Gain (Loss)</w:t>
            </w:r>
          </w:p>
        </w:tc>
        <w:tc>
          <w:tcPr>
            <w:tcW w:w="140" w:type="dxa"/>
            <w:vAlign w:val="bottom"/>
          </w:tcPr>
          <w:p>
            <w:pPr>
              <w:spacing w:after="0"/>
              <w:rPr>
                <w:sz w:val="23"/>
                <w:szCs w:val="23"/>
                <w:color w:val="auto"/>
              </w:rPr>
            </w:pP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9"/>
              </w:rPr>
              <w:t>February 28,</w:t>
            </w:r>
          </w:p>
        </w:tc>
        <w:tc>
          <w:tcPr>
            <w:tcW w:w="140" w:type="dxa"/>
            <w:vAlign w:val="bottom"/>
          </w:tcPr>
          <w:p>
            <w:pPr>
              <w:spacing w:after="0"/>
              <w:rPr>
                <w:sz w:val="23"/>
                <w:szCs w:val="23"/>
                <w:color w:val="auto"/>
              </w:rPr>
            </w:pP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February 29,</w:t>
            </w:r>
          </w:p>
        </w:tc>
        <w:tc>
          <w:tcPr>
            <w:tcW w:w="0" w:type="dxa"/>
            <w:vAlign w:val="bottom"/>
          </w:tcPr>
          <w:p>
            <w:pPr>
              <w:spacing w:after="0"/>
              <w:rPr>
                <w:sz w:val="1"/>
                <w:szCs w:val="1"/>
                <w:color w:val="auto"/>
              </w:rPr>
            </w:pPr>
          </w:p>
        </w:tc>
      </w:tr>
      <w:tr>
        <w:trPr>
          <w:trHeight w:val="180"/>
        </w:trPr>
        <w:tc>
          <w:tcPr>
            <w:tcW w:w="37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Derivatives in Cash Flow Hedging Relationships</w:t>
            </w:r>
          </w:p>
        </w:tc>
        <w:tc>
          <w:tcPr>
            <w:tcW w:w="140" w:type="dxa"/>
            <w:vAlign w:val="bottom"/>
          </w:tcPr>
          <w:p>
            <w:pPr>
              <w:spacing w:after="0"/>
              <w:rPr>
                <w:sz w:val="15"/>
                <w:szCs w:val="15"/>
                <w:color w:val="auto"/>
              </w:rPr>
            </w:pPr>
          </w:p>
        </w:tc>
        <w:tc>
          <w:tcPr>
            <w:tcW w:w="114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tcPr>
          <w:p>
            <w:pPr>
              <w:spacing w:after="0"/>
              <w:rPr>
                <w:sz w:val="15"/>
                <w:szCs w:val="15"/>
                <w:color w:val="auto"/>
              </w:rPr>
            </w:pPr>
          </w:p>
        </w:tc>
        <w:tc>
          <w:tcPr>
            <w:tcW w:w="112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color w:val="auto"/>
              </w:rPr>
              <w:t>2024</w:t>
            </w:r>
          </w:p>
        </w:tc>
        <w:tc>
          <w:tcPr>
            <w:tcW w:w="2380" w:type="dxa"/>
            <w:vAlign w:val="bottom"/>
          </w:tcPr>
          <w:p>
            <w:pPr>
              <w:ind w:left="520"/>
              <w:spacing w:after="0" w:line="181" w:lineRule="exact"/>
              <w:rPr>
                <w:sz w:val="20"/>
                <w:szCs w:val="20"/>
                <w:color w:val="auto"/>
              </w:rPr>
            </w:pPr>
            <w:r>
              <w:rPr>
                <w:rFonts w:ascii="Times New Roman" w:cs="Times New Roman" w:eastAsia="Times New Roman" w:hAnsi="Times New Roman"/>
                <w:sz w:val="18"/>
                <w:szCs w:val="18"/>
                <w:color w:val="auto"/>
              </w:rPr>
              <w:t>Reclassified from</w:t>
            </w:r>
          </w:p>
        </w:tc>
        <w:tc>
          <w:tcPr>
            <w:tcW w:w="140" w:type="dxa"/>
            <w:vAlign w:val="bottom"/>
          </w:tcPr>
          <w:p>
            <w:pPr>
              <w:spacing w:after="0"/>
              <w:rPr>
                <w:sz w:val="15"/>
                <w:szCs w:val="15"/>
                <w:color w:val="auto"/>
              </w:rPr>
            </w:pPr>
          </w:p>
        </w:tc>
        <w:tc>
          <w:tcPr>
            <w:tcW w:w="112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tcPr>
          <w:p>
            <w:pPr>
              <w:spacing w:after="0"/>
              <w:rPr>
                <w:sz w:val="15"/>
                <w:szCs w:val="15"/>
                <w:color w:val="auto"/>
              </w:rPr>
            </w:pPr>
          </w:p>
        </w:tc>
        <w:tc>
          <w:tcPr>
            <w:tcW w:w="112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29"/>
        </w:trPr>
        <w:tc>
          <w:tcPr>
            <w:tcW w:w="370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2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AOCL into Income</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2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SG&amp;A</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0" w:type="dxa"/>
            <w:vAlign w:val="bottom"/>
          </w:tcPr>
          <w:p>
            <w:pPr>
              <w:spacing w:after="0"/>
              <w:rPr>
                <w:sz w:val="1"/>
                <w:szCs w:val="1"/>
                <w:color w:val="auto"/>
              </w:rPr>
            </w:pPr>
          </w:p>
        </w:tc>
      </w:tr>
      <w:tr>
        <w:trPr>
          <w:trHeight w:val="229"/>
        </w:trPr>
        <w:tc>
          <w:tcPr>
            <w:tcW w:w="3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rate swap agreement</w:t>
            </w: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3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Interest expense</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3,150</w:t>
            </w:r>
          </w:p>
        </w:tc>
        <w:tc>
          <w:tcPr>
            <w:tcW w:w="0" w:type="dxa"/>
            <w:vAlign w:val="bottom"/>
          </w:tcPr>
          <w:p>
            <w:pPr>
              <w:spacing w:after="0"/>
              <w:rPr>
                <w:sz w:val="1"/>
                <w:szCs w:val="1"/>
                <w:color w:val="auto"/>
              </w:rPr>
            </w:pPr>
          </w:p>
        </w:tc>
      </w:tr>
      <w:tr>
        <w:trPr>
          <w:trHeight w:val="223"/>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flow hedges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23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3,468</w:t>
            </w:r>
          </w:p>
        </w:tc>
        <w:tc>
          <w:tcPr>
            <w:tcW w:w="0" w:type="dxa"/>
            <w:vAlign w:val="bottom"/>
          </w:tcPr>
          <w:p>
            <w:pPr>
              <w:spacing w:after="0"/>
              <w:rPr>
                <w:sz w:val="1"/>
                <w:szCs w:val="1"/>
                <w:color w:val="auto"/>
              </w:rPr>
            </w:pPr>
          </w:p>
        </w:tc>
      </w:tr>
    </w:tbl>
    <w:p>
      <w:pPr>
        <w:spacing w:after="0" w:line="37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February 28, 2025, we estimate that net pre-tax derivative losses of $2.5 million included in AOCL will be reclassified into earnings within the next 12 months.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Offsetting of Derivative Instruments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enter into master netting arrangements designed to permit net settlement of derivative transactions among the respective counterparties, settled on the same date and in the same currency. As of February 28, 2025 and August 31, 2024, there were no material amounts recorded net in the Consolidated Balance Sheets.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6. ACQUISITIONS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 Holdings, LLC ("LiquidityBook")</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On February 7, 2025, we completed the acquisition of LiquidityBook for a purchase price of $243.8 million, net of cash acquired, and inclusive of preliminary working capital adjustments. The purchase price includes contingent consideration of $11.9 million which reflects the acquisition date fair value of potential future payments that are contingent upon the achievement of certain specified milestones. Refer to Note 4, </w:t>
      </w:r>
      <w:r>
        <w:rPr>
          <w:rFonts w:ascii="Times New Roman" w:cs="Times New Roman" w:eastAsia="Times New Roman" w:hAnsi="Times New Roman"/>
          <w:sz w:val="18"/>
          <w:szCs w:val="18"/>
          <w:i w:val="1"/>
          <w:iCs w:val="1"/>
          <w:color w:val="auto"/>
        </w:rPr>
        <w:t>Fair Value Measures,</w:t>
      </w:r>
      <w:r>
        <w:rPr>
          <w:rFonts w:ascii="Times New Roman" w:cs="Times New Roman" w:eastAsia="Times New Roman" w:hAnsi="Times New Roman"/>
          <w:sz w:val="18"/>
          <w:szCs w:val="18"/>
          <w:color w:val="auto"/>
        </w:rPr>
        <w:t xml:space="preserve"> for information regarding the contingent consideration.</w:t>
      </w:r>
    </w:p>
    <w:p>
      <w:pPr>
        <w:spacing w:after="0" w:line="19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LiquidityBook provides cloud-native trading solutions to hedge fund, asset and wealth management, outsourced trading, and sell-side middle office clients. LiquidityBook operates a proprietary FIX network that enables streamlined connectivity to over 200 brokers and order routing to more than 1,600 destinations across 80 markets globally. This acquisition adds technology-forward order management and investment book of record capabilities and enhances FactSet’s ability to serve the integrated workflow needs of clients across the portfolio life cycle.</w:t>
      </w:r>
    </w:p>
    <w:p>
      <w:pPr>
        <w:spacing w:after="0" w:line="20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The LiquidityBook purchase price was in excess of the fair value of net assets acquired, resulting in the recognition of goodwill. The preliminary purchase price allocation is subject to change pending a final valuation of the assets and liabilities acquired and the finalization of working capital adjustments. We expect to finalize the allocation of the purchase price for LiquidityBook as soon as possible, but in any event, no later than one year from the acquisition date.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acquisition date fair values of major classes of assets acquired and liabilities assumed are as follows: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20" w:type="dxa"/>
            <w:vAlign w:val="bottom"/>
          </w:tcPr>
          <w:p>
            <w:pPr>
              <w:spacing w:after="0"/>
              <w:rPr>
                <w:sz w:val="18"/>
                <w:szCs w:val="18"/>
                <w:color w:val="auto"/>
              </w:rPr>
            </w:pPr>
          </w:p>
        </w:tc>
        <w:tc>
          <w:tcPr>
            <w:tcW w:w="19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Acquisition Date Fair</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Acquisition Date Useful</w:t>
            </w:r>
          </w:p>
        </w:tc>
        <w:tc>
          <w:tcPr>
            <w:tcW w:w="1860" w:type="dxa"/>
            <w:vAlign w:val="bottom"/>
          </w:tcPr>
          <w:p>
            <w:pPr>
              <w:spacing w:after="0"/>
              <w:rPr>
                <w:sz w:val="18"/>
                <w:szCs w:val="18"/>
                <w:color w:val="auto"/>
              </w:rPr>
            </w:pPr>
          </w:p>
        </w:tc>
      </w:tr>
      <w:tr>
        <w:trPr>
          <w:trHeight w:val="236"/>
        </w:trPr>
        <w:tc>
          <w:tcPr>
            <w:tcW w:w="5520" w:type="dxa"/>
            <w:vAlign w:val="bottom"/>
          </w:tcPr>
          <w:p>
            <w:pPr>
              <w:spacing w:after="0"/>
              <w:rPr>
                <w:sz w:val="20"/>
                <w:szCs w:val="20"/>
                <w:color w:val="auto"/>
              </w:rPr>
            </w:pPr>
          </w:p>
        </w:tc>
        <w:tc>
          <w:tcPr>
            <w:tcW w:w="122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w w:val="92"/>
              </w:rPr>
              <w:t>Value</w:t>
            </w:r>
          </w:p>
        </w:tc>
        <w:tc>
          <w:tcPr>
            <w:tcW w:w="70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Life</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Amortization Method</w:t>
            </w:r>
          </w:p>
        </w:tc>
      </w:tr>
      <w:tr>
        <w:trPr>
          <w:trHeight w:val="236"/>
        </w:trPr>
        <w:tc>
          <w:tcPr>
            <w:tcW w:w="552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rPr>
              <w:t>(in years)</w:t>
            </w:r>
          </w:p>
        </w:tc>
        <w:tc>
          <w:tcPr>
            <w:tcW w:w="1860" w:type="dxa"/>
            <w:vAlign w:val="bottom"/>
            <w:tcBorders>
              <w:bottom w:val="single" w:sz="8" w:color="auto"/>
            </w:tcBorders>
          </w:tcPr>
          <w:p>
            <w:pPr>
              <w:spacing w:after="0"/>
              <w:rPr>
                <w:sz w:val="20"/>
                <w:szCs w:val="20"/>
                <w:color w:val="auto"/>
              </w:rPr>
            </w:pPr>
          </w:p>
        </w:tc>
      </w:tr>
      <w:tr>
        <w:trPr>
          <w:trHeight w:val="223"/>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220" w:type="dxa"/>
            <w:vAlign w:val="bottom"/>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3,629</w:t>
            </w:r>
          </w:p>
        </w:tc>
        <w:tc>
          <w:tcPr>
            <w:tcW w:w="194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r>
      <w:tr>
        <w:trPr>
          <w:trHeight w:val="230"/>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Amortizable intangible assets</w:t>
            </w:r>
          </w:p>
        </w:tc>
        <w:tc>
          <w:tcPr>
            <w:tcW w:w="1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30"/>
        </w:trPr>
        <w:tc>
          <w:tcPr>
            <w:tcW w:w="55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Software technology</w:t>
            </w:r>
          </w:p>
        </w:tc>
        <w:tc>
          <w:tcPr>
            <w:tcW w:w="1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68,000</w:t>
            </w:r>
          </w:p>
        </w:tc>
        <w:tc>
          <w:tcPr>
            <w:tcW w:w="1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 years</w:t>
            </w: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Straight-line</w:t>
            </w:r>
          </w:p>
        </w:tc>
      </w:tr>
      <w:tr>
        <w:trPr>
          <w:trHeight w:val="229"/>
        </w:trPr>
        <w:tc>
          <w:tcPr>
            <w:tcW w:w="5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Client relationships</w:t>
            </w:r>
          </w:p>
        </w:tc>
        <w:tc>
          <w:tcPr>
            <w:tcW w:w="1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9,200</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 years</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Straight-line</w:t>
            </w:r>
          </w:p>
        </w:tc>
      </w:tr>
      <w:tr>
        <w:trPr>
          <w:trHeight w:val="230"/>
        </w:trPr>
        <w:tc>
          <w:tcPr>
            <w:tcW w:w="5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Trade names</w:t>
            </w:r>
          </w:p>
        </w:tc>
        <w:tc>
          <w:tcPr>
            <w:tcW w:w="1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1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 years</w:t>
            </w: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Straight-line</w:t>
            </w:r>
          </w:p>
        </w:tc>
      </w:tr>
      <w:tr>
        <w:trPr>
          <w:trHeight w:val="230"/>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162,376</w:t>
            </w:r>
          </w:p>
        </w:tc>
        <w:tc>
          <w:tcPr>
            <w:tcW w:w="194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30"/>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94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r>
      <w:tr>
        <w:trPr>
          <w:trHeight w:val="229"/>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30"/>
        </w:trPr>
        <w:tc>
          <w:tcPr>
            <w:tcW w:w="55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Deferred revenues</w:t>
            </w:r>
          </w:p>
        </w:tc>
        <w:tc>
          <w:tcPr>
            <w:tcW w:w="1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194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r>
      <w:tr>
        <w:trPr>
          <w:trHeight w:val="230"/>
        </w:trPr>
        <w:tc>
          <w:tcPr>
            <w:tcW w:w="5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(2,414)</w:t>
            </w:r>
          </w:p>
        </w:tc>
        <w:tc>
          <w:tcPr>
            <w:tcW w:w="194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30"/>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2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94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r>
      <w:tr>
        <w:trPr>
          <w:trHeight w:val="22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purchase price</w:t>
            </w:r>
          </w:p>
        </w:tc>
        <w:tc>
          <w:tcPr>
            <w:tcW w:w="1220" w:type="dxa"/>
            <w:vAlign w:val="bottom"/>
            <w:tcBorders>
              <w:bottom w:val="single" w:sz="8" w:color="auto"/>
            </w:tcBorders>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243,832</w:t>
            </w:r>
          </w:p>
        </w:tc>
        <w:tc>
          <w:tcPr>
            <w:tcW w:w="194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0"/>
        </w:trPr>
        <w:tc>
          <w:tcPr>
            <w:tcW w:w="55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Goodwill totaling $162.4 million represents the excess of the LiquidityBook purchase price over the fair value of net assets acquired and considers future economic benefits that we expect to achieve as a result of the acquisition. The goodwill is included in the Americas segment, subject to final allocation, and is deductible for income tax purposes.</w:t>
      </w:r>
    </w:p>
    <w:p>
      <w:pPr>
        <w:spacing w:after="0" w:line="14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results of LiquidityBook's operations have been included in our Consolidated Financial Statements, within the Americas, EMEA and Asia Pacific segments, beginning with the closing of the acquisition on February 7, 2025. Pro forma information has not been presented because the effect of the LiquidityBook acquisition is not material to our Consolidated Financial Statements.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Platform Group Limited ("Irwin")</w:t>
      </w:r>
    </w:p>
    <w:p>
      <w:pPr>
        <w:spacing w:after="0" w:line="17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 xml:space="preserve">On November 5, 2024, we completed the acquisition of Irwin for a purchase price of $120.2 million, net of cash acquired, and inclusive of preliminary working capital adjustments. The purchase price includes contingent consideration of $9.6 million which reflects the acquisition date fair value of potential future payments that are contingent upon the achievement of certain specified milestones. Refer to Note 4, </w:t>
      </w:r>
      <w:r>
        <w:rPr>
          <w:rFonts w:ascii="Times New Roman" w:cs="Times New Roman" w:eastAsia="Times New Roman" w:hAnsi="Times New Roman"/>
          <w:sz w:val="18"/>
          <w:szCs w:val="18"/>
          <w:i w:val="1"/>
          <w:iCs w:val="1"/>
          <w:color w:val="auto"/>
        </w:rPr>
        <w:t>Fair Value Measures,</w:t>
      </w:r>
      <w:r>
        <w:rPr>
          <w:rFonts w:ascii="Times New Roman" w:cs="Times New Roman" w:eastAsia="Times New Roman" w:hAnsi="Times New Roman"/>
          <w:sz w:val="18"/>
          <w:szCs w:val="18"/>
          <w:color w:val="auto"/>
        </w:rPr>
        <w:t xml:space="preserve"> for information regarding the contingent consideration.</w:t>
      </w:r>
    </w:p>
    <w:p>
      <w:pPr>
        <w:spacing w:after="0" w:line="2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Irwin is a leading investor relations and capital markets platform for public companies and their advisors. This acquisition builds on a recent successful partnership between FactSet and Irwin, and expands our ability to address the holistic workflow needs of investor relations professionals with an integrated, modern solution.</w:t>
      </w:r>
    </w:p>
    <w:p>
      <w:pPr>
        <w:spacing w:after="0" w:line="19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Irwin purchase price was in excess of the fair value of net assets acquired, resulting in the recognition of goodwill. The preliminary purchase price allocation is subject to change pending a final valuation of the assets and liabilities acquired and the finalization of working capital adjustments. We expect to finalize the allocation of the purchase price for Irwin as soon as possible, but in any event, no later than one year from the acquisition date.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acquisition date fair values of major classes of assets acquired and liabilities assumed are as follows: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60" w:type="dxa"/>
            <w:vAlign w:val="bottom"/>
          </w:tcPr>
          <w:p>
            <w:pPr>
              <w:spacing w:after="0"/>
              <w:rPr>
                <w:sz w:val="17"/>
                <w:szCs w:val="17"/>
                <w:color w:val="auto"/>
              </w:rPr>
            </w:pPr>
          </w:p>
        </w:tc>
        <w:tc>
          <w:tcPr>
            <w:tcW w:w="1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Acquisition Date Fair</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Acquisition Date</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Amortization</w:t>
            </w:r>
          </w:p>
        </w:tc>
      </w:tr>
      <w:tr>
        <w:trPr>
          <w:trHeight w:val="228"/>
        </w:trPr>
        <w:tc>
          <w:tcPr>
            <w:tcW w:w="6360" w:type="dxa"/>
            <w:vAlign w:val="bottom"/>
          </w:tcPr>
          <w:p>
            <w:pPr>
              <w:spacing w:after="0"/>
              <w:rPr>
                <w:sz w:val="19"/>
                <w:szCs w:val="19"/>
                <w:color w:val="auto"/>
              </w:rPr>
            </w:pPr>
          </w:p>
        </w:tc>
        <w:tc>
          <w:tcPr>
            <w:tcW w:w="1200" w:type="dxa"/>
            <w:vAlign w:val="bottom"/>
          </w:tcPr>
          <w:p>
            <w:pPr>
              <w:jc w:val="center"/>
              <w:ind w:left="630"/>
              <w:spacing w:after="0"/>
              <w:rPr>
                <w:sz w:val="20"/>
                <w:szCs w:val="20"/>
                <w:color w:val="auto"/>
              </w:rPr>
            </w:pPr>
            <w:r>
              <w:rPr>
                <w:rFonts w:ascii="Times New Roman" w:cs="Times New Roman" w:eastAsia="Times New Roman" w:hAnsi="Times New Roman"/>
                <w:sz w:val="18"/>
                <w:szCs w:val="18"/>
                <w:color w:val="auto"/>
                <w:w w:val="92"/>
              </w:rPr>
              <w:t>Value</w:t>
            </w:r>
          </w:p>
        </w:tc>
        <w:tc>
          <w:tcPr>
            <w:tcW w:w="70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Useful Life</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Method</w:t>
            </w:r>
          </w:p>
        </w:tc>
      </w:tr>
      <w:tr>
        <w:trPr>
          <w:trHeight w:val="236"/>
        </w:trPr>
        <w:tc>
          <w:tcPr>
            <w:tcW w:w="636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rPr>
              <w:t>(in years)</w:t>
            </w:r>
          </w:p>
        </w:tc>
        <w:tc>
          <w:tcPr>
            <w:tcW w:w="1340" w:type="dxa"/>
            <w:vAlign w:val="bottom"/>
            <w:tcBorders>
              <w:bottom w:val="single" w:sz="8" w:color="auto"/>
            </w:tcBorders>
          </w:tcPr>
          <w:p>
            <w:pPr>
              <w:spacing w:after="0"/>
              <w:rPr>
                <w:sz w:val="20"/>
                <w:szCs w:val="20"/>
                <w:color w:val="auto"/>
              </w:rPr>
            </w:pP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200" w:type="dxa"/>
            <w:vAlign w:val="bottom"/>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2,393</w:t>
            </w:r>
          </w:p>
        </w:tc>
        <w:tc>
          <w:tcPr>
            <w:tcW w:w="16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Amortizable intangible assets</w:t>
            </w:r>
          </w:p>
        </w:tc>
        <w:tc>
          <w:tcPr>
            <w:tcW w:w="1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9"/>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Software technology</w:t>
            </w:r>
          </w:p>
        </w:tc>
        <w:tc>
          <w:tcPr>
            <w:tcW w:w="1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36,100</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 years</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Straight-line</w:t>
            </w:r>
          </w:p>
        </w:tc>
      </w:tr>
      <w:tr>
        <w:trPr>
          <w:trHeight w:val="230"/>
        </w:trPr>
        <w:tc>
          <w:tcPr>
            <w:tcW w:w="6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Client relationships</w:t>
            </w:r>
          </w:p>
        </w:tc>
        <w:tc>
          <w:tcPr>
            <w:tcW w:w="1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 years</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Straight-line</w:t>
            </w:r>
          </w:p>
        </w:tc>
      </w:tr>
      <w:tr>
        <w:trPr>
          <w:trHeight w:val="229"/>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Trade names</w:t>
            </w:r>
          </w:p>
        </w:tc>
        <w:tc>
          <w:tcPr>
            <w:tcW w:w="1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 years</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Straight-line</w:t>
            </w: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90,337</w:t>
            </w:r>
          </w:p>
        </w:tc>
        <w:tc>
          <w:tcPr>
            <w:tcW w:w="16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0"/>
        </w:trPr>
        <w:tc>
          <w:tcPr>
            <w:tcW w:w="6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Deferred revenues</w:t>
            </w:r>
          </w:p>
        </w:tc>
        <w:tc>
          <w:tcPr>
            <w:tcW w:w="1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(4,218)</w:t>
            </w:r>
          </w:p>
        </w:tc>
        <w:tc>
          <w:tcPr>
            <w:tcW w:w="16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63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6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0"/>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(7,002)</w:t>
            </w:r>
          </w:p>
        </w:tc>
        <w:tc>
          <w:tcPr>
            <w:tcW w:w="164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purchase price</w:t>
            </w:r>
          </w:p>
        </w:tc>
        <w:tc>
          <w:tcPr>
            <w:tcW w:w="1200" w:type="dxa"/>
            <w:vAlign w:val="bottom"/>
            <w:tcBorders>
              <w:bottom w:val="single" w:sz="8" w:color="auto"/>
            </w:tcBorders>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120,186</w:t>
            </w:r>
          </w:p>
        </w:tc>
        <w:tc>
          <w:tcPr>
            <w:tcW w:w="16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r>
    </w:tbl>
    <w:p>
      <w:pPr>
        <w:spacing w:after="0" w:line="22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Goodwill totaling $90.3 million represents the excess of the Irwin purchase price over the fair value of net assets acquired and considers future economic benefits that we expect to achieve as a result of the acquisition. The goodwill is included in the Americas segment, subject to final allocation, and is not deductible for income tax purposes.</w:t>
      </w:r>
    </w:p>
    <w:p>
      <w:pPr>
        <w:spacing w:after="0" w:line="15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results of Irwin's operations have been included in our Consolidated Financial Statements, within the Americas, EMEA and Asia Pacific segments, beginning with the closing of the acquisition on November 5, 2024. Pro forma information has not been presented because the effect of the Irwin acquisition is not material to our Consolidated Financial Statements.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7. GOODWILL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carrying value of goodwill by segment for the six months ended February 28, 2025 are as follows: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Americas</w:t>
            </w: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EMEA</w:t>
            </w: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Asia Pacific</w:t>
            </w: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Total</w:t>
            </w:r>
          </w:p>
        </w:tc>
      </w:tr>
      <w:tr>
        <w:trPr>
          <w:trHeight w:val="223"/>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August 31, 2024</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704,454</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304,442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2,233</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1,011,129</w:t>
            </w:r>
          </w:p>
        </w:tc>
      </w:tr>
      <w:tr>
        <w:trPr>
          <w:trHeight w:val="230"/>
        </w:trPr>
        <w:tc>
          <w:tcPr>
            <w:tcW w:w="5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Acquisitions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252,713</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252,713</w:t>
            </w:r>
          </w:p>
        </w:tc>
      </w:tr>
      <w:tr>
        <w:trPr>
          <w:trHeight w:val="229"/>
        </w:trPr>
        <w:tc>
          <w:tcPr>
            <w:tcW w:w="5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translations</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(3,457)</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(15,004)</w:t>
            </w: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(18,527)</w:t>
            </w:r>
          </w:p>
        </w:tc>
      </w:tr>
      <w:tr>
        <w:trPr>
          <w:trHeight w:val="228"/>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February 28, 2025</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953,710</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289,438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2,167</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1,245,315</w:t>
            </w:r>
          </w:p>
        </w:tc>
      </w:tr>
    </w:tbl>
    <w:p>
      <w:pPr>
        <w:spacing w:after="0" w:line="2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Goodwill is not amortized as it is estimated to have an indefinite life. Goodwill impairment is tested at the reporting unit level, which is consistent with our reportable segments. We test goodwill annually during the fourth quarter of each fiscal year or more frequently if events and circumstances occur indicating that it is more likely than not that the fair value of any one of our reporting units is less than its respective carrying value. If the carrying value of the reporting unit exceeds the fair value, then the goodwill is considered impaired and written down to the reporting unit’s fair value.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tested our goodwill for impairment during the fourth quarter of fiscal 2024 utilizing a qualitative analysis. We concluded there was no impairment as it was more likely than not that the fair value of each of our reporting units was not less than its respective carrying value. No events or circumstances were identified during the six months ended February 28, 2025 that would indicate it is more likely than not that goodwill has been impaired.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8. INTANGIBLE ASSETS</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amortize intangible assets on a straight-line basis over their estimated useful lives. The following table presents the estimated useful life, gross carrying amounts and accumulated amortization related to our identifiable intangible assets as of February 28, 2025 and August 31, 2024:</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8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3"/>
          </w:tcPr>
          <w:p>
            <w:pPr>
              <w:jc w:val="right"/>
              <w:ind w:right="450"/>
              <w:spacing w:after="0"/>
              <w:rPr>
                <w:sz w:val="20"/>
                <w:szCs w:val="20"/>
                <w:color w:val="auto"/>
              </w:rPr>
            </w:pPr>
            <w:r>
              <w:rPr>
                <w:rFonts w:ascii="Times New Roman" w:cs="Times New Roman" w:eastAsia="Times New Roman" w:hAnsi="Times New Roman"/>
                <w:sz w:val="18"/>
                <w:szCs w:val="18"/>
                <w:color w:val="auto"/>
              </w:rPr>
              <w:t>February 28, 2025</w:t>
            </w: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August 31, 2024</w:t>
            </w: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23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useful</w:t>
            </w:r>
          </w:p>
        </w:tc>
        <w:tc>
          <w:tcPr>
            <w:tcW w:w="116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Estimated</w:t>
            </w:r>
          </w:p>
        </w:tc>
        <w:tc>
          <w:tcPr>
            <w:tcW w:w="1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Gross Carrying</w:t>
            </w:r>
          </w:p>
        </w:tc>
        <w:tc>
          <w:tcPr>
            <w:tcW w:w="160" w:type="dxa"/>
            <w:vAlign w:val="bottom"/>
          </w:tcPr>
          <w:p>
            <w:pPr>
              <w:spacing w:after="0"/>
              <w:rPr>
                <w:sz w:val="15"/>
                <w:szCs w:val="15"/>
                <w:color w:val="auto"/>
              </w:rPr>
            </w:pPr>
          </w:p>
        </w:tc>
        <w:tc>
          <w:tcPr>
            <w:tcW w:w="118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Accumulated</w:t>
            </w:r>
          </w:p>
        </w:tc>
        <w:tc>
          <w:tcPr>
            <w:tcW w:w="160" w:type="dxa"/>
            <w:vAlign w:val="bottom"/>
          </w:tcPr>
          <w:p>
            <w:pPr>
              <w:spacing w:after="0"/>
              <w:rPr>
                <w:sz w:val="15"/>
                <w:szCs w:val="15"/>
                <w:color w:val="auto"/>
              </w:rPr>
            </w:pPr>
          </w:p>
        </w:tc>
        <w:tc>
          <w:tcPr>
            <w:tcW w:w="1160" w:type="dxa"/>
            <w:vAlign w:val="bottom"/>
            <w:tcBorders>
              <w:right w:val="single" w:sz="8" w:color="auto"/>
            </w:tcBorders>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Net Carrying</w:t>
            </w:r>
          </w:p>
        </w:tc>
        <w:tc>
          <w:tcPr>
            <w:tcW w:w="1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Gross Carrying</w:t>
            </w:r>
          </w:p>
        </w:tc>
        <w:tc>
          <w:tcPr>
            <w:tcW w:w="160" w:type="dxa"/>
            <w:vAlign w:val="bottom"/>
          </w:tcPr>
          <w:p>
            <w:pPr>
              <w:spacing w:after="0"/>
              <w:rPr>
                <w:sz w:val="15"/>
                <w:szCs w:val="15"/>
                <w:color w:val="auto"/>
              </w:rPr>
            </w:pPr>
          </w:p>
        </w:tc>
        <w:tc>
          <w:tcPr>
            <w:tcW w:w="118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Accumulated</w:t>
            </w:r>
          </w:p>
        </w:tc>
        <w:tc>
          <w:tcPr>
            <w:tcW w:w="140" w:type="dxa"/>
            <w:vAlign w:val="bottom"/>
          </w:tcPr>
          <w:p>
            <w:pPr>
              <w:spacing w:after="0"/>
              <w:rPr>
                <w:sz w:val="15"/>
                <w:szCs w:val="15"/>
                <w:color w:val="auto"/>
              </w:rPr>
            </w:pPr>
          </w:p>
        </w:tc>
        <w:tc>
          <w:tcPr>
            <w:tcW w:w="118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Net Carrying</w:t>
            </w:r>
          </w:p>
        </w:tc>
        <w:tc>
          <w:tcPr>
            <w:tcW w:w="0" w:type="dxa"/>
            <w:vAlign w:val="bottom"/>
          </w:tcPr>
          <w:p>
            <w:pPr>
              <w:spacing w:after="0"/>
              <w:rPr>
                <w:sz w:val="1"/>
                <w:szCs w:val="1"/>
                <w:color w:val="auto"/>
              </w:rPr>
            </w:pPr>
          </w:p>
        </w:tc>
      </w:tr>
      <w:tr>
        <w:trPr>
          <w:trHeight w:val="180"/>
        </w:trPr>
        <w:tc>
          <w:tcPr>
            <w:tcW w:w="2380" w:type="dxa"/>
            <w:vAlign w:val="bottom"/>
            <w:vMerge w:val="continue"/>
          </w:tcPr>
          <w:p>
            <w:pPr>
              <w:spacing w:after="0"/>
              <w:rPr>
                <w:sz w:val="15"/>
                <w:szCs w:val="15"/>
                <w:color w:val="auto"/>
              </w:rPr>
            </w:pPr>
          </w:p>
        </w:tc>
        <w:tc>
          <w:tcPr>
            <w:tcW w:w="116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rPr>
              <w:t>Useful Life</w:t>
            </w:r>
          </w:p>
        </w:tc>
        <w:tc>
          <w:tcPr>
            <w:tcW w:w="12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Borders>
              <w:right w:val="single" w:sz="8" w:color="auto"/>
            </w:tcBorders>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lives)</w:t>
            </w: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(years)</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Amount</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Amortization</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Amount</w:t>
            </w: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Amount</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Amortization</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Amount</w:t>
            </w:r>
          </w:p>
        </w:tc>
        <w:tc>
          <w:tcPr>
            <w:tcW w:w="0" w:type="dxa"/>
            <w:vAlign w:val="bottom"/>
          </w:tcPr>
          <w:p>
            <w:pPr>
              <w:spacing w:after="0"/>
              <w:rPr>
                <w:sz w:val="1"/>
                <w:szCs w:val="1"/>
                <w:color w:val="auto"/>
              </w:rPr>
            </w:pPr>
          </w:p>
        </w:tc>
      </w:tr>
      <w:tr>
        <w:trPr>
          <w:trHeight w:val="223"/>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ABA business process</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36</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1,583,000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131,917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1,451,083</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1,583,000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109,930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1,473,070</w:t>
            </w:r>
          </w:p>
        </w:tc>
        <w:tc>
          <w:tcPr>
            <w:tcW w:w="0" w:type="dxa"/>
            <w:vAlign w:val="bottom"/>
          </w:tcPr>
          <w:p>
            <w:pPr>
              <w:spacing w:after="0"/>
              <w:rPr>
                <w:sz w:val="1"/>
                <w:szCs w:val="1"/>
                <w:color w:val="auto"/>
              </w:rPr>
            </w:pPr>
          </w:p>
        </w:tc>
      </w:tr>
      <w:tr>
        <w:trPr>
          <w:trHeight w:val="229"/>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Client relationships</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 to 26</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274,296</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85,098</w:t>
            </w:r>
          </w:p>
        </w:tc>
        <w:tc>
          <w:tcPr>
            <w:tcW w:w="160" w:type="dxa"/>
            <w:vAlign w:val="bottom"/>
          </w:tcPr>
          <w:p>
            <w:pPr>
              <w:spacing w:after="0"/>
              <w:rPr>
                <w:sz w:val="19"/>
                <w:szCs w:val="19"/>
                <w:color w:val="auto"/>
              </w:rPr>
            </w:pPr>
          </w:p>
        </w:tc>
        <w:tc>
          <w:tcPr>
            <w:tcW w:w="116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189,198</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266,419</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80,904</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185,515</w:t>
            </w:r>
          </w:p>
        </w:tc>
        <w:tc>
          <w:tcPr>
            <w:tcW w:w="0" w:type="dxa"/>
            <w:vAlign w:val="bottom"/>
          </w:tcPr>
          <w:p>
            <w:pPr>
              <w:spacing w:after="0"/>
              <w:rPr>
                <w:sz w:val="1"/>
                <w:szCs w:val="1"/>
                <w:color w:val="auto"/>
              </w:rPr>
            </w:pPr>
          </w:p>
        </w:tc>
      </w:tr>
      <w:tr>
        <w:trPr>
          <w:trHeight w:val="230"/>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Software technology</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 to 12</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244,862</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120,165</w:t>
            </w:r>
          </w:p>
        </w:tc>
        <w:tc>
          <w:tcPr>
            <w:tcW w:w="160" w:type="dxa"/>
            <w:vAlign w:val="bottom"/>
            <w:shd w:val="clear" w:color="auto" w:fill="CCEEFF"/>
          </w:tcPr>
          <w:p>
            <w:pPr>
              <w:spacing w:after="0"/>
              <w:rPr>
                <w:sz w:val="19"/>
                <w:szCs w:val="19"/>
                <w:color w:val="auto"/>
              </w:rPr>
            </w:pPr>
          </w:p>
        </w:tc>
        <w:tc>
          <w:tcPr>
            <w:tcW w:w="116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124,697</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143,685</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117,189</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26,496</w:t>
            </w:r>
          </w:p>
        </w:tc>
        <w:tc>
          <w:tcPr>
            <w:tcW w:w="0" w:type="dxa"/>
            <w:vAlign w:val="bottom"/>
          </w:tcPr>
          <w:p>
            <w:pPr>
              <w:spacing w:after="0"/>
              <w:rPr>
                <w:sz w:val="1"/>
                <w:szCs w:val="1"/>
                <w:color w:val="auto"/>
              </w:rPr>
            </w:pPr>
          </w:p>
        </w:tc>
      </w:tr>
      <w:tr>
        <w:trPr>
          <w:trHeight w:val="229"/>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 to 5</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217,750</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95,817</w:t>
            </w:r>
          </w:p>
        </w:tc>
        <w:tc>
          <w:tcPr>
            <w:tcW w:w="160" w:type="dxa"/>
            <w:vAlign w:val="bottom"/>
          </w:tcPr>
          <w:p>
            <w:pPr>
              <w:spacing w:after="0"/>
              <w:rPr>
                <w:sz w:val="19"/>
                <w:szCs w:val="19"/>
                <w:color w:val="auto"/>
              </w:rPr>
            </w:pPr>
          </w:p>
        </w:tc>
        <w:tc>
          <w:tcPr>
            <w:tcW w:w="116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121,933</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181,492</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68,286</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113,206</w:t>
            </w:r>
          </w:p>
        </w:tc>
        <w:tc>
          <w:tcPr>
            <w:tcW w:w="0" w:type="dxa"/>
            <w:vAlign w:val="bottom"/>
          </w:tcPr>
          <w:p>
            <w:pPr>
              <w:spacing w:after="0"/>
              <w:rPr>
                <w:sz w:val="1"/>
                <w:szCs w:val="1"/>
                <w:color w:val="auto"/>
              </w:rPr>
            </w:pPr>
          </w:p>
        </w:tc>
      </w:tr>
      <w:tr>
        <w:trPr>
          <w:trHeight w:val="229"/>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Data content</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 to 20</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83,284</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39,650</w:t>
            </w:r>
          </w:p>
        </w:tc>
        <w:tc>
          <w:tcPr>
            <w:tcW w:w="160" w:type="dxa"/>
            <w:vAlign w:val="bottom"/>
            <w:shd w:val="clear" w:color="auto" w:fill="CCEEFF"/>
          </w:tcPr>
          <w:p>
            <w:pPr>
              <w:spacing w:after="0"/>
              <w:rPr>
                <w:sz w:val="19"/>
                <w:szCs w:val="19"/>
                <w:color w:val="auto"/>
              </w:rPr>
            </w:pPr>
          </w:p>
        </w:tc>
        <w:tc>
          <w:tcPr>
            <w:tcW w:w="116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43,634</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84,374</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38,725</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45,649</w:t>
            </w:r>
          </w:p>
        </w:tc>
        <w:tc>
          <w:tcPr>
            <w:tcW w:w="0" w:type="dxa"/>
            <w:vAlign w:val="bottom"/>
          </w:tcPr>
          <w:p>
            <w:pPr>
              <w:spacing w:after="0"/>
              <w:rPr>
                <w:sz w:val="1"/>
                <w:szCs w:val="1"/>
                <w:color w:val="auto"/>
              </w:rPr>
            </w:pPr>
          </w:p>
        </w:tc>
      </w:tr>
      <w:tr>
        <w:trPr>
          <w:trHeight w:val="230"/>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4,848</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60" w:type="dxa"/>
            <w:vAlign w:val="bottom"/>
          </w:tcPr>
          <w:p>
            <w:pPr>
              <w:spacing w:after="0"/>
              <w:rPr>
                <w:sz w:val="19"/>
                <w:szCs w:val="19"/>
                <w:color w:val="auto"/>
              </w:rPr>
            </w:pPr>
          </w:p>
        </w:tc>
        <w:tc>
          <w:tcPr>
            <w:tcW w:w="116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4,774</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Non-compete agreements</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169</w:t>
            </w: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r>
        <w:trPr>
          <w:trHeight w:val="223"/>
        </w:trPr>
        <w:tc>
          <w:tcPr>
            <w:tcW w:w="2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16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2,408,330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472,842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1,935,488</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2,259,260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415,119</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1,844,141</w:t>
            </w: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weighted average useful life of our intangible assets as of February 28, 2025 was 30.6 years. Intangible assets are tested for impairment qualitatively on a quarterly basis or whenever events or changes in circumstances indicate that the carrying amount of an asset group is not recoverable. If indicators of impairment are present, our intangible assets are tested for impairment by comparing the carrying value to undiscounted cash flows and, if impaired, written down to fair value based on discounted cash flows. We did not identify a material impairment nor a material change to the estimated remaining useful lives of our intangible assets during the six months ended February 28, 2025 and February 29, 2024. Our intangible assets have no assigned residual values.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amortization expense for our intangible assets which is included in Cost of services in our Consolidated Statements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8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2660" w:type="dxa"/>
            <w:vAlign w:val="bottom"/>
            <w:gridSpan w:val="3"/>
          </w:tcPr>
          <w:p>
            <w:pPr>
              <w:jc w:val="right"/>
              <w:ind w:right="570"/>
              <w:spacing w:after="0"/>
              <w:rPr>
                <w:sz w:val="20"/>
                <w:szCs w:val="20"/>
                <w:color w:val="auto"/>
              </w:rPr>
            </w:pPr>
            <w:r>
              <w:rPr>
                <w:rFonts w:ascii="Times New Roman" w:cs="Times New Roman" w:eastAsia="Times New Roman" w:hAnsi="Times New Roman"/>
                <w:sz w:val="18"/>
                <w:szCs w:val="18"/>
                <w:color w:val="auto"/>
              </w:rPr>
              <w:t>Three Months Ended</w:t>
            </w:r>
          </w:p>
        </w:tc>
        <w:tc>
          <w:tcPr>
            <w:tcW w:w="200" w:type="dxa"/>
            <w:vAlign w:val="bottom"/>
          </w:tcPr>
          <w:p>
            <w:pPr>
              <w:spacing w:after="0"/>
              <w:rPr>
                <w:sz w:val="19"/>
                <w:szCs w:val="19"/>
                <w:color w:val="auto"/>
              </w:rPr>
            </w:pPr>
          </w:p>
        </w:tc>
        <w:tc>
          <w:tcPr>
            <w:tcW w:w="2680" w:type="dxa"/>
            <w:vAlign w:val="bottom"/>
            <w:gridSpan w:val="3"/>
          </w:tcPr>
          <w:p>
            <w:pPr>
              <w:jc w:val="right"/>
              <w:ind w:right="670"/>
              <w:spacing w:after="0"/>
              <w:rPr>
                <w:sz w:val="20"/>
                <w:szCs w:val="20"/>
                <w:color w:val="auto"/>
              </w:rPr>
            </w:pPr>
            <w:r>
              <w:rPr>
                <w:rFonts w:ascii="Times New Roman" w:cs="Times New Roman" w:eastAsia="Times New Roman" w:hAnsi="Times New Roman"/>
                <w:sz w:val="18"/>
                <w:szCs w:val="18"/>
                <w:color w:val="auto"/>
              </w:rPr>
              <w:t>Six Months Ended</w:t>
            </w:r>
          </w:p>
        </w:tc>
        <w:tc>
          <w:tcPr>
            <w:tcW w:w="0" w:type="dxa"/>
            <w:vAlign w:val="bottom"/>
          </w:tcPr>
          <w:p>
            <w:pPr>
              <w:spacing w:after="0"/>
              <w:rPr>
                <w:sz w:val="1"/>
                <w:szCs w:val="1"/>
                <w:color w:val="auto"/>
              </w:rPr>
            </w:pPr>
          </w:p>
        </w:tc>
      </w:tr>
      <w:tr>
        <w:trPr>
          <w:trHeight w:val="229"/>
        </w:trPr>
        <w:tc>
          <w:tcPr>
            <w:tcW w:w="35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120" w:type="dxa"/>
            <w:vAlign w:val="bottom"/>
          </w:tcPr>
          <w:p>
            <w:pPr>
              <w:spacing w:after="0"/>
              <w:rPr>
                <w:sz w:val="19"/>
                <w:szCs w:val="19"/>
                <w:color w:val="auto"/>
              </w:rPr>
            </w:pPr>
          </w:p>
        </w:tc>
        <w:tc>
          <w:tcPr>
            <w:tcW w:w="12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February 28,</w:t>
            </w:r>
          </w:p>
        </w:tc>
        <w:tc>
          <w:tcPr>
            <w:tcW w:w="200" w:type="dxa"/>
            <w:vAlign w:val="bottom"/>
          </w:tcPr>
          <w:p>
            <w:pPr>
              <w:spacing w:after="0"/>
              <w:rPr>
                <w:sz w:val="19"/>
                <w:szCs w:val="19"/>
                <w:color w:val="auto"/>
              </w:rPr>
            </w:pPr>
          </w:p>
        </w:tc>
        <w:tc>
          <w:tcPr>
            <w:tcW w:w="12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February 29,</w:t>
            </w:r>
          </w:p>
        </w:tc>
        <w:tc>
          <w:tcPr>
            <w:tcW w:w="200" w:type="dxa"/>
            <w:vAlign w:val="bottom"/>
          </w:tcPr>
          <w:p>
            <w:pPr>
              <w:spacing w:after="0"/>
              <w:rPr>
                <w:sz w:val="19"/>
                <w:szCs w:val="19"/>
                <w:color w:val="auto"/>
              </w:rPr>
            </w:pPr>
          </w:p>
        </w:tc>
        <w:tc>
          <w:tcPr>
            <w:tcW w:w="12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February 28,</w:t>
            </w:r>
          </w:p>
        </w:tc>
        <w:tc>
          <w:tcPr>
            <w:tcW w:w="220" w:type="dxa"/>
            <w:vAlign w:val="bottom"/>
          </w:tcPr>
          <w:p>
            <w:pPr>
              <w:spacing w:after="0"/>
              <w:rPr>
                <w:sz w:val="19"/>
                <w:szCs w:val="19"/>
                <w:color w:val="auto"/>
              </w:rPr>
            </w:pPr>
          </w:p>
        </w:tc>
        <w:tc>
          <w:tcPr>
            <w:tcW w:w="124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February 29,</w:t>
            </w:r>
          </w:p>
        </w:tc>
        <w:tc>
          <w:tcPr>
            <w:tcW w:w="0" w:type="dxa"/>
            <w:vAlign w:val="bottom"/>
          </w:tcPr>
          <w:p>
            <w:pPr>
              <w:spacing w:after="0"/>
              <w:rPr>
                <w:sz w:val="1"/>
                <w:szCs w:val="1"/>
                <w:color w:val="auto"/>
              </w:rPr>
            </w:pPr>
          </w:p>
        </w:tc>
      </w:tr>
      <w:tr>
        <w:trPr>
          <w:trHeight w:val="234"/>
        </w:trPr>
        <w:tc>
          <w:tcPr>
            <w:tcW w:w="3580" w:type="dxa"/>
            <w:vAlign w:val="bottom"/>
            <w:tcBorders>
              <w:bottom w:val="single" w:sz="8" w:color="auto"/>
            </w:tcBorders>
            <w:vMerge w:val="continue"/>
          </w:tcPr>
          <w:p>
            <w:pPr>
              <w:spacing w:after="0"/>
              <w:rPr>
                <w:sz w:val="20"/>
                <w:szCs w:val="20"/>
                <w:color w:val="auto"/>
              </w:rPr>
            </w:pPr>
          </w:p>
        </w:tc>
        <w:tc>
          <w:tcPr>
            <w:tcW w:w="2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23"/>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expense</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32,589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26,688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62,461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48,853</w:t>
            </w: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February 28, 2025, estimated intangible asset amortization expense for each of the next five years and thereafter is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120" w:type="dxa"/>
            <w:vAlign w:val="bottom"/>
          </w:tcPr>
          <w:p>
            <w:pPr>
              <w:spacing w:after="0"/>
              <w:rPr>
                <w:sz w:val="20"/>
                <w:szCs w:val="20"/>
                <w:color w:val="auto"/>
              </w:rPr>
            </w:pPr>
          </w:p>
        </w:tc>
      </w:tr>
      <w:tr>
        <w:trPr>
          <w:trHeight w:val="310"/>
        </w:trPr>
        <w:tc>
          <w:tcPr>
            <w:tcW w:w="3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Fiscal Years Ended August 31,</w:t>
            </w:r>
          </w:p>
        </w:tc>
        <w:tc>
          <w:tcPr>
            <w:tcW w:w="39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Estimated Amortization Expense</w:t>
            </w:r>
          </w:p>
        </w:tc>
      </w:tr>
      <w:tr>
        <w:trPr>
          <w:trHeight w:val="223"/>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 (remaining six months)</w:t>
            </w:r>
          </w:p>
        </w:tc>
        <w:tc>
          <w:tcPr>
            <w:tcW w:w="42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3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67,171</w:t>
            </w:r>
          </w:p>
        </w:tc>
      </w:tr>
      <w:tr>
        <w:trPr>
          <w:trHeight w:val="230"/>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129,171</w:t>
            </w:r>
          </w:p>
        </w:tc>
      </w:tr>
      <w:tr>
        <w:trPr>
          <w:trHeight w:val="230"/>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9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103,563</w:t>
            </w:r>
          </w:p>
        </w:tc>
      </w:tr>
      <w:tr>
        <w:trPr>
          <w:trHeight w:val="230"/>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78,014</w:t>
            </w:r>
          </w:p>
        </w:tc>
      </w:tr>
      <w:tr>
        <w:trPr>
          <w:trHeight w:val="229"/>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39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70,983</w:t>
            </w:r>
          </w:p>
        </w:tc>
      </w:tr>
      <w:tr>
        <w:trPr>
          <w:trHeight w:val="230"/>
        </w:trPr>
        <w:tc>
          <w:tcPr>
            <w:tcW w:w="3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9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1,486,586</w:t>
            </w:r>
          </w:p>
        </w:tc>
      </w:tr>
      <w:tr>
        <w:trPr>
          <w:trHeight w:val="223"/>
        </w:trPr>
        <w:tc>
          <w:tcPr>
            <w:tcW w:w="3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39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3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1,935,488</w:t>
            </w:r>
          </w:p>
        </w:tc>
      </w:tr>
      <w:tr>
        <w:trPr>
          <w:trHeight w:val="864"/>
        </w:trPr>
        <w:tc>
          <w:tcPr>
            <w:tcW w:w="3880" w:type="dxa"/>
            <w:vAlign w:val="bottom"/>
          </w:tcPr>
          <w:p>
            <w:pPr>
              <w:spacing w:after="0"/>
              <w:rPr>
                <w:sz w:val="24"/>
                <w:szCs w:val="24"/>
                <w:color w:val="auto"/>
              </w:rPr>
            </w:pPr>
          </w:p>
        </w:tc>
        <w:tc>
          <w:tcPr>
            <w:tcW w:w="3920" w:type="dxa"/>
            <w:vAlign w:val="bottom"/>
          </w:tcPr>
          <w:p>
            <w:pPr>
              <w:jc w:val="right"/>
              <w:ind w:right="1990"/>
              <w:spacing w:after="0"/>
              <w:rPr>
                <w:sz w:val="20"/>
                <w:szCs w:val="20"/>
                <w:color w:val="auto"/>
              </w:rPr>
            </w:pPr>
            <w:r>
              <w:rPr>
                <w:rFonts w:ascii="Times New Roman" w:cs="Times New Roman" w:eastAsia="Times New Roman" w:hAnsi="Times New Roman"/>
                <w:sz w:val="18"/>
                <w:szCs w:val="18"/>
                <w:color w:val="auto"/>
              </w:rPr>
              <w:t>22</w:t>
            </w:r>
          </w:p>
        </w:tc>
        <w:tc>
          <w:tcPr>
            <w:tcW w:w="320" w:type="dxa"/>
            <w:vAlign w:val="bottom"/>
          </w:tcPr>
          <w:p>
            <w:pPr>
              <w:spacing w:after="0"/>
              <w:rPr>
                <w:sz w:val="24"/>
                <w:szCs w:val="24"/>
                <w:color w:val="auto"/>
              </w:rPr>
            </w:pPr>
          </w:p>
        </w:tc>
        <w:tc>
          <w:tcPr>
            <w:tcW w:w="3120" w:type="dxa"/>
            <w:vAlign w:val="bottom"/>
          </w:tcPr>
          <w:p>
            <w:pPr>
              <w:spacing w:after="0"/>
              <w:rPr>
                <w:sz w:val="24"/>
                <w:szCs w:val="24"/>
                <w:color w:val="auto"/>
              </w:rPr>
            </w:pPr>
          </w:p>
        </w:tc>
      </w:tr>
      <w:tr>
        <w:trPr>
          <w:trHeight w:val="115"/>
        </w:trPr>
        <w:tc>
          <w:tcPr>
            <w:tcW w:w="3880" w:type="dxa"/>
            <w:vAlign w:val="bottom"/>
            <w:tcBorders>
              <w:bottom w:val="single" w:sz="8" w:color="9A9A9A"/>
            </w:tcBorders>
          </w:tcPr>
          <w:p>
            <w:pPr>
              <w:spacing w:after="0"/>
              <w:rPr>
                <w:sz w:val="10"/>
                <w:szCs w:val="10"/>
                <w:color w:val="auto"/>
              </w:rPr>
            </w:pPr>
          </w:p>
        </w:tc>
        <w:tc>
          <w:tcPr>
            <w:tcW w:w="39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3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9. INCOME TAXES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subject to taxation in the United States and various foreign jurisdictions in which we conduct our business. Income tax expense is based on taxable income determined in accordance with current enacted laws and tax rates. Deferred income taxes are recorded for the temporary differences between the financial statement carrying amounts and the tax basis of our assets and liabilities using currently enacted tax rates.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 for Income Taxes and Effective Tax Rate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provision for income taxes and the effective tax rate are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6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820" w:type="dxa"/>
            <w:vAlign w:val="bottom"/>
            <w:gridSpan w:val="3"/>
          </w:tcPr>
          <w:p>
            <w:pPr>
              <w:jc w:val="right"/>
              <w:ind w:right="670"/>
              <w:spacing w:after="0"/>
              <w:rPr>
                <w:sz w:val="20"/>
                <w:szCs w:val="20"/>
                <w:color w:val="auto"/>
              </w:rPr>
            </w:pPr>
            <w:r>
              <w:rPr>
                <w:rFonts w:ascii="Times New Roman" w:cs="Times New Roman" w:eastAsia="Times New Roman" w:hAnsi="Times New Roman"/>
                <w:sz w:val="18"/>
                <w:szCs w:val="18"/>
                <w:color w:val="auto"/>
              </w:rPr>
              <w:t>Three Months Ended</w:t>
            </w:r>
          </w:p>
        </w:tc>
        <w:tc>
          <w:tcPr>
            <w:tcW w:w="200" w:type="dxa"/>
            <w:vAlign w:val="bottom"/>
          </w:tcPr>
          <w:p>
            <w:pPr>
              <w:spacing w:after="0"/>
              <w:rPr>
                <w:sz w:val="19"/>
                <w:szCs w:val="19"/>
                <w:color w:val="auto"/>
              </w:rPr>
            </w:pPr>
          </w:p>
        </w:tc>
        <w:tc>
          <w:tcPr>
            <w:tcW w:w="2820" w:type="dxa"/>
            <w:vAlign w:val="bottom"/>
            <w:gridSpan w:val="3"/>
          </w:tcPr>
          <w:p>
            <w:pPr>
              <w:jc w:val="right"/>
              <w:ind w:right="750"/>
              <w:spacing w:after="0"/>
              <w:rPr>
                <w:sz w:val="20"/>
                <w:szCs w:val="20"/>
                <w:color w:val="auto"/>
              </w:rPr>
            </w:pPr>
            <w:r>
              <w:rPr>
                <w:rFonts w:ascii="Times New Roman" w:cs="Times New Roman" w:eastAsia="Times New Roman" w:hAnsi="Times New Roman"/>
                <w:sz w:val="18"/>
                <w:szCs w:val="18"/>
                <w:color w:val="auto"/>
              </w:rPr>
              <w:t>Six Months Ended</w:t>
            </w:r>
          </w:p>
        </w:tc>
        <w:tc>
          <w:tcPr>
            <w:tcW w:w="0" w:type="dxa"/>
            <w:vAlign w:val="bottom"/>
          </w:tcPr>
          <w:p>
            <w:pPr>
              <w:spacing w:after="0"/>
              <w:rPr>
                <w:sz w:val="1"/>
                <w:szCs w:val="1"/>
                <w:color w:val="auto"/>
              </w:rPr>
            </w:pPr>
          </w:p>
        </w:tc>
      </w:tr>
      <w:tr>
        <w:trPr>
          <w:trHeight w:val="230"/>
        </w:trPr>
        <w:tc>
          <w:tcPr>
            <w:tcW w:w="36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760" w:type="dxa"/>
            <w:vAlign w:val="bottom"/>
          </w:tcPr>
          <w:p>
            <w:pPr>
              <w:spacing w:after="0"/>
              <w:rPr>
                <w:sz w:val="19"/>
                <w:szCs w:val="19"/>
                <w:color w:val="auto"/>
              </w:rPr>
            </w:pPr>
          </w:p>
        </w:tc>
        <w:tc>
          <w:tcPr>
            <w:tcW w:w="13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February 28,</w:t>
            </w:r>
          </w:p>
        </w:tc>
        <w:tc>
          <w:tcPr>
            <w:tcW w:w="200" w:type="dxa"/>
            <w:vAlign w:val="bottom"/>
          </w:tcPr>
          <w:p>
            <w:pPr>
              <w:spacing w:after="0"/>
              <w:rPr>
                <w:sz w:val="19"/>
                <w:szCs w:val="19"/>
                <w:color w:val="auto"/>
              </w:rPr>
            </w:pPr>
          </w:p>
        </w:tc>
        <w:tc>
          <w:tcPr>
            <w:tcW w:w="13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February 29,</w:t>
            </w:r>
          </w:p>
        </w:tc>
        <w:tc>
          <w:tcPr>
            <w:tcW w:w="200" w:type="dxa"/>
            <w:vAlign w:val="bottom"/>
          </w:tcPr>
          <w:p>
            <w:pPr>
              <w:spacing w:after="0"/>
              <w:rPr>
                <w:sz w:val="19"/>
                <w:szCs w:val="19"/>
                <w:color w:val="auto"/>
              </w:rPr>
            </w:pPr>
          </w:p>
        </w:tc>
        <w:tc>
          <w:tcPr>
            <w:tcW w:w="13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February 28,</w:t>
            </w:r>
          </w:p>
        </w:tc>
        <w:tc>
          <w:tcPr>
            <w:tcW w:w="220" w:type="dxa"/>
            <w:vAlign w:val="bottom"/>
          </w:tcPr>
          <w:p>
            <w:pPr>
              <w:spacing w:after="0"/>
              <w:rPr>
                <w:sz w:val="19"/>
                <w:szCs w:val="19"/>
                <w:color w:val="auto"/>
              </w:rPr>
            </w:pPr>
          </w:p>
        </w:tc>
        <w:tc>
          <w:tcPr>
            <w:tcW w:w="13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February 29,</w:t>
            </w:r>
          </w:p>
        </w:tc>
        <w:tc>
          <w:tcPr>
            <w:tcW w:w="0" w:type="dxa"/>
            <w:vAlign w:val="bottom"/>
          </w:tcPr>
          <w:p>
            <w:pPr>
              <w:spacing w:after="0"/>
              <w:rPr>
                <w:sz w:val="1"/>
                <w:szCs w:val="1"/>
                <w:color w:val="auto"/>
              </w:rPr>
            </w:pPr>
          </w:p>
        </w:tc>
      </w:tr>
      <w:tr>
        <w:trPr>
          <w:trHeight w:val="234"/>
        </w:trPr>
        <w:tc>
          <w:tcPr>
            <w:tcW w:w="3640" w:type="dxa"/>
            <w:vAlign w:val="bottom"/>
            <w:tcBorders>
              <w:bottom w:val="single" w:sz="8" w:color="auto"/>
            </w:tcBorders>
            <w:vMerge w:val="continue"/>
          </w:tcPr>
          <w:p>
            <w:pPr>
              <w:spacing w:after="0"/>
              <w:rPr>
                <w:sz w:val="20"/>
                <w:szCs w:val="20"/>
                <w:color w:val="auto"/>
              </w:rPr>
            </w:pPr>
          </w:p>
        </w:tc>
        <w:tc>
          <w:tcPr>
            <w:tcW w:w="17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23"/>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172,320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168,645</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352,059</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343,841</w:t>
            </w:r>
          </w:p>
        </w:tc>
        <w:tc>
          <w:tcPr>
            <w:tcW w:w="0" w:type="dxa"/>
            <w:vAlign w:val="bottom"/>
          </w:tcPr>
          <w:p>
            <w:pPr>
              <w:spacing w:after="0"/>
              <w:rPr>
                <w:sz w:val="1"/>
                <w:szCs w:val="1"/>
                <w:color w:val="auto"/>
              </w:rPr>
            </w:pPr>
          </w:p>
        </w:tc>
      </w:tr>
      <w:tr>
        <w:trPr>
          <w:trHeight w:val="229"/>
        </w:trPr>
        <w:tc>
          <w:tcPr>
            <w:tcW w:w="3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7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27,460</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27,705</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57,177</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54,346</w:t>
            </w:r>
          </w:p>
        </w:tc>
        <w:tc>
          <w:tcPr>
            <w:tcW w:w="0" w:type="dxa"/>
            <w:vAlign w:val="bottom"/>
          </w:tcPr>
          <w:p>
            <w:pPr>
              <w:spacing w:after="0"/>
              <w:rPr>
                <w:sz w:val="1"/>
                <w:szCs w:val="1"/>
                <w:color w:val="auto"/>
              </w:rPr>
            </w:pPr>
          </w:p>
        </w:tc>
      </w:tr>
      <w:tr>
        <w:trPr>
          <w:trHeight w:val="223"/>
        </w:trPr>
        <w:tc>
          <w:tcPr>
            <w:tcW w:w="3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Effective tax rate</w:t>
            </w:r>
          </w:p>
        </w:tc>
        <w:tc>
          <w:tcPr>
            <w:tcW w:w="17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15.9 %</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16.4 %</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16.2 %</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15.8 %</w:t>
            </w: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provision for income taxes for interim periods is calculated by applying an estimate of our annual effective tax rate to our quarter and year-to-date results, adjusted for discrete items recorded in the period. The computation of the annual estimated effective tax rate at each interim period requires certain estimates and assumptions including, but not limited to, the expected pretax income (or loss) for the year, projections of the proportion of income (or loss) earned and taxed in foreign jurisdictions, permanent and temporary differences and the likelihood of recovering deferred tax assets, then adjusted for any discrete items. On a quarterly basis, we update the estimate of our annual effective tax rate as new events occur, assumptions change, or additional information is obtained.</w:t>
      </w:r>
    </w:p>
    <w:p>
      <w:pPr>
        <w:spacing w:after="0" w:line="14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effective tax rate for the three months ended February 28, 2025 was 15.9%, compared with 16.4% for the three months ended February 29, 2024. This decrease was primarily due to lower U.S. tax on foreign earnings, partially offset by certain discrete items, mainly lower excess tax benefits related to stock-based compensation.</w:t>
      </w:r>
    </w:p>
    <w:p>
      <w:pPr>
        <w:spacing w:after="0" w:line="1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effective tax rate for the six months ended February 28, 2025 was 16.2%, compared with 15.8% for the six months ended February 29, 2024. This increase was primarily due to lower excess tax benefits related to stock-based compensation, partially offset by lower U.S. tax on foreign earnings.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periods presented, our effective tax rates were lower than the applicable U.S. corporate income tax rate. This was primarily attributable to excess tax benefits from stock-based compensation, foreign tax credits, research and development ("R&amp;D") tax credits and a foreign derived intangible income ("FDII") deduction, partially offset by our state income taxes.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Base Erosion and Profit Shifting Pillar Two</w:t>
      </w:r>
    </w:p>
    <w:p>
      <w:pPr>
        <w:spacing w:after="0" w:line="20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Organization for Economic Co-operation and Development released Base Erosion and Profit Shifting Pillar Two rules (“Pillar Two”) to introduce a global minimum corporate tax of 15% for companies with global revenues and profits above certain thresholds. Certain aspects of Pillar Two are effective for tax years beginning on or after January 1, 2024. Although the U.S. has not yet enacted legislation to adopt Pillar Two, certain countries in which we operate have already adopted, or are in the process of adopting, legislation to implement Pillar Two. After considering the applicable tax law changes associated with Pillar Two legislation, we determined there was no material impact to our provision for income taxes for the six months ended February 28, 2025.</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10. LEASES</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Our operating lease arrangements relate to our office space and data centers. We review new arrangements at inception to evaluate whether we obtain substantially all the economic benefits of and have the right to control the use of an asset. </w:t>
      </w:r>
      <w:r>
        <w:rPr>
          <w:rFonts w:ascii="Times New Roman" w:cs="Times New Roman" w:eastAsia="Times New Roman" w:hAnsi="Times New Roman"/>
          <w:sz w:val="18"/>
          <w:szCs w:val="18"/>
          <w:color w:val="212529"/>
        </w:rPr>
        <w:t>Our</w:t>
      </w:r>
      <w:r>
        <w:rPr>
          <w:rFonts w:ascii="Times New Roman" w:cs="Times New Roman" w:eastAsia="Times New Roman" w:hAnsi="Times New Roman"/>
          <w:sz w:val="18"/>
          <w:szCs w:val="18"/>
          <w:color w:val="auto"/>
        </w:rPr>
        <w:t xml:space="preserve"> lease ROU assets and lease liabilities are recognized based on </w:t>
      </w:r>
      <w:r>
        <w:rPr>
          <w:rFonts w:ascii="Times New Roman" w:cs="Times New Roman" w:eastAsia="Times New Roman" w:hAnsi="Times New Roman"/>
          <w:sz w:val="18"/>
          <w:szCs w:val="18"/>
          <w:color w:val="212529"/>
        </w:rPr>
        <w:t>the present value of future minimum lease payments at lease commencement or modification date (which includes fixed lease payments and certain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qualifying index-based variable payments) </w:t>
      </w:r>
      <w:r>
        <w:rPr>
          <w:rFonts w:ascii="Times New Roman" w:cs="Times New Roman" w:eastAsia="Times New Roman" w:hAnsi="Times New Roman"/>
          <w:sz w:val="18"/>
          <w:szCs w:val="18"/>
          <w:color w:val="000000"/>
        </w:rPr>
        <w:t>over the reasonably certain lease term, leveraging</w:t>
      </w:r>
      <w:r>
        <w:rPr>
          <w:rFonts w:ascii="Times New Roman" w:cs="Times New Roman" w:eastAsia="Times New Roman" w:hAnsi="Times New Roman"/>
          <w:sz w:val="18"/>
          <w:szCs w:val="18"/>
          <w:color w:val="212529"/>
        </w:rPr>
        <w:t xml:space="preserve"> an estimated </w:t>
      </w:r>
      <w:r>
        <w:rPr>
          <w:rFonts w:ascii="Times New Roman" w:cs="Times New Roman" w:eastAsia="Times New Roman" w:hAnsi="Times New Roman"/>
          <w:sz w:val="18"/>
          <w:szCs w:val="18"/>
          <w:color w:val="000000"/>
        </w:rPr>
        <w:t>incremental borrowing rate ("IBR")</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Certain</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adjustments to calculate our lease ROU assets may be required due to prepayments, lease incentives received and initial direct costs incurred. We account for lease and non-lease components as a single lease component, which we recognize over the expected lease term on a straight-line expense basis in occupancy costs (a component of SG&amp;A expense) in our Consolidated Statements of Income.</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As of February 28, 2025, we recognized $118.1 million of Lease ROU assets, net and $191.0 million of combined Current lease liabilities and Long-term lease liabilities in the Consolidated Balance Sheets. Our leases </w:t>
      </w:r>
      <w:r>
        <w:rPr>
          <w:rFonts w:ascii="Times New Roman" w:cs="Times New Roman" w:eastAsia="Times New Roman" w:hAnsi="Times New Roman"/>
          <w:sz w:val="18"/>
          <w:szCs w:val="18"/>
          <w:color w:val="212529"/>
        </w:rPr>
        <w:t>have remaining lease terms ranging from</w:t>
      </w:r>
      <w:r>
        <w:rPr>
          <w:rFonts w:ascii="Times New Roman" w:cs="Times New Roman" w:eastAsia="Times New Roman" w:hAnsi="Times New Roman"/>
          <w:sz w:val="18"/>
          <w:szCs w:val="18"/>
          <w:color w:val="auto"/>
        </w:rPr>
        <w:t xml:space="preserve"> less than one year to just under 11 years. Our lease agreements may include options to extend or terminate the lease which are included in the measurement of our lease term when it is reasonably certain that we will exercise the option.</w:t>
      </w:r>
    </w:p>
    <w:p>
      <w:pPr>
        <w:spacing w:after="0" w:line="1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w:t>
      </w:r>
      <w:r>
        <w:rPr>
          <w:rFonts w:ascii="Times New Roman" w:cs="Times New Roman" w:eastAsia="Times New Roman" w:hAnsi="Times New Roman"/>
          <w:sz w:val="18"/>
          <w:szCs w:val="18"/>
          <w:color w:val="212529"/>
        </w:rPr>
        <w:t>ollowing table presents our future minimum lease payments and a reconciliation to the combined</w:t>
      </w:r>
      <w:r>
        <w:rPr>
          <w:rFonts w:ascii="Times New Roman" w:cs="Times New Roman" w:eastAsia="Times New Roman" w:hAnsi="Times New Roman"/>
          <w:sz w:val="18"/>
          <w:szCs w:val="18"/>
          <w:color w:val="auto"/>
        </w:rPr>
        <w:t xml:space="preserve"> Current lease liabilities and Long-term lease liabilities in the Consolidated Balance Sheets </w:t>
      </w:r>
      <w:r>
        <w:rPr>
          <w:rFonts w:ascii="Times New Roman" w:cs="Times New Roman" w:eastAsia="Times New Roman" w:hAnsi="Times New Roman"/>
          <w:sz w:val="18"/>
          <w:szCs w:val="18"/>
          <w:color w:val="212529"/>
        </w:rPr>
        <w:t>as of</w:t>
      </w:r>
      <w:r>
        <w:rPr>
          <w:rFonts w:ascii="Times New Roman" w:cs="Times New Roman" w:eastAsia="Times New Roman" w:hAnsi="Times New Roman"/>
          <w:sz w:val="18"/>
          <w:szCs w:val="18"/>
          <w:color w:val="auto"/>
        </w:rPr>
        <w:t xml:space="preserve"> February 28, 2025</w:t>
      </w:r>
      <w:r>
        <w:rPr>
          <w:rFonts w:ascii="Times New Roman" w:cs="Times New Roman" w:eastAsia="Times New Roman" w:hAnsi="Times New Roman"/>
          <w:sz w:val="18"/>
          <w:szCs w:val="18"/>
          <w:color w:val="212529"/>
        </w:rPr>
        <w:t>:</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5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60" w:type="dxa"/>
            <w:vAlign w:val="bottom"/>
            <w:gridSpan w:val="3"/>
            <w:vMerge w:val="restart"/>
          </w:tcPr>
          <w:p>
            <w:pPr>
              <w:jc w:val="center"/>
              <w:ind w:right="110"/>
              <w:spacing w:after="0"/>
              <w:rPr>
                <w:sz w:val="20"/>
                <w:szCs w:val="20"/>
                <w:color w:val="auto"/>
              </w:rPr>
            </w:pPr>
            <w:r>
              <w:rPr>
                <w:rFonts w:ascii="Times New Roman" w:cs="Times New Roman" w:eastAsia="Times New Roman" w:hAnsi="Times New Roman"/>
                <w:sz w:val="18"/>
                <w:szCs w:val="18"/>
                <w:color w:val="auto"/>
                <w:w w:val="99"/>
              </w:rPr>
              <w:t>Minimum Lease</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6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Fiscal Years ended August 31,</w:t>
            </w:r>
          </w:p>
        </w:tc>
        <w:tc>
          <w:tcPr>
            <w:tcW w:w="5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660" w:type="dxa"/>
            <w:vAlign w:val="bottom"/>
            <w:tcBorders>
              <w:bottom w:val="single" w:sz="8" w:color="auto"/>
            </w:tcBorders>
            <w:gridSpan w:val="3"/>
          </w:tcPr>
          <w:p>
            <w:pPr>
              <w:jc w:val="center"/>
              <w:ind w:right="110"/>
              <w:spacing w:after="0"/>
              <w:rPr>
                <w:sz w:val="20"/>
                <w:szCs w:val="20"/>
                <w:color w:val="auto"/>
              </w:rPr>
            </w:pPr>
            <w:r>
              <w:rPr>
                <w:rFonts w:ascii="Times New Roman" w:cs="Times New Roman" w:eastAsia="Times New Roman" w:hAnsi="Times New Roman"/>
                <w:sz w:val="18"/>
                <w:szCs w:val="18"/>
                <w:color w:val="auto"/>
                <w:w w:val="99"/>
              </w:rPr>
              <w:t>Payments</w:t>
            </w:r>
          </w:p>
        </w:tc>
        <w:tc>
          <w:tcPr>
            <w:tcW w:w="0" w:type="dxa"/>
            <w:vAlign w:val="bottom"/>
          </w:tcPr>
          <w:p>
            <w:pPr>
              <w:spacing w:after="0"/>
              <w:rPr>
                <w:sz w:val="1"/>
                <w:szCs w:val="1"/>
                <w:color w:val="auto"/>
              </w:rPr>
            </w:pPr>
          </w:p>
        </w:tc>
      </w:tr>
      <w:tr>
        <w:trPr>
          <w:trHeight w:val="22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 (remaining six months)</w:t>
            </w:r>
          </w:p>
        </w:tc>
        <w:tc>
          <w:tcPr>
            <w:tcW w:w="5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20,335</w:t>
            </w:r>
          </w:p>
        </w:tc>
        <w:tc>
          <w:tcPr>
            <w:tcW w:w="0" w:type="dxa"/>
            <w:vAlign w:val="bottom"/>
          </w:tcPr>
          <w:p>
            <w:pPr>
              <w:spacing w:after="0"/>
              <w:rPr>
                <w:sz w:val="1"/>
                <w:szCs w:val="1"/>
                <w:color w:val="auto"/>
              </w:rPr>
            </w:pPr>
          </w:p>
        </w:tc>
      </w:tr>
      <w:tr>
        <w:trPr>
          <w:trHeight w:val="229"/>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39,195</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37,668</w:t>
            </w: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33,418</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5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27,747</w:t>
            </w:r>
          </w:p>
        </w:tc>
        <w:tc>
          <w:tcPr>
            <w:tcW w:w="0" w:type="dxa"/>
            <w:vAlign w:val="bottom"/>
          </w:tcPr>
          <w:p>
            <w:pPr>
              <w:spacing w:after="0"/>
              <w:rPr>
                <w:sz w:val="1"/>
                <w:szCs w:val="1"/>
                <w:color w:val="auto"/>
              </w:rPr>
            </w:pPr>
          </w:p>
        </w:tc>
      </w:tr>
      <w:tr>
        <w:trPr>
          <w:trHeight w:val="230"/>
        </w:trPr>
        <w:tc>
          <w:tcPr>
            <w:tcW w:w="5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8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61,608</w:t>
            </w:r>
          </w:p>
        </w:tc>
        <w:tc>
          <w:tcPr>
            <w:tcW w:w="0" w:type="dxa"/>
            <w:vAlign w:val="bottom"/>
          </w:tcPr>
          <w:p>
            <w:pPr>
              <w:spacing w:after="0"/>
              <w:rPr>
                <w:sz w:val="1"/>
                <w:szCs w:val="1"/>
                <w:color w:val="auto"/>
              </w:rPr>
            </w:pPr>
          </w:p>
        </w:tc>
      </w:tr>
      <w:tr>
        <w:trPr>
          <w:trHeight w:val="22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5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219,971</w:t>
            </w:r>
          </w:p>
        </w:tc>
        <w:tc>
          <w:tcPr>
            <w:tcW w:w="0" w:type="dxa"/>
            <w:vAlign w:val="bottom"/>
          </w:tcPr>
          <w:p>
            <w:pPr>
              <w:spacing w:after="0"/>
              <w:rPr>
                <w:sz w:val="1"/>
                <w:szCs w:val="1"/>
                <w:color w:val="auto"/>
              </w:rPr>
            </w:pPr>
          </w:p>
        </w:tc>
      </w:tr>
      <w:tr>
        <w:trPr>
          <w:trHeight w:val="230"/>
        </w:trPr>
        <w:tc>
          <w:tcPr>
            <w:tcW w:w="5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58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28,992</w:t>
            </w:r>
          </w:p>
        </w:tc>
        <w:tc>
          <w:tcPr>
            <w:tcW w:w="0" w:type="dxa"/>
            <w:vAlign w:val="bottom"/>
          </w:tcPr>
          <w:p>
            <w:pPr>
              <w:spacing w:after="0"/>
              <w:rPr>
                <w:sz w:val="1"/>
                <w:szCs w:val="1"/>
                <w:color w:val="auto"/>
              </w:rPr>
            </w:pPr>
          </w:p>
        </w:tc>
      </w:tr>
      <w:tr>
        <w:trPr>
          <w:trHeight w:val="248"/>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5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190,979</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The following table includes components of our occupancy costs:</w:t>
            </w:r>
          </w:p>
        </w:tc>
        <w:tc>
          <w:tcPr>
            <w:tcW w:w="5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516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5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660" w:type="dxa"/>
            <w:vAlign w:val="bottom"/>
            <w:gridSpan w:val="3"/>
          </w:tcPr>
          <w:p>
            <w:pPr>
              <w:jc w:val="right"/>
              <w:ind w:right="570"/>
              <w:spacing w:after="0"/>
              <w:rPr>
                <w:sz w:val="20"/>
                <w:szCs w:val="20"/>
                <w:color w:val="auto"/>
              </w:rPr>
            </w:pPr>
            <w:r>
              <w:rPr>
                <w:rFonts w:ascii="Times New Roman" w:cs="Times New Roman" w:eastAsia="Times New Roman" w:hAnsi="Times New Roman"/>
                <w:sz w:val="18"/>
                <w:szCs w:val="18"/>
                <w:color w:val="auto"/>
              </w:rPr>
              <w:t>Three Months Ended</w:t>
            </w:r>
          </w:p>
        </w:tc>
        <w:tc>
          <w:tcPr>
            <w:tcW w:w="180" w:type="dxa"/>
            <w:vAlign w:val="bottom"/>
          </w:tcPr>
          <w:p>
            <w:pPr>
              <w:spacing w:after="0"/>
              <w:rPr>
                <w:sz w:val="21"/>
                <w:szCs w:val="21"/>
                <w:color w:val="auto"/>
              </w:rPr>
            </w:pPr>
          </w:p>
        </w:tc>
        <w:tc>
          <w:tcPr>
            <w:tcW w:w="2660" w:type="dxa"/>
            <w:vAlign w:val="bottom"/>
            <w:gridSpan w:val="3"/>
          </w:tcPr>
          <w:p>
            <w:pPr>
              <w:jc w:val="center"/>
              <w:ind w:right="70"/>
              <w:spacing w:after="0"/>
              <w:rPr>
                <w:sz w:val="20"/>
                <w:szCs w:val="20"/>
                <w:color w:val="auto"/>
              </w:rPr>
            </w:pPr>
            <w:r>
              <w:rPr>
                <w:rFonts w:ascii="Times New Roman" w:cs="Times New Roman" w:eastAsia="Times New Roman" w:hAnsi="Times New Roman"/>
                <w:sz w:val="18"/>
                <w:szCs w:val="18"/>
                <w:color w:val="auto"/>
                <w:w w:val="99"/>
              </w:rPr>
              <w:t>Six Months Ended</w:t>
            </w:r>
          </w:p>
        </w:tc>
        <w:tc>
          <w:tcPr>
            <w:tcW w:w="0" w:type="dxa"/>
            <w:vAlign w:val="bottom"/>
          </w:tcPr>
          <w:p>
            <w:pPr>
              <w:spacing w:after="0"/>
              <w:rPr>
                <w:sz w:val="1"/>
                <w:szCs w:val="1"/>
                <w:color w:val="auto"/>
              </w:rPr>
            </w:pPr>
          </w:p>
        </w:tc>
      </w:tr>
      <w:tr>
        <w:trPr>
          <w:trHeight w:val="229"/>
        </w:trPr>
        <w:tc>
          <w:tcPr>
            <w:tcW w:w="5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580" w:type="dxa"/>
            <w:vAlign w:val="bottom"/>
          </w:tcPr>
          <w:p>
            <w:pPr>
              <w:spacing w:after="0"/>
              <w:rPr>
                <w:sz w:val="19"/>
                <w:szCs w:val="19"/>
                <w:color w:val="auto"/>
              </w:rPr>
            </w:pP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February 28,</w:t>
            </w:r>
          </w:p>
        </w:tc>
        <w:tc>
          <w:tcPr>
            <w:tcW w:w="220" w:type="dxa"/>
            <w:vAlign w:val="bottom"/>
          </w:tcPr>
          <w:p>
            <w:pPr>
              <w:spacing w:after="0"/>
              <w:rPr>
                <w:sz w:val="19"/>
                <w:szCs w:val="19"/>
                <w:color w:val="auto"/>
              </w:rPr>
            </w:pPr>
          </w:p>
        </w:tc>
        <w:tc>
          <w:tcPr>
            <w:tcW w:w="12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February 29,</w:t>
            </w:r>
          </w:p>
        </w:tc>
        <w:tc>
          <w:tcPr>
            <w:tcW w:w="18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February 28,</w:t>
            </w:r>
          </w:p>
        </w:tc>
        <w:tc>
          <w:tcPr>
            <w:tcW w:w="200" w:type="dxa"/>
            <w:vAlign w:val="bottom"/>
          </w:tcPr>
          <w:p>
            <w:pPr>
              <w:spacing w:after="0"/>
              <w:rPr>
                <w:sz w:val="19"/>
                <w:szCs w:val="19"/>
                <w:color w:val="auto"/>
              </w:rPr>
            </w:pPr>
          </w:p>
        </w:tc>
        <w:tc>
          <w:tcPr>
            <w:tcW w:w="12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February 29,</w:t>
            </w:r>
          </w:p>
        </w:tc>
        <w:tc>
          <w:tcPr>
            <w:tcW w:w="0" w:type="dxa"/>
            <w:vAlign w:val="bottom"/>
          </w:tcPr>
          <w:p>
            <w:pPr>
              <w:spacing w:after="0"/>
              <w:rPr>
                <w:sz w:val="1"/>
                <w:szCs w:val="1"/>
                <w:color w:val="auto"/>
              </w:rPr>
            </w:pPr>
          </w:p>
        </w:tc>
      </w:tr>
      <w:tr>
        <w:trPr>
          <w:trHeight w:val="234"/>
        </w:trPr>
        <w:tc>
          <w:tcPr>
            <w:tcW w:w="5160" w:type="dxa"/>
            <w:vAlign w:val="bottom"/>
            <w:tcBorders>
              <w:bottom w:val="single" w:sz="8" w:color="auto"/>
            </w:tcBorders>
            <w:vMerge w:val="continue"/>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2024</w:t>
            </w:r>
          </w:p>
        </w:tc>
        <w:tc>
          <w:tcPr>
            <w:tcW w:w="1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23"/>
        </w:trPr>
        <w:tc>
          <w:tcPr>
            <w:tcW w:w="516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Operating lease costs</w:t>
            </w:r>
            <w:r>
              <w:rPr>
                <w:rFonts w:ascii="Times New Roman" w:cs="Times New Roman" w:eastAsia="Times New Roman" w:hAnsi="Times New Roman"/>
                <w:sz w:val="23"/>
                <w:szCs w:val="23"/>
                <w:color w:val="auto"/>
                <w:vertAlign w:val="superscript"/>
              </w:rPr>
              <w:t>(1)</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1252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12529"/>
              </w:rPr>
              <w:t>7,606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15,263</w:t>
            </w:r>
          </w:p>
        </w:tc>
        <w:tc>
          <w:tcPr>
            <w:tcW w:w="0" w:type="dxa"/>
            <w:vAlign w:val="bottom"/>
          </w:tcPr>
          <w:p>
            <w:pPr>
              <w:spacing w:after="0"/>
              <w:rPr>
                <w:sz w:val="1"/>
                <w:szCs w:val="1"/>
                <w:color w:val="auto"/>
              </w:rPr>
            </w:pPr>
          </w:p>
        </w:tc>
      </w:tr>
      <w:tr>
        <w:trPr>
          <w:trHeight w:val="312"/>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costs</w:t>
            </w:r>
            <w:r>
              <w:rPr>
                <w:rFonts w:ascii="Times New Roman" w:cs="Times New Roman" w:eastAsia="Times New Roman" w:hAnsi="Times New Roman"/>
                <w:sz w:val="23"/>
                <w:szCs w:val="23"/>
                <w:color w:val="auto"/>
                <w:vertAlign w:val="superscript"/>
              </w:rPr>
              <w:t>(2)</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4,777</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9,665</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9,306</w:t>
            </w:r>
          </w:p>
        </w:tc>
        <w:tc>
          <w:tcPr>
            <w:tcW w:w="0" w:type="dxa"/>
            <w:vAlign w:val="bottom"/>
          </w:tcPr>
          <w:p>
            <w:pPr>
              <w:spacing w:after="0"/>
              <w:rPr>
                <w:sz w:val="1"/>
                <w:szCs w:val="1"/>
                <w:color w:val="auto"/>
              </w:rPr>
            </w:pPr>
          </w:p>
        </w:tc>
      </w:tr>
    </w:tbl>
    <w:p>
      <w:pPr>
        <w:spacing w:after="0" w:line="104" w:lineRule="exact"/>
        <w:rPr>
          <w:sz w:val="20"/>
          <w:szCs w:val="20"/>
          <w:color w:val="auto"/>
        </w:rPr>
      </w:pPr>
    </w:p>
    <w:p>
      <w:pPr>
        <w:ind w:left="260" w:right="20" w:hanging="252"/>
        <w:spacing w:after="0" w:line="301" w:lineRule="auto"/>
        <w:tabs>
          <w:tab w:leader="none" w:pos="253"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Operating lease costs include costs associated with fixed lease payments and index-based variable payments that qualified for lease accounting under ASC 842, </w:t>
      </w:r>
      <w:r>
        <w:rPr>
          <w:rFonts w:ascii="Times New Roman" w:cs="Times New Roman" w:eastAsia="Times New Roman" w:hAnsi="Times New Roman"/>
          <w:sz w:val="16"/>
          <w:szCs w:val="16"/>
          <w:i w:val="1"/>
          <w:iCs w:val="1"/>
          <w:color w:val="auto"/>
        </w:rPr>
        <w:t>Leases</w:t>
      </w:r>
      <w:r>
        <w:rPr>
          <w:rFonts w:ascii="Times New Roman" w:cs="Times New Roman" w:eastAsia="Times New Roman" w:hAnsi="Times New Roman"/>
          <w:sz w:val="16"/>
          <w:szCs w:val="16"/>
          <w:color w:val="auto"/>
        </w:rPr>
        <w:t xml:space="preserve"> and complied with the practical expedients and exceptions we elected.</w:t>
      </w:r>
    </w:p>
    <w:p>
      <w:pPr>
        <w:spacing w:after="0" w:line="40" w:lineRule="exact"/>
        <w:rPr>
          <w:rFonts w:ascii="Times New Roman" w:cs="Times New Roman" w:eastAsia="Times New Roman" w:hAnsi="Times New Roman"/>
          <w:sz w:val="16"/>
          <w:szCs w:val="16"/>
          <w:color w:val="auto"/>
        </w:rPr>
      </w:pPr>
    </w:p>
    <w:p>
      <w:pPr>
        <w:jc w:val="both"/>
        <w:ind w:left="260" w:hanging="252"/>
        <w:spacing w:after="0" w:line="272" w:lineRule="auto"/>
        <w:tabs>
          <w:tab w:leader="none" w:pos="252"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Variable lease costs include costs that are not fixed and are not dependent on an index or rate. These costs were not included in the measurement of lease liabilities and primarily include variable non-lease costs, such as utilities, real estate taxes, insurance and maintenance, as well as lease costs for those leases that qualified for the short-term lease exception.</w:t>
      </w:r>
    </w:p>
    <w:p>
      <w:pPr>
        <w:spacing w:after="0" w:line="12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weighted average remaining lease term and weighted average discount rate related to our operating leases recorded on the Consolidated Balance Sheets: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0" w:type="dxa"/>
            <w:vAlign w:val="bottom"/>
            <w:tcBorders>
              <w:bottom w:val="single" w:sz="8" w:color="auto"/>
            </w:tcBorders>
          </w:tcPr>
          <w:p>
            <w:pPr>
              <w:spacing w:after="0"/>
              <w:rPr>
                <w:sz w:val="20"/>
                <w:szCs w:val="20"/>
                <w:color w:val="auto"/>
              </w:rPr>
            </w:pPr>
          </w:p>
        </w:tc>
        <w:tc>
          <w:tcPr>
            <w:tcW w:w="38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As of February 28, 2025</w:t>
            </w:r>
          </w:p>
        </w:tc>
        <w:tc>
          <w:tcPr>
            <w:tcW w:w="24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As of August 31, 2024</w:t>
            </w:r>
          </w:p>
        </w:tc>
      </w:tr>
      <w:tr>
        <w:trPr>
          <w:trHeight w:val="223"/>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Weighted average remaining lease term </w:t>
            </w:r>
            <w:r>
              <w:rPr>
                <w:rFonts w:ascii="Times New Roman" w:cs="Times New Roman" w:eastAsia="Times New Roman" w:hAnsi="Times New Roman"/>
                <w:sz w:val="18"/>
                <w:szCs w:val="18"/>
                <w:i w:val="1"/>
                <w:iCs w:val="1"/>
                <w:color w:val="auto"/>
              </w:rPr>
              <w:t>(in years)</w:t>
            </w:r>
          </w:p>
        </w:tc>
        <w:tc>
          <w:tcPr>
            <w:tcW w:w="38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6.5</w:t>
            </w:r>
          </w:p>
        </w:tc>
        <w:tc>
          <w:tcPr>
            <w:tcW w:w="2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36"/>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Weighted average discount rate </w:t>
            </w:r>
            <w:r>
              <w:rPr>
                <w:rFonts w:ascii="Times New Roman" w:cs="Times New Roman" w:eastAsia="Times New Roman" w:hAnsi="Times New Roman"/>
                <w:sz w:val="18"/>
                <w:szCs w:val="18"/>
                <w:i w:val="1"/>
                <w:iCs w:val="1"/>
                <w:color w:val="auto"/>
              </w:rPr>
              <w:t>(IBR)</w:t>
            </w:r>
          </w:p>
        </w:tc>
        <w:tc>
          <w:tcPr>
            <w:tcW w:w="38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4.7 %</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07"/>
        </w:trPr>
        <w:tc>
          <w:tcPr>
            <w:tcW w:w="78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7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0"/>
        </w:trPr>
        <w:tc>
          <w:tcPr>
            <w:tcW w:w="7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summarizes supplemental cash flow information related to our operating leases:</w:t>
            </w:r>
          </w:p>
        </w:tc>
        <w:tc>
          <w:tcPr>
            <w:tcW w:w="7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1280" w:type="dxa"/>
            <w:vAlign w:val="bottom"/>
          </w:tcPr>
          <w:p>
            <w:pPr>
              <w:spacing w:after="0"/>
              <w:rPr>
                <w:sz w:val="21"/>
                <w:szCs w:val="21"/>
                <w:color w:val="auto"/>
              </w:rPr>
            </w:pPr>
          </w:p>
        </w:tc>
        <w:tc>
          <w:tcPr>
            <w:tcW w:w="65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680" w:type="dxa"/>
            <w:vAlign w:val="bottom"/>
            <w:gridSpan w:val="3"/>
          </w:tcPr>
          <w:p>
            <w:pPr>
              <w:jc w:val="right"/>
              <w:ind w:right="670"/>
              <w:spacing w:after="0"/>
              <w:rPr>
                <w:sz w:val="20"/>
                <w:szCs w:val="20"/>
                <w:color w:val="auto"/>
              </w:rPr>
            </w:pPr>
            <w:r>
              <w:rPr>
                <w:rFonts w:ascii="Times New Roman" w:cs="Times New Roman" w:eastAsia="Times New Roman" w:hAnsi="Times New Roman"/>
                <w:sz w:val="18"/>
                <w:szCs w:val="18"/>
                <w:color w:val="auto"/>
              </w:rPr>
              <w:t>Six Months Ended</w:t>
            </w:r>
          </w:p>
        </w:tc>
        <w:tc>
          <w:tcPr>
            <w:tcW w:w="0" w:type="dxa"/>
            <w:vAlign w:val="bottom"/>
          </w:tcPr>
          <w:p>
            <w:pPr>
              <w:spacing w:after="0"/>
              <w:rPr>
                <w:sz w:val="1"/>
                <w:szCs w:val="1"/>
                <w:color w:val="auto"/>
              </w:rPr>
            </w:pPr>
          </w:p>
        </w:tc>
      </w:tr>
      <w:tr>
        <w:trPr>
          <w:trHeight w:val="230"/>
        </w:trPr>
        <w:tc>
          <w:tcPr>
            <w:tcW w:w="7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760" w:type="dxa"/>
            <w:vAlign w:val="bottom"/>
          </w:tcPr>
          <w:p>
            <w:pPr>
              <w:spacing w:after="0"/>
              <w:rPr>
                <w:sz w:val="19"/>
                <w:szCs w:val="19"/>
                <w:color w:val="auto"/>
              </w:rPr>
            </w:pPr>
          </w:p>
        </w:tc>
        <w:tc>
          <w:tcPr>
            <w:tcW w:w="12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February 28,</w:t>
            </w:r>
          </w:p>
        </w:tc>
        <w:tc>
          <w:tcPr>
            <w:tcW w:w="200" w:type="dxa"/>
            <w:vAlign w:val="bottom"/>
          </w:tcPr>
          <w:p>
            <w:pPr>
              <w:spacing w:after="0"/>
              <w:rPr>
                <w:sz w:val="19"/>
                <w:szCs w:val="19"/>
                <w:color w:val="auto"/>
              </w:rPr>
            </w:pPr>
          </w:p>
        </w:tc>
        <w:tc>
          <w:tcPr>
            <w:tcW w:w="12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February 29,</w:t>
            </w:r>
          </w:p>
        </w:tc>
        <w:tc>
          <w:tcPr>
            <w:tcW w:w="0" w:type="dxa"/>
            <w:vAlign w:val="bottom"/>
          </w:tcPr>
          <w:p>
            <w:pPr>
              <w:spacing w:after="0"/>
              <w:rPr>
                <w:sz w:val="1"/>
                <w:szCs w:val="1"/>
                <w:color w:val="auto"/>
              </w:rPr>
            </w:pPr>
          </w:p>
        </w:tc>
      </w:tr>
      <w:tr>
        <w:trPr>
          <w:trHeight w:val="234"/>
        </w:trPr>
        <w:tc>
          <w:tcPr>
            <w:tcW w:w="7800" w:type="dxa"/>
            <w:vAlign w:val="bottom"/>
            <w:tcBorders>
              <w:bottom w:val="single" w:sz="8" w:color="auto"/>
            </w:tcBorders>
            <w:gridSpan w:val="2"/>
            <w:vMerge w:val="continue"/>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23"/>
        </w:trPr>
        <w:tc>
          <w:tcPr>
            <w:tcW w:w="7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19,645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19,811</w:t>
            </w:r>
          </w:p>
        </w:tc>
        <w:tc>
          <w:tcPr>
            <w:tcW w:w="0" w:type="dxa"/>
            <w:vAlign w:val="bottom"/>
          </w:tcPr>
          <w:p>
            <w:pPr>
              <w:spacing w:after="0"/>
              <w:rPr>
                <w:sz w:val="1"/>
                <w:szCs w:val="1"/>
                <w:color w:val="auto"/>
              </w:rPr>
            </w:pPr>
          </w:p>
        </w:tc>
      </w:tr>
      <w:tr>
        <w:trPr>
          <w:trHeight w:val="230"/>
        </w:trPr>
        <w:tc>
          <w:tcPr>
            <w:tcW w:w="780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Lease ROU assets obtained in exchange for lease liabilities</w:t>
            </w:r>
            <w:r>
              <w:rPr>
                <w:rFonts w:ascii="Times New Roman" w:cs="Times New Roman" w:eastAsia="Times New Roman" w:hAnsi="Times New Roman"/>
                <w:sz w:val="23"/>
                <w:szCs w:val="23"/>
                <w:color w:val="auto"/>
                <w:vertAlign w:val="superscript"/>
              </w:rPr>
              <w:t>(1)</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4,213</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2,313</w:t>
            </w:r>
          </w:p>
        </w:tc>
        <w:tc>
          <w:tcPr>
            <w:tcW w:w="0" w:type="dxa"/>
            <w:vAlign w:val="bottom"/>
          </w:tcPr>
          <w:p>
            <w:pPr>
              <w:spacing w:after="0"/>
              <w:rPr>
                <w:sz w:val="1"/>
                <w:szCs w:val="1"/>
                <w:color w:val="auto"/>
              </w:rPr>
            </w:pPr>
          </w:p>
        </w:tc>
      </w:tr>
      <w:tr>
        <w:trPr>
          <w:trHeight w:val="229"/>
        </w:trPr>
        <w:tc>
          <w:tcPr>
            <w:tcW w:w="780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Reductions to ROU assets resulting from reductions to lease liabilities</w:t>
            </w:r>
            <w:r>
              <w:rPr>
                <w:rFonts w:ascii="Times New Roman" w:cs="Times New Roman" w:eastAsia="Times New Roman" w:hAnsi="Times New Roman"/>
                <w:sz w:val="23"/>
                <w:szCs w:val="23"/>
                <w:color w:val="auto"/>
                <w:vertAlign w:val="superscript"/>
              </w:rPr>
              <w:t>(2)</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260" w:right="20" w:hanging="252"/>
        <w:spacing w:after="0" w:line="280" w:lineRule="auto"/>
        <w:tabs>
          <w:tab w:leader="none" w:pos="2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Primarily includes new lease arrangements entered into during the respective period and contract modifications that extend our lease terms and/or provide additional rights.</w:t>
      </w:r>
    </w:p>
    <w:p>
      <w:pPr>
        <w:spacing w:after="0" w:line="56" w:lineRule="exact"/>
        <w:rPr>
          <w:rFonts w:ascii="Times New Roman" w:cs="Times New Roman" w:eastAsia="Times New Roman" w:hAnsi="Times New Roman"/>
          <w:sz w:val="16"/>
          <w:szCs w:val="16"/>
          <w:color w:val="auto"/>
        </w:rPr>
      </w:pPr>
    </w:p>
    <w:p>
      <w:pPr>
        <w:ind w:left="260" w:hanging="252"/>
        <w:spacing w:after="0" w:line="298" w:lineRule="auto"/>
        <w:tabs>
          <w:tab w:leader="none" w:pos="2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Primarily relates to lease term reassessments based on contractual options to early terminate, resulting in a reduction to the lease liability and the corresponding lease ROU asset.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11. DEBT</w:t>
      </w:r>
    </w:p>
    <w:p>
      <w:pPr>
        <w:spacing w:after="0" w:line="1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elected not to carry our debt at fair value. The carrying value of our debt is net of related unamortized discounts and debt issuance costs. Our debt obligations as of February 28, 2025 and August 31, 2024 consisted of the following:</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660" w:type="dxa"/>
            <w:vAlign w:val="bottom"/>
          </w:tcPr>
          <w:p>
            <w:pPr>
              <w:spacing w:after="0"/>
              <w:rPr>
                <w:sz w:val="17"/>
                <w:szCs w:val="17"/>
                <w:color w:val="auto"/>
              </w:rPr>
            </w:pPr>
          </w:p>
        </w:tc>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Contractual</w:t>
            </w:r>
          </w:p>
        </w:tc>
        <w:tc>
          <w:tcPr>
            <w:tcW w:w="2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440" w:type="dxa"/>
            <w:vAlign w:val="bottom"/>
            <w:tcBorders>
              <w:bottom w:val="single" w:sz="8" w:color="auto"/>
            </w:tcBorders>
            <w:gridSpan w:val="2"/>
            <w:vMerge w:val="continue"/>
          </w:tcPr>
          <w:p>
            <w:pPr>
              <w:spacing w:after="0"/>
              <w:rPr>
                <w:sz w:val="21"/>
                <w:szCs w:val="21"/>
                <w:color w:val="auto"/>
              </w:rPr>
            </w:pPr>
          </w:p>
        </w:tc>
        <w:tc>
          <w:tcPr>
            <w:tcW w:w="1660" w:type="dxa"/>
            <w:vAlign w:val="bottom"/>
            <w:tcBorders>
              <w:bottom w:val="single" w:sz="8" w:color="auto"/>
            </w:tcBorders>
          </w:tcPr>
          <w:p>
            <w:pPr>
              <w:jc w:val="center"/>
              <w:ind w:left="310"/>
              <w:spacing w:after="0"/>
              <w:rPr>
                <w:sz w:val="20"/>
                <w:szCs w:val="20"/>
                <w:color w:val="auto"/>
              </w:rPr>
            </w:pPr>
            <w:r>
              <w:rPr>
                <w:rFonts w:ascii="Times New Roman" w:cs="Times New Roman" w:eastAsia="Times New Roman" w:hAnsi="Times New Roman"/>
                <w:sz w:val="18"/>
                <w:szCs w:val="18"/>
                <w:color w:val="auto"/>
              </w:rPr>
              <w:t>Issuance Date</w:t>
            </w: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Maturity Date</w:t>
            </w:r>
          </w:p>
        </w:tc>
        <w:tc>
          <w:tcPr>
            <w:tcW w:w="20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February 28, 2025</w:t>
            </w:r>
          </w:p>
        </w:tc>
        <w:tc>
          <w:tcPr>
            <w:tcW w:w="24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August 31, 2024</w:t>
            </w:r>
          </w:p>
        </w:tc>
        <w:tc>
          <w:tcPr>
            <w:tcW w:w="0" w:type="dxa"/>
            <w:vAlign w:val="bottom"/>
          </w:tcPr>
          <w:p>
            <w:pPr>
              <w:spacing w:after="0"/>
              <w:rPr>
                <w:sz w:val="1"/>
                <w:szCs w:val="1"/>
                <w:color w:val="auto"/>
              </w:rPr>
            </w:pPr>
          </w:p>
        </w:tc>
      </w:tr>
      <w:tr>
        <w:trPr>
          <w:trHeight w:val="223"/>
        </w:trPr>
        <w:tc>
          <w:tcPr>
            <w:tcW w:w="4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debt</w:t>
            </w:r>
          </w:p>
        </w:tc>
        <w:tc>
          <w:tcPr>
            <w:tcW w:w="16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2022</w:t>
            </w: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Term Facility</w:t>
            </w:r>
          </w:p>
        </w:tc>
        <w:tc>
          <w:tcPr>
            <w:tcW w:w="166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9"/>
              </w:rPr>
              <w:t>3/1/2022</w:t>
            </w:r>
          </w:p>
        </w:tc>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3/1/2025</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 $</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0" w:type="dxa"/>
            <w:vAlign w:val="bottom"/>
          </w:tcPr>
          <w:p>
            <w:pPr>
              <w:spacing w:after="0"/>
              <w:rPr>
                <w:sz w:val="1"/>
                <w:szCs w:val="1"/>
                <w:color w:val="auto"/>
              </w:rPr>
            </w:pPr>
          </w:p>
        </w:tc>
      </w:tr>
      <w:tr>
        <w:trPr>
          <w:trHeight w:val="229"/>
        </w:trPr>
        <w:tc>
          <w:tcPr>
            <w:tcW w:w="4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unamortized debt issuance costs on Current debt</w:t>
            </w:r>
          </w:p>
        </w:tc>
        <w:tc>
          <w:tcPr>
            <w:tcW w:w="16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23"/>
        </w:trPr>
        <w:tc>
          <w:tcPr>
            <w:tcW w:w="44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Current debt</w:t>
            </w:r>
          </w:p>
        </w:tc>
        <w:tc>
          <w:tcPr>
            <w:tcW w:w="166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 $</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124,842</w:t>
            </w:r>
          </w:p>
        </w:tc>
        <w:tc>
          <w:tcPr>
            <w:tcW w:w="0" w:type="dxa"/>
            <w:vAlign w:val="bottom"/>
          </w:tcPr>
          <w:p>
            <w:pPr>
              <w:spacing w:after="0"/>
              <w:rPr>
                <w:sz w:val="1"/>
                <w:szCs w:val="1"/>
                <w:color w:val="auto"/>
              </w:rPr>
            </w:pPr>
          </w:p>
        </w:tc>
      </w:tr>
      <w:tr>
        <w:trPr>
          <w:trHeight w:val="250"/>
        </w:trPr>
        <w:tc>
          <w:tcPr>
            <w:tcW w:w="760" w:type="dxa"/>
            <w:vAlign w:val="bottom"/>
            <w:shd w:val="clear" w:color="auto" w:fill="CCEEFF"/>
          </w:tcPr>
          <w:p>
            <w:pPr>
              <w:spacing w:after="0"/>
              <w:rPr>
                <w:sz w:val="21"/>
                <w:szCs w:val="21"/>
                <w:color w:val="auto"/>
              </w:rPr>
            </w:pPr>
          </w:p>
        </w:tc>
        <w:tc>
          <w:tcPr>
            <w:tcW w:w="368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6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2022</w:t>
            </w: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Revolving Facility</w:t>
            </w:r>
          </w:p>
        </w:tc>
        <w:tc>
          <w:tcPr>
            <w:tcW w:w="1660" w:type="dxa"/>
            <w:vAlign w:val="bottom"/>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9"/>
              </w:rPr>
              <w:t>3/1/2022</w:t>
            </w:r>
          </w:p>
        </w:tc>
        <w:tc>
          <w:tcPr>
            <w:tcW w:w="134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3/1/2027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480,000</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0" w:type="dxa"/>
            <w:vAlign w:val="bottom"/>
          </w:tcPr>
          <w:p>
            <w:pPr>
              <w:spacing w:after="0"/>
              <w:rPr>
                <w:sz w:val="1"/>
                <w:szCs w:val="1"/>
                <w:color w:val="auto"/>
              </w:rPr>
            </w:pPr>
          </w:p>
        </w:tc>
      </w:tr>
      <w:tr>
        <w:trPr>
          <w:trHeight w:val="229"/>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2027</w:t>
            </w: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Notes</w:t>
            </w:r>
          </w:p>
        </w:tc>
        <w:tc>
          <w:tcPr>
            <w:tcW w:w="166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9"/>
              </w:rPr>
              <w:t>3/1/2022</w:t>
            </w:r>
          </w:p>
        </w:tc>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3/1/2027</w:t>
            </w: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2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0" w:type="dxa"/>
            <w:vAlign w:val="bottom"/>
          </w:tcPr>
          <w:p>
            <w:pPr>
              <w:spacing w:after="0"/>
              <w:rPr>
                <w:sz w:val="1"/>
                <w:szCs w:val="1"/>
                <w:color w:val="auto"/>
              </w:rPr>
            </w:pPr>
          </w:p>
        </w:tc>
      </w:tr>
      <w:tr>
        <w:trPr>
          <w:trHeight w:val="230"/>
        </w:trPr>
        <w:tc>
          <w:tcPr>
            <w:tcW w:w="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2032</w:t>
            </w: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w:t>
            </w:r>
          </w:p>
        </w:tc>
        <w:tc>
          <w:tcPr>
            <w:tcW w:w="1660" w:type="dxa"/>
            <w:vAlign w:val="bottom"/>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9"/>
              </w:rPr>
              <w:t>3/1/2022</w:t>
            </w:r>
          </w:p>
        </w:tc>
        <w:tc>
          <w:tcPr>
            <w:tcW w:w="134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3/1/2032</w:t>
            </w: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2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0" w:type="dxa"/>
            <w:vAlign w:val="bottom"/>
          </w:tcPr>
          <w:p>
            <w:pPr>
              <w:spacing w:after="0"/>
              <w:rPr>
                <w:sz w:val="1"/>
                <w:szCs w:val="1"/>
                <w:color w:val="auto"/>
              </w:rPr>
            </w:pPr>
          </w:p>
        </w:tc>
      </w:tr>
      <w:tr>
        <w:trPr>
          <w:trHeight w:val="230"/>
        </w:trPr>
        <w:tc>
          <w:tcPr>
            <w:tcW w:w="44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unamortized discounts and debt issuance costs</w:t>
            </w:r>
          </w:p>
        </w:tc>
        <w:tc>
          <w:tcPr>
            <w:tcW w:w="166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(7,838)</w:t>
            </w:r>
          </w:p>
        </w:tc>
        <w:tc>
          <w:tcPr>
            <w:tcW w:w="2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(8,869)</w:t>
            </w:r>
          </w:p>
        </w:tc>
        <w:tc>
          <w:tcPr>
            <w:tcW w:w="0" w:type="dxa"/>
            <w:vAlign w:val="bottom"/>
          </w:tcPr>
          <w:p>
            <w:pPr>
              <w:spacing w:after="0"/>
              <w:rPr>
                <w:sz w:val="1"/>
                <w:szCs w:val="1"/>
                <w:color w:val="auto"/>
              </w:rPr>
            </w:pPr>
          </w:p>
        </w:tc>
      </w:tr>
      <w:tr>
        <w:trPr>
          <w:trHeight w:val="223"/>
        </w:trPr>
        <w:tc>
          <w:tcPr>
            <w:tcW w:w="4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Long-term debt</w:t>
            </w:r>
          </w:p>
        </w:tc>
        <w:tc>
          <w:tcPr>
            <w:tcW w:w="16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1,472,162</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1,241,131</w:t>
            </w:r>
          </w:p>
        </w:tc>
        <w:tc>
          <w:tcPr>
            <w:tcW w:w="0" w:type="dxa"/>
            <w:vAlign w:val="bottom"/>
          </w:tcPr>
          <w:p>
            <w:pPr>
              <w:spacing w:after="0"/>
              <w:rPr>
                <w:sz w:val="1"/>
                <w:szCs w:val="1"/>
                <w:color w:val="auto"/>
              </w:rPr>
            </w:pPr>
          </w:p>
        </w:tc>
      </w:tr>
      <w:tr>
        <w:trPr>
          <w:trHeight w:val="250"/>
        </w:trPr>
        <w:tc>
          <w:tcPr>
            <w:tcW w:w="760" w:type="dxa"/>
            <w:vAlign w:val="bottom"/>
            <w:tcBorders>
              <w:bottom w:val="single" w:sz="8" w:color="CCEEFF"/>
            </w:tcBorders>
          </w:tcPr>
          <w:p>
            <w:pPr>
              <w:spacing w:after="0"/>
              <w:rPr>
                <w:sz w:val="21"/>
                <w:szCs w:val="21"/>
                <w:color w:val="auto"/>
              </w:rPr>
            </w:pPr>
          </w:p>
        </w:tc>
        <w:tc>
          <w:tcPr>
            <w:tcW w:w="3680" w:type="dxa"/>
            <w:vAlign w:val="bottom"/>
            <w:tcBorders>
              <w:bottom w:val="single" w:sz="8" w:color="CCEEFF"/>
            </w:tcBorders>
          </w:tcPr>
          <w:p>
            <w:pPr>
              <w:spacing w:after="0"/>
              <w:rPr>
                <w:sz w:val="21"/>
                <w:szCs w:val="21"/>
                <w:color w:val="auto"/>
              </w:rPr>
            </w:pPr>
          </w:p>
        </w:tc>
        <w:tc>
          <w:tcPr>
            <w:tcW w:w="1660" w:type="dxa"/>
            <w:vAlign w:val="bottom"/>
            <w:tcBorders>
              <w:bottom w:val="single" w:sz="8" w:color="CCEEFF"/>
            </w:tcBorders>
          </w:tcPr>
          <w:p>
            <w:pPr>
              <w:spacing w:after="0"/>
              <w:rPr>
                <w:sz w:val="21"/>
                <w:szCs w:val="21"/>
                <w:color w:val="auto"/>
              </w:rPr>
            </w:pPr>
          </w:p>
        </w:tc>
        <w:tc>
          <w:tcPr>
            <w:tcW w:w="134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7"/>
              </w:rPr>
              <w:t>Total debt</w:t>
            </w:r>
          </w:p>
        </w:tc>
        <w:tc>
          <w:tcPr>
            <w:tcW w:w="36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1,472,162</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1,365,973</w:t>
            </w:r>
          </w:p>
        </w:tc>
        <w:tc>
          <w:tcPr>
            <w:tcW w:w="0" w:type="dxa"/>
            <w:vAlign w:val="bottom"/>
          </w:tcPr>
          <w:p>
            <w:pPr>
              <w:spacing w:after="0"/>
              <w:rPr>
                <w:sz w:val="1"/>
                <w:szCs w:val="1"/>
                <w:color w:val="auto"/>
              </w:rPr>
            </w:pPr>
          </w:p>
        </w:tc>
      </w:tr>
      <w:tr>
        <w:trPr>
          <w:trHeight w:val="20"/>
        </w:trPr>
        <w:tc>
          <w:tcPr>
            <w:tcW w:w="760" w:type="dxa"/>
            <w:vAlign w:val="bottom"/>
            <w:tcBorders>
              <w:top w:val="single" w:sz="8" w:color="CCEEFF"/>
            </w:tcBorders>
          </w:tcPr>
          <w:p>
            <w:pPr>
              <w:spacing w:after="0" w:line="20" w:lineRule="exact"/>
              <w:rPr>
                <w:sz w:val="1"/>
                <w:szCs w:val="1"/>
                <w:color w:val="auto"/>
              </w:rPr>
            </w:pPr>
          </w:p>
        </w:tc>
        <w:tc>
          <w:tcPr>
            <w:tcW w:w="368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February 28, 2025, annual maturities on our debt obligations, based on contractual maturity dates, were as follows: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640" w:type="dxa"/>
            <w:vAlign w:val="bottom"/>
          </w:tcPr>
          <w:p>
            <w:pPr>
              <w:spacing w:after="0"/>
              <w:rPr>
                <w:sz w:val="20"/>
                <w:szCs w:val="20"/>
                <w:color w:val="auto"/>
              </w:rPr>
            </w:pPr>
          </w:p>
        </w:tc>
        <w:tc>
          <w:tcPr>
            <w:tcW w:w="2400" w:type="dxa"/>
            <w:vAlign w:val="bottom"/>
          </w:tcPr>
          <w:p>
            <w:pPr>
              <w:spacing w:after="0"/>
              <w:rPr>
                <w:sz w:val="20"/>
                <w:szCs w:val="20"/>
                <w:color w:val="auto"/>
              </w:rPr>
            </w:pPr>
          </w:p>
        </w:tc>
      </w:tr>
      <w:tr>
        <w:trPr>
          <w:trHeight w:val="256"/>
        </w:trPr>
        <w:tc>
          <w:tcPr>
            <w:tcW w:w="8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Fiscal Years ended August 31,</w:t>
            </w:r>
          </w:p>
        </w:tc>
        <w:tc>
          <w:tcPr>
            <w:tcW w:w="640" w:type="dxa"/>
            <w:vAlign w:val="bottom"/>
            <w:tcBorders>
              <w:bottom w:val="single" w:sz="8" w:color="auto"/>
            </w:tcBorders>
          </w:tcPr>
          <w:p>
            <w:pPr>
              <w:spacing w:after="0"/>
              <w:rPr>
                <w:sz w:val="22"/>
                <w:szCs w:val="22"/>
                <w:color w:val="auto"/>
              </w:rPr>
            </w:pPr>
          </w:p>
        </w:tc>
        <w:tc>
          <w:tcPr>
            <w:tcW w:w="2400" w:type="dxa"/>
            <w:vAlign w:val="bottom"/>
            <w:tcBorders>
              <w:bottom w:val="single" w:sz="8" w:color="auto"/>
            </w:tcBorders>
          </w:tcPr>
          <w:p>
            <w:pPr>
              <w:jc w:val="right"/>
              <w:ind w:right="1050"/>
              <w:spacing w:after="0"/>
              <w:rPr>
                <w:sz w:val="20"/>
                <w:szCs w:val="20"/>
                <w:color w:val="auto"/>
              </w:rPr>
            </w:pPr>
            <w:r>
              <w:rPr>
                <w:rFonts w:ascii="Times New Roman" w:cs="Times New Roman" w:eastAsia="Times New Roman" w:hAnsi="Times New Roman"/>
                <w:sz w:val="18"/>
                <w:szCs w:val="18"/>
                <w:color w:val="auto"/>
              </w:rPr>
              <w:t>Maturities</w:t>
            </w:r>
          </w:p>
        </w:tc>
      </w:tr>
      <w:tr>
        <w:trPr>
          <w:trHeight w:val="223"/>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 (remaining six months)</w:t>
            </w:r>
          </w:p>
        </w:tc>
        <w:tc>
          <w:tcPr>
            <w:tcW w:w="6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2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640" w:type="dxa"/>
            <w:vAlign w:val="bottom"/>
          </w:tcPr>
          <w:p>
            <w:pPr>
              <w:spacing w:after="0"/>
              <w:rPr>
                <w:sz w:val="19"/>
                <w:szCs w:val="19"/>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640" w:type="dxa"/>
            <w:vAlign w:val="bottom"/>
            <w:shd w:val="clear" w:color="auto" w:fill="CCEEFF"/>
          </w:tcPr>
          <w:p>
            <w:pPr>
              <w:spacing w:after="0"/>
              <w:rPr>
                <w:sz w:val="19"/>
                <w:szCs w:val="19"/>
                <w:color w:val="auto"/>
              </w:rPr>
            </w:pPr>
          </w:p>
        </w:tc>
        <w:tc>
          <w:tcPr>
            <w:tcW w:w="2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980,000</w:t>
            </w:r>
          </w:p>
        </w:tc>
      </w:tr>
      <w:tr>
        <w:trPr>
          <w:trHeight w:val="230"/>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640" w:type="dxa"/>
            <w:vAlign w:val="bottom"/>
          </w:tcPr>
          <w:p>
            <w:pPr>
              <w:spacing w:after="0"/>
              <w:rPr>
                <w:sz w:val="19"/>
                <w:szCs w:val="19"/>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640" w:type="dxa"/>
            <w:vAlign w:val="bottom"/>
            <w:shd w:val="clear" w:color="auto" w:fill="CCEEFF"/>
          </w:tcPr>
          <w:p>
            <w:pPr>
              <w:spacing w:after="0"/>
              <w:rPr>
                <w:sz w:val="19"/>
                <w:szCs w:val="19"/>
                <w:color w:val="auto"/>
              </w:rPr>
            </w:pPr>
          </w:p>
        </w:tc>
        <w:tc>
          <w:tcPr>
            <w:tcW w:w="2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64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500,000</w:t>
            </w:r>
          </w:p>
        </w:tc>
      </w:tr>
      <w:tr>
        <w:trPr>
          <w:trHeight w:val="248"/>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64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2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1,480,000</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40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2022 Credit Agreement</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1, 2022, we entered into a credit agreement (the "2022 Credit Agreement") and borrowed an aggregate principal amount of $1.0 billion under its senior unsecured term loan credit facility (the "2022 Term Facility") and $250.0 million of the available $500.0 million under its senior unsecured revolving credit facility (the "2022 Revolving Facility"). The 2022 Revolving Facility, together with the 2022 Term Facility, are referred to as the "2022 Credit Facilities".</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2022 Term Facility matured on March 1, 2025, and the 2022 Revolving Facility matures on March 1, 2027. The 2022 Revolving Facility allows for the availability of up to $100.0 million in the form of letters of credit and up to $50.0 million in the form of swingline loans. The 2022 Revolving Facility allowed for additional commitments of up to $750.0 million from lenders or other financial institutions. On January 31, 2025, we entered into a joinder agreement to our 2022 Credit Agreement that added an incremental revolving loan lender and increased the available commitments under the 2022 Revolving Facility by $100.0 million. The joinder agreement increased the total 2022 Revolving Facility commitments to $600.0 million and reduced the additional commitments we can seek to $650.0 million. All other terms of the 2022 Credit Agreement remained unchanged.</w:t>
      </w:r>
    </w:p>
    <w:p>
      <w:pPr>
        <w:spacing w:after="0" w:line="14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voluntarily prepay loans under the 2022 Credit Facilities at any time without premium or penalty. During the three and six months ended February 28, 2025, we repaid $62.5 million and $125.0 million, respectively, under the 2022 Term Facility. As of February 28, 2025, the 2022 Term Facility has been fully repaid.</w:t>
      </w:r>
    </w:p>
    <w:p>
      <w:pPr>
        <w:spacing w:after="0" w:line="1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six months ended February 28, 2025, we borrowed $305.0 million and repaid $75.0 million for total net borrowings of $230.0 million under the 2022 Revolving Facility. As of February 28, 2025, the outstanding borrowings under the 2022 Revolving Facility were $480.0 million.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From the borrowing date through November 30, 2023, the outstanding borrowings under the 2022 Credit Facilities bore interest at a rate equal to the applicable one-month Term SOFR plus a 1.1% spread (comprised of a 1.0% interest rate margin based on a debt leverage pricing grid plus a 0.1% credit spread adjustment). From December 1, 2023 through February 28, 2025, the spread decreased to 0.975% (comprised of a 0.875% interest rate margin based on a debt leverage pricing grid plus a 0.1% credit spread adjustment). Interest on the 2022 Credit Facilities is payable on the last business day of each month, in arrears.</w:t>
      </w:r>
    </w:p>
    <w:p>
      <w:pPr>
        <w:spacing w:after="0" w:line="1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we pay a commitment fee on the daily unused amount of the 2022 Revolving Facility using a pricing grid based on our senior unsecured non-credit enhanced long-term debt rating and our total leverage ratio. From the borrowing date through November 30, 2023, the commitment fee was 0.125%, which subsequently decreased to 0.1% through February 28, 2025.</w:t>
      </w:r>
    </w:p>
    <w:p>
      <w:pPr>
        <w:spacing w:after="0" w:line="1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incurred approximately $9.5 million in debt issuance costs during fiscal 2022 related to the 2022 Credit Facilities. Debt issuance costs are presented in the Consolidated Balance Sheets as a direct deduction from the carrying amount of the debt liability. Debt issuance costs are amortized to Interest expense in the Consolidated Statements of Income on a straight-line basis over the contractual term of the debt, which approximates the effective interest method.</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2022 Credit Agreement contains usual and customary event of default provisions for facilities of this type, which are subject to usual and customary grace periods and materiality thresholds. If an event of default occurs under the 2022 Credit Agreement, the lenders may, among other things, terminate their commitments and declare all outstanding borrowings immediately due and payable.</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2022 Credit Agreement contains usual and customary affirmative and negative covenants for facilities of this type, including a financial covenant requiring maintenance of a total leverage ratio of no greater than 3.50 to 1.00 as of February 28, 2025. We were in compliance with all covenants and requirements of the 2022 Credit Agreement as of February 28, 2025.</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Swap Agreements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Swap Agreement</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1, 2024, we entered into the 2024 Swap Agreement to hedge a portion of our outstanding floating SOFR debt with a fixed interest rate of 5.145%. The 2024 Swap Agreement matured on February 28, 2025.</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 Swap Agreement</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1, 2022, we entered into the 2022 Swap Agreement to hedge a portion of our outstanding floating SOFR debt with a fixed interest rate of 1.162%. The 2022 Swap Agreement matured on February 28, 2024.</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Refer to Note 5, </w:t>
      </w:r>
      <w:r>
        <w:rPr>
          <w:rFonts w:ascii="Times New Roman" w:cs="Times New Roman" w:eastAsia="Times New Roman" w:hAnsi="Times New Roman"/>
          <w:sz w:val="18"/>
          <w:szCs w:val="18"/>
          <w:i w:val="1"/>
          <w:iCs w:val="1"/>
          <w:color w:val="auto"/>
        </w:rPr>
        <w:t>Derivative Instruments</w:t>
      </w:r>
      <w:r>
        <w:rPr>
          <w:rFonts w:ascii="Times New Roman" w:cs="Times New Roman" w:eastAsia="Times New Roman" w:hAnsi="Times New Roman"/>
          <w:sz w:val="18"/>
          <w:szCs w:val="18"/>
          <w:color w:val="auto"/>
        </w:rPr>
        <w:t xml:space="preserve"> for further discussion of the 2024 Swap Agreement and the 2022 Swap Agreement.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Senior Notes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1, 2022, we completed a public offering of $500.0 million aggregate principal amount of 2.900% Senior Notes due March 1, 2027 (the "2027 Notes") and $500.0 million aggregate principal amount of 3.450% Senior Notes due March 1, 2032 (the "2032 Notes" and, together with the 2027 Notes, the "Senior Notes"). The Senior Notes were issued pursuant to an indenture, dated as of March 1, 2022, by and between us and U.S. Bank Trust Company, National Association, as trustee (the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"Trustee"), as supplemented by the supplemental indenture, dated as of March 1, 2022, between us and the Trustee (the "Supplemental Indenture").</w:t>
      </w:r>
    </w:p>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Senior Notes were issued at an aggregate discount of $2.8 million and we incurred approximately $9.1 million in debt issuance costs during fiscal 2022. Debt discounts and debt issuance costs are presented in the Consolidated Balance Sheets as a net direct deduction from the carrying amount of the debt liability. The debt discounts and debt issuance costs are amortized to Interest expense in the Consolidated Statements of Income over the contractual term of the debt, leveraging the effective interest method.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on the Senior Notes is payable semiannually in arrears on March 1 and September 1 of each year.</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redeem the Senior Notes, in whole or in part, at any time at specified redemption prices, plus any accrued and unpaid interest. Upon the occurrence of a change of control triggering event (as defined in the Supplemental Indenture), we must offer to repurchase the Senior Notes at 101% of their principal amount, plus any accrued and unpaid interest.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interest expense on our outstanding debt which is a component of Interest expense in our Consolidated Statements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560" w:type="dxa"/>
            <w:vAlign w:val="bottom"/>
            <w:gridSpan w:val="3"/>
          </w:tcPr>
          <w:p>
            <w:pPr>
              <w:jc w:val="right"/>
              <w:ind w:right="510"/>
              <w:spacing w:after="0"/>
              <w:rPr>
                <w:sz w:val="20"/>
                <w:szCs w:val="20"/>
                <w:color w:val="auto"/>
              </w:rPr>
            </w:pPr>
            <w:r>
              <w:rPr>
                <w:rFonts w:ascii="Times New Roman" w:cs="Times New Roman" w:eastAsia="Times New Roman" w:hAnsi="Times New Roman"/>
                <w:sz w:val="18"/>
                <w:szCs w:val="18"/>
                <w:color w:val="auto"/>
              </w:rPr>
              <w:t>Three Months Ended</w:t>
            </w:r>
          </w:p>
        </w:tc>
        <w:tc>
          <w:tcPr>
            <w:tcW w:w="200" w:type="dxa"/>
            <w:vAlign w:val="bottom"/>
          </w:tcPr>
          <w:p>
            <w:pPr>
              <w:spacing w:after="0"/>
              <w:rPr>
                <w:sz w:val="19"/>
                <w:szCs w:val="19"/>
                <w:color w:val="auto"/>
              </w:rPr>
            </w:pPr>
          </w:p>
        </w:tc>
        <w:tc>
          <w:tcPr>
            <w:tcW w:w="2580" w:type="dxa"/>
            <w:vAlign w:val="bottom"/>
            <w:gridSpan w:val="3"/>
          </w:tcPr>
          <w:p>
            <w:pPr>
              <w:jc w:val="right"/>
              <w:ind w:right="610"/>
              <w:spacing w:after="0"/>
              <w:rPr>
                <w:sz w:val="20"/>
                <w:szCs w:val="20"/>
                <w:color w:val="auto"/>
              </w:rPr>
            </w:pPr>
            <w:r>
              <w:rPr>
                <w:rFonts w:ascii="Times New Roman" w:cs="Times New Roman" w:eastAsia="Times New Roman" w:hAnsi="Times New Roman"/>
                <w:sz w:val="18"/>
                <w:szCs w:val="18"/>
                <w:color w:val="auto"/>
              </w:rPr>
              <w:t>Six Months Ended</w:t>
            </w:r>
          </w:p>
        </w:tc>
        <w:tc>
          <w:tcPr>
            <w:tcW w:w="0" w:type="dxa"/>
            <w:vAlign w:val="bottom"/>
          </w:tcPr>
          <w:p>
            <w:pPr>
              <w:spacing w:after="0"/>
              <w:rPr>
                <w:sz w:val="1"/>
                <w:szCs w:val="1"/>
                <w:color w:val="auto"/>
              </w:rPr>
            </w:pPr>
          </w:p>
        </w:tc>
      </w:tr>
      <w:tr>
        <w:trPr>
          <w:trHeight w:val="229"/>
        </w:trPr>
        <w:tc>
          <w:tcPr>
            <w:tcW w:w="42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620" w:type="dxa"/>
            <w:vAlign w:val="bottom"/>
          </w:tcPr>
          <w:p>
            <w:pPr>
              <w:spacing w:after="0"/>
              <w:rPr>
                <w:sz w:val="19"/>
                <w:szCs w:val="19"/>
                <w:color w:val="auto"/>
              </w:rPr>
            </w:pPr>
          </w:p>
        </w:tc>
        <w:tc>
          <w:tcPr>
            <w:tcW w:w="11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February 28,</w:t>
            </w:r>
          </w:p>
        </w:tc>
        <w:tc>
          <w:tcPr>
            <w:tcW w:w="200" w:type="dxa"/>
            <w:vAlign w:val="bottom"/>
          </w:tcPr>
          <w:p>
            <w:pPr>
              <w:spacing w:after="0"/>
              <w:rPr>
                <w:sz w:val="19"/>
                <w:szCs w:val="19"/>
                <w:color w:val="auto"/>
              </w:rPr>
            </w:pPr>
          </w:p>
        </w:tc>
        <w:tc>
          <w:tcPr>
            <w:tcW w:w="11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February 29,</w:t>
            </w:r>
          </w:p>
        </w:tc>
        <w:tc>
          <w:tcPr>
            <w:tcW w:w="200" w:type="dxa"/>
            <w:vAlign w:val="bottom"/>
          </w:tcPr>
          <w:p>
            <w:pPr>
              <w:spacing w:after="0"/>
              <w:rPr>
                <w:sz w:val="19"/>
                <w:szCs w:val="19"/>
                <w:color w:val="auto"/>
              </w:rPr>
            </w:pPr>
          </w:p>
        </w:tc>
        <w:tc>
          <w:tcPr>
            <w:tcW w:w="11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February 28,</w:t>
            </w:r>
          </w:p>
        </w:tc>
        <w:tc>
          <w:tcPr>
            <w:tcW w:w="200" w:type="dxa"/>
            <w:vAlign w:val="bottom"/>
          </w:tcPr>
          <w:p>
            <w:pPr>
              <w:spacing w:after="0"/>
              <w:rPr>
                <w:sz w:val="19"/>
                <w:szCs w:val="19"/>
                <w:color w:val="auto"/>
              </w:rPr>
            </w:pPr>
          </w:p>
        </w:tc>
        <w:tc>
          <w:tcPr>
            <w:tcW w:w="12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February 29,</w:t>
            </w:r>
          </w:p>
        </w:tc>
        <w:tc>
          <w:tcPr>
            <w:tcW w:w="0" w:type="dxa"/>
            <w:vAlign w:val="bottom"/>
          </w:tcPr>
          <w:p>
            <w:pPr>
              <w:spacing w:after="0"/>
              <w:rPr>
                <w:sz w:val="1"/>
                <w:szCs w:val="1"/>
                <w:color w:val="auto"/>
              </w:rPr>
            </w:pPr>
          </w:p>
        </w:tc>
      </w:tr>
      <w:tr>
        <w:trPr>
          <w:trHeight w:val="234"/>
        </w:trPr>
        <w:tc>
          <w:tcPr>
            <w:tcW w:w="4280" w:type="dxa"/>
            <w:vAlign w:val="bottom"/>
            <w:tcBorders>
              <w:bottom w:val="single" w:sz="8" w:color="auto"/>
            </w:tcBorders>
            <w:vMerge w:val="continue"/>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23"/>
        </w:trPr>
        <w:tc>
          <w:tcPr>
            <w:tcW w:w="428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Interest expense on outstanding debt</w:t>
            </w:r>
            <w:r>
              <w:rPr>
                <w:rFonts w:ascii="Times New Roman" w:cs="Times New Roman" w:eastAsia="Times New Roman" w:hAnsi="Times New Roman"/>
                <w:sz w:val="23"/>
                <w:szCs w:val="23"/>
                <w:color w:val="auto"/>
                <w:vertAlign w:val="superscript"/>
              </w:rPr>
              <w:t>(1)</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1252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12529"/>
              </w:rPr>
              <w:t>13,899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28,266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33,318</w:t>
            </w: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260" w:hanging="252"/>
        <w:spacing w:after="0" w:line="280" w:lineRule="auto"/>
        <w:tabs>
          <w:tab w:leader="none" w:pos="375"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Interest expense on our outstanding debt includes the related amortization of debt issuance costs and debt discounts. Interest expense is net of the effects of our interest rate swap agreements.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12. COMMITMENTS AND CONTINGENCIES</w:t>
      </w:r>
    </w:p>
    <w:p>
      <w:pPr>
        <w:spacing w:after="0" w:line="1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Commitments represent obligations, such as those for future purchases of goods or services that are not yet recorded on the balance sheet as liabilities. We record liabilities for commitments when incurred (i.e., when the goods or services are received).</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Except for income tax contingencies, we accrue for contingencies when we believe that a loss is probable and the amount can be reasonably estimated. Judgment is required to determine both the probability and the estimated amount of loss. If the reasonable estimate of a probable loss is a range, we record an accrual for the most probable estimate of the loss or the minimum amount when no amount within the range is a better estimate than any other amount. We review these accruals on a quarterly basis and adjust, as necessary, to reflect the impact of negotiations, settlements, rulings, advice of legal counsel and other current information. Contingent gains are recognized only when realized.</w:t>
      </w:r>
    </w:p>
    <w:p>
      <w:pPr>
        <w:spacing w:after="0" w:line="14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Income tax contingencies related to uncertain tax positions are accounted for in accordance with applicable accounting guidance. Refer to Note 2, </w:t>
      </w:r>
      <w:r>
        <w:rPr>
          <w:rFonts w:ascii="Times New Roman" w:cs="Times New Roman" w:eastAsia="Times New Roman" w:hAnsi="Times New Roman"/>
          <w:sz w:val="18"/>
          <w:szCs w:val="18"/>
          <w:i w:val="1"/>
          <w:iCs w:val="1"/>
          <w:color w:val="auto"/>
        </w:rPr>
        <w:t>Summary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of Significant Accounting Policies - Income Taxes </w:t>
      </w:r>
      <w:r>
        <w:rPr>
          <w:rFonts w:ascii="Times New Roman" w:cs="Times New Roman" w:eastAsia="Times New Roman" w:hAnsi="Times New Roman"/>
          <w:sz w:val="18"/>
          <w:szCs w:val="18"/>
          <w:color w:val="auto"/>
        </w:rPr>
        <w:t>in the Notes to the Consolidated Financial Statements included in Part II, Item 8. of our Annual Report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Form 10-K for the fiscal year ended August 31, 2024 for further details.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 Commitments with Suppliers and Vendors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Purchase obligations represent our legally-binding agreements to purchase fixed or minimum quantities at determinable prices. As of August 31, 2024, we had total purchase obligations with suppliers and vendors of $382.6 million. Our total purchase obligations as of August 31, 2024 primarily related to hosting services, acquisition of data and, to a lesser extent, third-party software providers. For the six months ended February 28, 2025, we had no new material purchase obligations.</w:t>
      </w:r>
    </w:p>
    <w:p>
      <w:pPr>
        <w:spacing w:after="0" w:line="13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We also have contractual obligations related to our lease liabilities and outstanding debt. Refer to Note 10,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and Note 11,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for information regarding lease commitments and outstanding debt obligations, respectively.</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Letters of Credit</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From time to time, we are required to obtain letters of credit in the ordinary course of business. We had $0.4 million of standby letters of credit outstanding as of February 28, 2025 and August 31, 2024. No liabilities related to these arrangements are reflected in the Consolidated Balance Sheets.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Our 2022 Revolving Facility allows for the availability of up to $100.0 million in the form of letters of credit. We have not obtained any letters of credit under the 2022 Revolving Facility since its inception. Refer to Note 11,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for information regarding the 2022 Revolving Facility.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Contingencies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Matters</w:t>
      </w:r>
    </w:p>
    <w:p>
      <w:pPr>
        <w:spacing w:after="0" w:line="20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normal course of our business, we are, or may be, engaged in various legal proceedings, claims, litigation and regulatory proceedings. In view of the uncertainty inherent in litigation and regulatory matters, we cannot predict the eventual outcome of such matters or the timing of their resolution, or in most cases reasonably estimate what the eventual judgments, damages, fines, penalties or impact of activity (if any) restrictions may be. While we cannot predict the outcome of these matters, based on information available at February 28, 2025, our management believes that the ultimate outcome of these unresolved matters against us, individually or in the aggregate, will not have a material adverse effect on our consolidated financial position, our results of operations or our cash flows.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multinational company operating in many states and countries, we are routinely audited by various taxing authorities and have reserved for potential adjustments to our provision for income taxes that may result from examinations by, or any negotiated settlements with, these tax authorities. We believe that the final outcome of these examinations or settlements will not have a material effect on our consolidated financial position, results of operations or our cash flows. If events occur which indicate payment of these amounts is unnecessary, the reversal of the liabilities would result in the recognition of tax benefits in the period we determine the liabilities are no longer necessary. If our estimates of the federal, state and foreign income tax liabilities are less than the ultimate assessment, additional expense would result.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Tax Matters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August 2019 through February 2024, we received various assessment and audit notices from the Commonwealth of Massachusetts Department of Revenue (the "Commonwealth") with respect to sales taxes, interest and underpayment penalties relating to the tax periods from January 1, 2006 through December 31, 2023 ("Sales Taxes"). We entered into an agreement with the Commonwealth on November 26, 2024 which fully resolved all matters relating to the Sales Taxes.</w:t>
      </w:r>
    </w:p>
    <w:p>
      <w:pPr>
        <w:spacing w:after="0" w:line="20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During the first quarter of fiscal 2025 and the fourth quarter of fiscal 2024, we took charges of approximately $2.4 million and $54.0 million, respectively, related to this dispute and made corresponding payments of $56.4 million to the Commonwealth during the first quarter of fiscal 2025. In addition to reserves taken in prior fiscal years, this brought our total charge and cash payments with respect to this matter to approximately $66.2 million.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Indemnifications</w:t>
      </w:r>
    </w:p>
    <w:p>
      <w:pPr>
        <w:spacing w:after="0" w:line="2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permitted or required under Delaware law and to the maximum extent allowable under that law, we have certain obligations to indemnify each of our current and former officers and directors for certain events or occurrences while the officer or director is, or was, serving at our request in such capacity. These indemnification obligations are valid as long as the director or officer acted in good faith and in a manner the person reasonably believed to be in, or not opposed to, the best interests of FactSet, and with respect to any criminal action or proceeding, had no reasonable cause to believe his or her conduct was unlawful. It is not possible to determine the maximum potential amount for claims made under the indemnification obligations due to the unique set of facts and circumstances likely to be involved in each particular claim and indemnification provision; however, we have purchased a director and officer insurance policy that mitigates our exposure and may enable us to recover a portion of any future amounts paid. We do not believe, based on historical experience and information currently available, that it is probable that any material amounts will be required to be paid under such indemnification obligations.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13. STOCKHOLDERS' EQUITY</w:t>
      </w:r>
    </w:p>
    <w:p>
      <w:pPr>
        <w:spacing w:after="0" w:line="19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shares of common stock repurchased under our share repurchase program and acquired from holders of our stock-based awards upon vesting to satisfy tax withholding requirements: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 Repurchases</w:t>
            </w: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27"/>
        </w:trPr>
        <w:tc>
          <w:tcPr>
            <w:tcW w:w="6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gridSpan w:val="3"/>
          </w:tcPr>
          <w:p>
            <w:pPr>
              <w:jc w:val="right"/>
              <w:ind w:right="390"/>
              <w:spacing w:after="0"/>
              <w:rPr>
                <w:sz w:val="20"/>
                <w:szCs w:val="20"/>
                <w:color w:val="auto"/>
              </w:rPr>
            </w:pPr>
            <w:r>
              <w:rPr>
                <w:rFonts w:ascii="Times New Roman" w:cs="Times New Roman" w:eastAsia="Times New Roman" w:hAnsi="Times New Roman"/>
                <w:sz w:val="18"/>
                <w:szCs w:val="18"/>
                <w:color w:val="auto"/>
              </w:rPr>
              <w:t>Three Months Ended</w:t>
            </w:r>
          </w:p>
        </w:tc>
        <w:tc>
          <w:tcPr>
            <w:tcW w:w="140" w:type="dxa"/>
            <w:vAlign w:val="bottom"/>
          </w:tcPr>
          <w:p>
            <w:pPr>
              <w:spacing w:after="0"/>
              <w:rPr>
                <w:sz w:val="24"/>
                <w:szCs w:val="24"/>
                <w:color w:val="auto"/>
              </w:rPr>
            </w:pPr>
          </w:p>
        </w:tc>
        <w:tc>
          <w:tcPr>
            <w:tcW w:w="2380" w:type="dxa"/>
            <w:vAlign w:val="bottom"/>
            <w:gridSpan w:val="3"/>
          </w:tcPr>
          <w:p>
            <w:pPr>
              <w:jc w:val="right"/>
              <w:ind w:right="490"/>
              <w:spacing w:after="0"/>
              <w:rPr>
                <w:sz w:val="20"/>
                <w:szCs w:val="20"/>
                <w:color w:val="auto"/>
              </w:rPr>
            </w:pPr>
            <w:r>
              <w:rPr>
                <w:rFonts w:ascii="Times New Roman" w:cs="Times New Roman" w:eastAsia="Times New Roman" w:hAnsi="Times New Roman"/>
                <w:sz w:val="18"/>
                <w:szCs w:val="18"/>
                <w:color w:val="auto"/>
              </w:rPr>
              <w:t>Six Months Ended</w:t>
            </w:r>
          </w:p>
        </w:tc>
      </w:tr>
      <w:tr>
        <w:trPr>
          <w:trHeight w:val="234"/>
        </w:trPr>
        <w:tc>
          <w:tcPr>
            <w:tcW w:w="6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9"/>
              </w:rPr>
              <w:t>February 28,</w:t>
            </w:r>
          </w:p>
        </w:tc>
        <w:tc>
          <w:tcPr>
            <w:tcW w:w="140" w:type="dxa"/>
            <w:vAlign w:val="bottom"/>
          </w:tcPr>
          <w:p>
            <w:pPr>
              <w:spacing w:after="0"/>
              <w:rPr>
                <w:sz w:val="20"/>
                <w:szCs w:val="20"/>
                <w:color w:val="auto"/>
              </w:rPr>
            </w:pP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9"/>
              </w:rPr>
              <w:t>February 29,</w:t>
            </w:r>
          </w:p>
        </w:tc>
        <w:tc>
          <w:tcPr>
            <w:tcW w:w="140" w:type="dxa"/>
            <w:vAlign w:val="bottom"/>
          </w:tcPr>
          <w:p>
            <w:pPr>
              <w:spacing w:after="0"/>
              <w:rPr>
                <w:sz w:val="20"/>
                <w:szCs w:val="20"/>
                <w:color w:val="auto"/>
              </w:rPr>
            </w:pP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February 28,</w:t>
            </w:r>
          </w:p>
        </w:tc>
        <w:tc>
          <w:tcPr>
            <w:tcW w:w="140" w:type="dxa"/>
            <w:vAlign w:val="bottom"/>
          </w:tcPr>
          <w:p>
            <w:pPr>
              <w:spacing w:after="0"/>
              <w:rPr>
                <w:sz w:val="20"/>
                <w:szCs w:val="20"/>
                <w:color w:val="auto"/>
              </w:rPr>
            </w:pP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February 29,</w:t>
            </w:r>
          </w:p>
        </w:tc>
      </w:tr>
      <w:tr>
        <w:trPr>
          <w:trHeight w:val="270"/>
        </w:trPr>
        <w:tc>
          <w:tcPr>
            <w:tcW w:w="6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share data)</w:t>
            </w:r>
          </w:p>
        </w:tc>
        <w:tc>
          <w:tcPr>
            <w:tcW w:w="2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Repurchases of common stock under the share repurchase program</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136,714</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113,050</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241,189</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249,000</w:t>
            </w:r>
          </w:p>
        </w:tc>
      </w:tr>
      <w:tr>
        <w:trPr>
          <w:trHeight w:val="229"/>
        </w:trPr>
        <w:tc>
          <w:tcPr>
            <w:tcW w:w="61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Total cost of common stock repurchased under the share repurchase program</w:t>
            </w:r>
            <w:r>
              <w:rPr>
                <w:rFonts w:ascii="Times New Roman" w:cs="Times New Roman" w:eastAsia="Times New Roman" w:hAnsi="Times New Roman"/>
                <w:sz w:val="23"/>
                <w:szCs w:val="23"/>
                <w:color w:val="auto"/>
                <w:vertAlign w:val="superscript"/>
              </w:rPr>
              <w:t>(1)</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64,352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52,255</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113,142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112,165</w:t>
            </w:r>
          </w:p>
        </w:tc>
      </w:tr>
      <w:tr>
        <w:trPr>
          <w:trHeight w:val="184"/>
        </w:trPr>
        <w:tc>
          <w:tcPr>
            <w:tcW w:w="612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Repurchases of common stock to satisfy tax withholding requirements due upon</w:t>
            </w: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234"/>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vesting of stock-based awards</w:t>
            </w:r>
          </w:p>
        </w:tc>
        <w:tc>
          <w:tcPr>
            <w:tcW w:w="2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1,777</w:t>
            </w: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1,999</w:t>
            </w: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30,870</w:t>
            </w: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32,383</w:t>
            </w:r>
          </w:p>
        </w:tc>
      </w:tr>
      <w:tr>
        <w:trPr>
          <w:trHeight w:val="184"/>
        </w:trPr>
        <w:tc>
          <w:tcPr>
            <w:tcW w:w="61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Total cost of repurchases of common stock to satisfy withholding requirements due</w:t>
            </w: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34"/>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upon vesting of stock-based awards</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14,228</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14,465</w:t>
            </w:r>
          </w:p>
        </w:tc>
      </w:tr>
    </w:tbl>
    <w:p>
      <w:pPr>
        <w:spacing w:after="0" w:line="256" w:lineRule="exact"/>
        <w:rPr>
          <w:sz w:val="20"/>
          <w:szCs w:val="20"/>
          <w:color w:val="auto"/>
        </w:rPr>
      </w:pPr>
    </w:p>
    <w:p>
      <w:pPr>
        <w:ind w:left="340" w:hanging="251"/>
        <w:spacing w:after="0" w:line="298" w:lineRule="auto"/>
        <w:tabs>
          <w:tab w:leader="none" w:pos="331"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three and six months ended February 28, 2025, amount excludes a 1% excise tax of $0.5 million and $1.3 million, respectively, on corporate stock repurchases required under the Inflation Reduction Act of 2022.</w:t>
      </w:r>
    </w:p>
    <w:p>
      <w:pPr>
        <w:spacing w:after="0" w:line="1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We may repurchase shares of our common stock under our share repurchase program from time-to-time in the open market or via privately negotiated transactions, subject to market conditions. There is no defined number of shares to be repurchased over a specified timeframe through the life of our share repurchase program. On September 17, 2024, our Board of Directors authorized up to $300 million for share repurchases during fiscal 2025. As of February 28, 2025, $186.9 million remained authorized under our share repurchase program. Refer to Part II, Item 2. </w:t>
      </w:r>
      <w:r>
        <w:rPr>
          <w:rFonts w:ascii="Times New Roman" w:cs="Times New Roman" w:eastAsia="Times New Roman" w:hAnsi="Times New Roman"/>
          <w:sz w:val="18"/>
          <w:szCs w:val="18"/>
          <w:i w:val="1"/>
          <w:iCs w:val="1"/>
          <w:color w:val="auto"/>
        </w:rPr>
        <w:t>Unregistered Sales of Equity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Securities and Use of Proceeds</w:t>
      </w:r>
      <w:r>
        <w:rPr>
          <w:rFonts w:ascii="Times New Roman" w:cs="Times New Roman" w:eastAsia="Times New Roman" w:hAnsi="Times New Roman"/>
          <w:sz w:val="18"/>
          <w:szCs w:val="18"/>
          <w:color w:val="auto"/>
        </w:rPr>
        <w:t>, of this Quarterly Report on Form 10-Q for further discussion on our share repurchase program.</w:t>
      </w:r>
    </w:p>
    <w:p>
      <w:pPr>
        <w:spacing w:after="0" w:line="1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to our share repurchase program, we also acquire shares of our common stock from holders of our stock-based awards to satisfy withholding tax requirements due at vesting. Shares acquired from these holders do not reduce the amount authorized for repurchase under the share repurchase program.</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Equity-based Awards</w:t>
      </w:r>
    </w:p>
    <w:p>
      <w:pPr>
        <w:spacing w:after="0" w:line="18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Refer to Note 15, </w:t>
      </w:r>
      <w:r>
        <w:rPr>
          <w:rFonts w:ascii="Times New Roman" w:cs="Times New Roman" w:eastAsia="Times New Roman" w:hAnsi="Times New Roman"/>
          <w:sz w:val="18"/>
          <w:szCs w:val="18"/>
          <w:i w:val="1"/>
          <w:iCs w:val="1"/>
          <w:color w:val="auto"/>
        </w:rPr>
        <w:t>Stock-Based Compensation</w:t>
      </w:r>
      <w:r>
        <w:rPr>
          <w:rFonts w:ascii="Times New Roman" w:cs="Times New Roman" w:eastAsia="Times New Roman" w:hAnsi="Times New Roman"/>
          <w:sz w:val="18"/>
          <w:szCs w:val="18"/>
          <w:color w:val="auto"/>
        </w:rPr>
        <w:t xml:space="preserve"> for more information on equity awards issued during the six months ended February 28, 2025 and February 29, 2024.</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Dividends</w:t>
            </w:r>
          </w:p>
        </w:tc>
        <w:tc>
          <w:tcPr>
            <w:tcW w:w="14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5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Our Board of Directors approved the following dividends:</w:t>
            </w:r>
          </w:p>
        </w:tc>
        <w:tc>
          <w:tcPr>
            <w:tcW w:w="1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6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340" w:type="dxa"/>
            <w:vAlign w:val="bottom"/>
          </w:tcPr>
          <w:p>
            <w:pPr>
              <w:jc w:val="center"/>
              <w:ind w:right="50"/>
              <w:spacing w:after="0" w:line="202" w:lineRule="exact"/>
              <w:rPr>
                <w:sz w:val="20"/>
                <w:szCs w:val="20"/>
                <w:color w:val="auto"/>
              </w:rPr>
            </w:pPr>
            <w:r>
              <w:rPr>
                <w:rFonts w:ascii="Times New Roman" w:cs="Times New Roman" w:eastAsia="Times New Roman" w:hAnsi="Times New Roman"/>
                <w:sz w:val="18"/>
                <w:szCs w:val="18"/>
                <w:color w:val="auto"/>
                <w:w w:val="98"/>
              </w:rPr>
              <w:t>Dividends per</w:t>
            </w:r>
          </w:p>
        </w:tc>
        <w:tc>
          <w:tcPr>
            <w:tcW w:w="1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2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Total Amount</w:t>
            </w:r>
          </w:p>
        </w:tc>
        <w:tc>
          <w:tcPr>
            <w:tcW w:w="2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6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340" w:type="dxa"/>
            <w:vAlign w:val="bottom"/>
          </w:tcPr>
          <w:p>
            <w:pPr>
              <w:jc w:val="center"/>
              <w:ind w:right="50"/>
              <w:spacing w:after="0" w:line="176" w:lineRule="exact"/>
              <w:rPr>
                <w:sz w:val="20"/>
                <w:szCs w:val="20"/>
                <w:color w:val="auto"/>
              </w:rPr>
            </w:pPr>
            <w:r>
              <w:rPr>
                <w:rFonts w:ascii="Times New Roman" w:cs="Times New Roman" w:eastAsia="Times New Roman" w:hAnsi="Times New Roman"/>
                <w:sz w:val="18"/>
                <w:szCs w:val="18"/>
                <w:color w:val="auto"/>
                <w:w w:val="99"/>
              </w:rPr>
              <w:t>Share of</w:t>
            </w:r>
          </w:p>
        </w:tc>
        <w:tc>
          <w:tcPr>
            <w:tcW w:w="1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2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Year Ended</w:t>
            </w:r>
          </w:p>
        </w:tc>
        <w:tc>
          <w:tcPr>
            <w:tcW w:w="14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9"/>
              </w:rPr>
              <w:t>Common Stock</w:t>
            </w:r>
          </w:p>
        </w:tc>
        <w:tc>
          <w:tcPr>
            <w:tcW w:w="188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Record Date</w:t>
            </w:r>
          </w:p>
        </w:tc>
        <w:tc>
          <w:tcPr>
            <w:tcW w:w="4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1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Payment Date</w:t>
            </w:r>
          </w:p>
        </w:tc>
        <w:tc>
          <w:tcPr>
            <w:tcW w:w="0" w:type="dxa"/>
            <w:vAlign w:val="bottom"/>
          </w:tcPr>
          <w:p>
            <w:pPr>
              <w:spacing w:after="0"/>
              <w:rPr>
                <w:sz w:val="1"/>
                <w:szCs w:val="1"/>
                <w:color w:val="auto"/>
              </w:rPr>
            </w:pPr>
          </w:p>
        </w:tc>
      </w:tr>
      <w:tr>
        <w:trPr>
          <w:trHeight w:val="223"/>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2025</w:t>
            </w:r>
          </w:p>
        </w:tc>
        <w:tc>
          <w:tcPr>
            <w:tcW w:w="14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First Quarter</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November 29, 2024</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39,572</w:t>
            </w:r>
          </w:p>
        </w:tc>
        <w:tc>
          <w:tcPr>
            <w:tcW w:w="2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December 19, 2024</w:t>
            </w:r>
          </w:p>
        </w:tc>
        <w:tc>
          <w:tcPr>
            <w:tcW w:w="0" w:type="dxa"/>
            <w:vAlign w:val="bottom"/>
          </w:tcPr>
          <w:p>
            <w:pPr>
              <w:spacing w:after="0"/>
              <w:rPr>
                <w:sz w:val="1"/>
                <w:szCs w:val="1"/>
                <w:color w:val="auto"/>
              </w:rPr>
            </w:pPr>
          </w:p>
        </w:tc>
      </w:tr>
      <w:tr>
        <w:trPr>
          <w:trHeight w:val="230"/>
        </w:trPr>
        <w:tc>
          <w:tcPr>
            <w:tcW w:w="2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Second Quarter</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8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February 28, 2025</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39,511</w:t>
            </w:r>
          </w:p>
        </w:tc>
        <w:tc>
          <w:tcPr>
            <w:tcW w:w="2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March 20, 2025</w:t>
            </w:r>
          </w:p>
        </w:tc>
        <w:tc>
          <w:tcPr>
            <w:tcW w:w="0" w:type="dxa"/>
            <w:vAlign w:val="bottom"/>
          </w:tcPr>
          <w:p>
            <w:pPr>
              <w:spacing w:after="0"/>
              <w:rPr>
                <w:sz w:val="1"/>
                <w:szCs w:val="1"/>
                <w:color w:val="auto"/>
              </w:rPr>
            </w:pPr>
          </w:p>
        </w:tc>
      </w:tr>
      <w:tr>
        <w:trPr>
          <w:trHeight w:val="230"/>
        </w:trPr>
        <w:tc>
          <w:tcPr>
            <w:tcW w:w="2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2024</w:t>
            </w:r>
          </w:p>
        </w:tc>
        <w:tc>
          <w:tcPr>
            <w:tcW w:w="14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First Quarter</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0.98</w:t>
            </w:r>
          </w:p>
        </w:tc>
        <w:tc>
          <w:tcPr>
            <w:tcW w:w="18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November 30, 2023</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37,299</w:t>
            </w:r>
          </w:p>
        </w:tc>
        <w:tc>
          <w:tcPr>
            <w:tcW w:w="2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December 21, 2023</w:t>
            </w:r>
          </w:p>
        </w:tc>
        <w:tc>
          <w:tcPr>
            <w:tcW w:w="0" w:type="dxa"/>
            <w:vAlign w:val="bottom"/>
          </w:tcPr>
          <w:p>
            <w:pPr>
              <w:spacing w:after="0"/>
              <w:rPr>
                <w:sz w:val="1"/>
                <w:szCs w:val="1"/>
                <w:color w:val="auto"/>
              </w:rPr>
            </w:pPr>
          </w:p>
        </w:tc>
      </w:tr>
      <w:tr>
        <w:trPr>
          <w:trHeight w:val="234"/>
        </w:trPr>
        <w:tc>
          <w:tcPr>
            <w:tcW w:w="2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Second Quarter</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0.98</w:t>
            </w:r>
          </w:p>
        </w:tc>
        <w:tc>
          <w:tcPr>
            <w:tcW w:w="1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February 29, 2024</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37,360</w:t>
            </w:r>
          </w:p>
        </w:tc>
        <w:tc>
          <w:tcPr>
            <w:tcW w:w="2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March 21, 2024</w:t>
            </w:r>
          </w:p>
        </w:tc>
        <w:tc>
          <w:tcPr>
            <w:tcW w:w="0" w:type="dxa"/>
            <w:vAlign w:val="bottom"/>
          </w:tcPr>
          <w:p>
            <w:pPr>
              <w:spacing w:after="0"/>
              <w:rPr>
                <w:sz w:val="1"/>
                <w:szCs w:val="1"/>
                <w:color w:val="auto"/>
              </w:rPr>
            </w:pPr>
          </w:p>
        </w:tc>
      </w:tr>
    </w:tbl>
    <w:p>
      <w:pPr>
        <w:spacing w:after="0" w:line="24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Future cash dividend payments are subject to final determination by our Board of Directors and will depend on our earnings, capital requirements, financial condition and other relevant factors.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07"/>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965"/>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Accumulated Other Comprehensive Loss</w:t>
            </w:r>
          </w:p>
        </w:tc>
        <w:tc>
          <w:tcPr>
            <w:tcW w:w="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405"/>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components of AOCL as of February 28, 2025 and August 31, 2024 were as follows:</w:t>
            </w:r>
          </w:p>
        </w:tc>
        <w:tc>
          <w:tcPr>
            <w:tcW w:w="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432"/>
        </w:trPr>
        <w:tc>
          <w:tcPr>
            <w:tcW w:w="74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February 28, 2025</w:t>
            </w:r>
          </w:p>
        </w:tc>
        <w:tc>
          <w:tcPr>
            <w:tcW w:w="2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August 31, 2024</w:t>
            </w:r>
          </w:p>
        </w:tc>
      </w:tr>
      <w:tr>
        <w:trPr>
          <w:trHeight w:val="223"/>
        </w:trPr>
        <w:tc>
          <w:tcPr>
            <w:tcW w:w="7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unrealized gains (losses) on cash flow hedges, net of tax</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1,843</w:t>
            </w:r>
          </w:p>
        </w:tc>
      </w:tr>
      <w:tr>
        <w:trPr>
          <w:trHeight w:val="229"/>
        </w:trPr>
        <w:tc>
          <w:tcPr>
            <w:tcW w:w="74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Accumulated foreign currency translation adjustments</w:t>
            </w:r>
          </w:p>
        </w:tc>
        <w:tc>
          <w:tcPr>
            <w:tcW w:w="2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(111,001)</w:t>
            </w:r>
          </w:p>
        </w:tc>
        <w:tc>
          <w:tcPr>
            <w:tcW w:w="2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(81,456)</w:t>
            </w:r>
          </w:p>
        </w:tc>
      </w:tr>
      <w:tr>
        <w:trPr>
          <w:trHeight w:val="223"/>
        </w:trPr>
        <w:tc>
          <w:tcPr>
            <w:tcW w:w="7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AOCL</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(112,753)</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(79,613)</w:t>
            </w:r>
          </w:p>
        </w:tc>
      </w:tr>
    </w:tbl>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14. EARNINGS PER SHARE</w:t>
      </w:r>
    </w:p>
    <w:p>
      <w:pPr>
        <w:spacing w:after="0" w:line="1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Basic earnings per common share ("Basic EPS") is computed by dividing net income by the number of weighted average common shares outstanding during the period. Diluted earnings per common share ("Diluted EPS") is calculated by using the treasury stock method which assumes the issuance of common stock for all potentially dilutive stock-based awards.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of our Basic and Diluted EPS computations: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60" w:type="dxa"/>
            <w:vAlign w:val="bottom"/>
            <w:gridSpan w:val="3"/>
          </w:tcPr>
          <w:p>
            <w:pPr>
              <w:jc w:val="right"/>
              <w:ind w:right="570"/>
              <w:spacing w:after="0"/>
              <w:rPr>
                <w:sz w:val="20"/>
                <w:szCs w:val="20"/>
                <w:color w:val="auto"/>
              </w:rPr>
            </w:pPr>
            <w:r>
              <w:rPr>
                <w:rFonts w:ascii="Times New Roman" w:cs="Times New Roman" w:eastAsia="Times New Roman" w:hAnsi="Times New Roman"/>
                <w:sz w:val="18"/>
                <w:szCs w:val="18"/>
                <w:color w:val="auto"/>
              </w:rPr>
              <w:t>Three Months Ended</w:t>
            </w:r>
          </w:p>
        </w:tc>
        <w:tc>
          <w:tcPr>
            <w:tcW w:w="200" w:type="dxa"/>
            <w:vAlign w:val="bottom"/>
          </w:tcPr>
          <w:p>
            <w:pPr>
              <w:spacing w:after="0"/>
              <w:rPr>
                <w:sz w:val="19"/>
                <w:szCs w:val="19"/>
                <w:color w:val="auto"/>
              </w:rPr>
            </w:pPr>
          </w:p>
        </w:tc>
        <w:tc>
          <w:tcPr>
            <w:tcW w:w="2760" w:type="dxa"/>
            <w:vAlign w:val="bottom"/>
            <w:gridSpan w:val="3"/>
          </w:tcPr>
          <w:p>
            <w:pPr>
              <w:jc w:val="right"/>
              <w:ind w:right="710"/>
              <w:spacing w:after="0"/>
              <w:rPr>
                <w:sz w:val="20"/>
                <w:szCs w:val="20"/>
                <w:color w:val="auto"/>
              </w:rPr>
            </w:pPr>
            <w:r>
              <w:rPr>
                <w:rFonts w:ascii="Times New Roman" w:cs="Times New Roman" w:eastAsia="Times New Roman" w:hAnsi="Times New Roman"/>
                <w:sz w:val="18"/>
                <w:szCs w:val="18"/>
                <w:color w:val="auto"/>
              </w:rPr>
              <w:t>Six Months Ended</w:t>
            </w:r>
          </w:p>
        </w:tc>
        <w:tc>
          <w:tcPr>
            <w:tcW w:w="0" w:type="dxa"/>
            <w:vAlign w:val="bottom"/>
          </w:tcPr>
          <w:p>
            <w:pPr>
              <w:spacing w:after="0"/>
              <w:rPr>
                <w:sz w:val="1"/>
                <w:szCs w:val="1"/>
                <w:color w:val="auto"/>
              </w:rPr>
            </w:pPr>
          </w:p>
        </w:tc>
      </w:tr>
      <w:tr>
        <w:trPr>
          <w:trHeight w:val="229"/>
        </w:trPr>
        <w:tc>
          <w:tcPr>
            <w:tcW w:w="5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per share data)</w:t>
            </w:r>
          </w:p>
        </w:tc>
        <w:tc>
          <w:tcPr>
            <w:tcW w:w="200" w:type="dxa"/>
            <w:vAlign w:val="bottom"/>
          </w:tcPr>
          <w:p>
            <w:pPr>
              <w:spacing w:after="0"/>
              <w:rPr>
                <w:sz w:val="19"/>
                <w:szCs w:val="19"/>
                <w:color w:val="auto"/>
              </w:rPr>
            </w:pPr>
          </w:p>
        </w:tc>
        <w:tc>
          <w:tcPr>
            <w:tcW w:w="12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February 28,</w:t>
            </w:r>
          </w:p>
        </w:tc>
        <w:tc>
          <w:tcPr>
            <w:tcW w:w="20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February 29,</w:t>
            </w:r>
          </w:p>
        </w:tc>
        <w:tc>
          <w:tcPr>
            <w:tcW w:w="200" w:type="dxa"/>
            <w:vAlign w:val="bottom"/>
          </w:tcPr>
          <w:p>
            <w:pPr>
              <w:spacing w:after="0"/>
              <w:rPr>
                <w:sz w:val="19"/>
                <w:szCs w:val="19"/>
                <w:color w:val="auto"/>
              </w:rPr>
            </w:pPr>
          </w:p>
        </w:tc>
        <w:tc>
          <w:tcPr>
            <w:tcW w:w="12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February 28,</w:t>
            </w:r>
          </w:p>
        </w:tc>
        <w:tc>
          <w:tcPr>
            <w:tcW w:w="220" w:type="dxa"/>
            <w:vAlign w:val="bottom"/>
          </w:tcPr>
          <w:p>
            <w:pPr>
              <w:spacing w:after="0"/>
              <w:rPr>
                <w:sz w:val="19"/>
                <w:szCs w:val="19"/>
                <w:color w:val="auto"/>
              </w:rPr>
            </w:pPr>
          </w:p>
        </w:tc>
        <w:tc>
          <w:tcPr>
            <w:tcW w:w="12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February 29,</w:t>
            </w:r>
          </w:p>
        </w:tc>
        <w:tc>
          <w:tcPr>
            <w:tcW w:w="0" w:type="dxa"/>
            <w:vAlign w:val="bottom"/>
          </w:tcPr>
          <w:p>
            <w:pPr>
              <w:spacing w:after="0"/>
              <w:rPr>
                <w:sz w:val="1"/>
                <w:szCs w:val="1"/>
                <w:color w:val="auto"/>
              </w:rPr>
            </w:pPr>
          </w:p>
        </w:tc>
      </w:tr>
      <w:tr>
        <w:trPr>
          <w:trHeight w:val="234"/>
        </w:trPr>
        <w:tc>
          <w:tcPr>
            <w:tcW w:w="5420" w:type="dxa"/>
            <w:vAlign w:val="bottom"/>
            <w:tcBorders>
              <w:bottom w:val="single" w:sz="8" w:color="auto"/>
            </w:tcBorders>
            <w:vMerge w:val="continue"/>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23"/>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income used for calculating Basic EPS and Diluted EPS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144,860</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140,940</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294,882</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289,495</w:t>
            </w:r>
          </w:p>
        </w:tc>
        <w:tc>
          <w:tcPr>
            <w:tcW w:w="0" w:type="dxa"/>
            <w:vAlign w:val="bottom"/>
          </w:tcPr>
          <w:p>
            <w:pPr>
              <w:spacing w:after="0"/>
              <w:rPr>
                <w:sz w:val="1"/>
                <w:szCs w:val="1"/>
                <w:color w:val="auto"/>
              </w:rPr>
            </w:pPr>
          </w:p>
        </w:tc>
      </w:tr>
      <w:tr>
        <w:trPr>
          <w:trHeight w:val="210"/>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used in the calculation of Basic EPS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38,015</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38,103</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38,010</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38,059</w:t>
            </w:r>
          </w:p>
        </w:tc>
        <w:tc>
          <w:tcPr>
            <w:tcW w:w="0" w:type="dxa"/>
            <w:vAlign w:val="bottom"/>
          </w:tcPr>
          <w:p>
            <w:pPr>
              <w:spacing w:after="0"/>
              <w:rPr>
                <w:sz w:val="1"/>
                <w:szCs w:val="1"/>
                <w:color w:val="auto"/>
              </w:rPr>
            </w:pPr>
          </w:p>
        </w:tc>
      </w:tr>
      <w:tr>
        <w:trPr>
          <w:trHeight w:val="184"/>
        </w:trPr>
        <w:tc>
          <w:tcPr>
            <w:tcW w:w="542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Common stock equivalents associated with stock-based compensation</w:t>
            </w: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plans</w:t>
            </w: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20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22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0" w:type="dxa"/>
            <w:vAlign w:val="bottom"/>
          </w:tcPr>
          <w:p>
            <w:pPr>
              <w:spacing w:after="0"/>
              <w:rPr>
                <w:sz w:val="1"/>
                <w:szCs w:val="1"/>
                <w:color w:val="auto"/>
              </w:rPr>
            </w:pPr>
          </w:p>
        </w:tc>
      </w:tr>
      <w:tr>
        <w:trPr>
          <w:trHeight w:val="230"/>
        </w:trPr>
        <w:tc>
          <w:tcPr>
            <w:tcW w:w="5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Shares used in the calculation of Diluted EPS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38,510</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38,650</w:t>
            </w: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38,513</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38,646</w:t>
            </w:r>
          </w:p>
        </w:tc>
        <w:tc>
          <w:tcPr>
            <w:tcW w:w="0" w:type="dxa"/>
            <w:vAlign w:val="bottom"/>
          </w:tcPr>
          <w:p>
            <w:pPr>
              <w:spacing w:after="0"/>
              <w:rPr>
                <w:sz w:val="1"/>
                <w:szCs w:val="1"/>
                <w:color w:val="auto"/>
              </w:rPr>
            </w:pPr>
          </w:p>
        </w:tc>
      </w:tr>
      <w:tr>
        <w:trPr>
          <w:trHeight w:val="248"/>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EPS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42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Diluted EPS</w:t>
            </w:r>
          </w:p>
        </w:tc>
        <w:tc>
          <w:tcPr>
            <w:tcW w:w="200" w:type="dxa"/>
            <w:vAlign w:val="bottom"/>
            <w:tcBorders>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3.76</w:t>
            </w:r>
          </w:p>
        </w:tc>
        <w:tc>
          <w:tcPr>
            <w:tcW w:w="2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3.65</w:t>
            </w:r>
          </w:p>
        </w:tc>
        <w:tc>
          <w:tcPr>
            <w:tcW w:w="2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7.66</w:t>
            </w:r>
          </w:p>
        </w:tc>
        <w:tc>
          <w:tcPr>
            <w:tcW w:w="2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7.49</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potential common shares that were excluded from Diluted EPS as they relate to stock-based awards that were antidilutive or subject to performance conditions which have not been satisfied by the end of the reporting period:</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20" w:type="dxa"/>
            <w:vAlign w:val="bottom"/>
          </w:tcPr>
          <w:p>
            <w:pPr>
              <w:spacing w:after="0"/>
              <w:rPr>
                <w:sz w:val="19"/>
                <w:szCs w:val="19"/>
                <w:color w:val="auto"/>
              </w:rPr>
            </w:pPr>
          </w:p>
        </w:tc>
        <w:tc>
          <w:tcPr>
            <w:tcW w:w="3400" w:type="dxa"/>
            <w:vAlign w:val="bottom"/>
            <w:gridSpan w:val="2"/>
          </w:tcPr>
          <w:p>
            <w:pPr>
              <w:ind w:left="1460"/>
              <w:spacing w:after="0"/>
              <w:rPr>
                <w:sz w:val="20"/>
                <w:szCs w:val="20"/>
                <w:color w:val="auto"/>
              </w:rPr>
            </w:pPr>
            <w:r>
              <w:rPr>
                <w:rFonts w:ascii="Times New Roman" w:cs="Times New Roman" w:eastAsia="Times New Roman" w:hAnsi="Times New Roman"/>
                <w:sz w:val="18"/>
                <w:szCs w:val="18"/>
                <w:color w:val="auto"/>
              </w:rPr>
              <w:t>Three Months Ended</w:t>
            </w:r>
          </w:p>
        </w:tc>
        <w:tc>
          <w:tcPr>
            <w:tcW w:w="340" w:type="dxa"/>
            <w:vAlign w:val="bottom"/>
          </w:tcPr>
          <w:p>
            <w:pPr>
              <w:spacing w:after="0"/>
              <w:rPr>
                <w:sz w:val="19"/>
                <w:szCs w:val="19"/>
                <w:color w:val="auto"/>
              </w:rPr>
            </w:pPr>
          </w:p>
        </w:tc>
        <w:tc>
          <w:tcPr>
            <w:tcW w:w="278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Six Months Ended</w:t>
            </w:r>
          </w:p>
        </w:tc>
        <w:tc>
          <w:tcPr>
            <w:tcW w:w="0" w:type="dxa"/>
            <w:vAlign w:val="bottom"/>
          </w:tcPr>
          <w:p>
            <w:pPr>
              <w:spacing w:after="0"/>
              <w:rPr>
                <w:sz w:val="1"/>
                <w:szCs w:val="1"/>
                <w:color w:val="auto"/>
              </w:rPr>
            </w:pPr>
          </w:p>
        </w:tc>
      </w:tr>
      <w:tr>
        <w:trPr>
          <w:trHeight w:val="230"/>
        </w:trPr>
        <w:tc>
          <w:tcPr>
            <w:tcW w:w="47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3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February 28,</w:t>
            </w:r>
          </w:p>
        </w:tc>
        <w:tc>
          <w:tcPr>
            <w:tcW w:w="10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February 29,</w:t>
            </w:r>
          </w:p>
        </w:tc>
        <w:tc>
          <w:tcPr>
            <w:tcW w:w="340" w:type="dxa"/>
            <w:vAlign w:val="bottom"/>
          </w:tcPr>
          <w:p>
            <w:pPr>
              <w:spacing w:after="0"/>
              <w:rPr>
                <w:sz w:val="19"/>
                <w:szCs w:val="19"/>
                <w:color w:val="auto"/>
              </w:rPr>
            </w:pPr>
          </w:p>
        </w:tc>
        <w:tc>
          <w:tcPr>
            <w:tcW w:w="1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February 28,</w:t>
            </w:r>
          </w:p>
        </w:tc>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February 29,</w:t>
            </w:r>
          </w:p>
        </w:tc>
        <w:tc>
          <w:tcPr>
            <w:tcW w:w="0" w:type="dxa"/>
            <w:vAlign w:val="bottom"/>
          </w:tcPr>
          <w:p>
            <w:pPr>
              <w:spacing w:after="0"/>
              <w:rPr>
                <w:sz w:val="1"/>
                <w:szCs w:val="1"/>
                <w:color w:val="auto"/>
              </w:rPr>
            </w:pPr>
          </w:p>
        </w:tc>
      </w:tr>
      <w:tr>
        <w:trPr>
          <w:trHeight w:val="234"/>
        </w:trPr>
        <w:tc>
          <w:tcPr>
            <w:tcW w:w="4720" w:type="dxa"/>
            <w:vAlign w:val="bottom"/>
            <w:tcBorders>
              <w:bottom w:val="single" w:sz="8" w:color="auto"/>
            </w:tcBorders>
            <w:vMerge w:val="continue"/>
          </w:tcPr>
          <w:p>
            <w:pPr>
              <w:spacing w:after="0"/>
              <w:rPr>
                <w:sz w:val="20"/>
                <w:szCs w:val="20"/>
                <w:color w:val="auto"/>
              </w:rPr>
            </w:pPr>
          </w:p>
        </w:tc>
        <w:tc>
          <w:tcPr>
            <w:tcW w:w="23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2025</w:t>
            </w:r>
          </w:p>
        </w:tc>
        <w:tc>
          <w:tcPr>
            <w:tcW w:w="10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2024</w:t>
            </w:r>
          </w:p>
        </w:tc>
        <w:tc>
          <w:tcPr>
            <w:tcW w:w="3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2025</w:t>
            </w:r>
          </w:p>
        </w:tc>
        <w:tc>
          <w:tcPr>
            <w:tcW w:w="13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23"/>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2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670</w:t>
            </w:r>
          </w:p>
        </w:tc>
        <w:tc>
          <w:tcPr>
            <w:tcW w:w="10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695</w:t>
            </w:r>
          </w:p>
        </w:tc>
        <w:tc>
          <w:tcPr>
            <w:tcW w:w="134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units and Performance share units</w:t>
            </w:r>
          </w:p>
        </w:tc>
        <w:tc>
          <w:tcPr>
            <w:tcW w:w="2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93</w:t>
            </w:r>
          </w:p>
        </w:tc>
        <w:tc>
          <w:tcPr>
            <w:tcW w:w="1080" w:type="dxa"/>
            <w:vAlign w:val="bottom"/>
          </w:tcPr>
          <w:p>
            <w:pPr>
              <w:spacing w:after="0"/>
              <w:rPr>
                <w:sz w:val="20"/>
                <w:szCs w:val="20"/>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95</w:t>
            </w:r>
          </w:p>
        </w:tc>
        <w:tc>
          <w:tcPr>
            <w:tcW w:w="14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96</w:t>
            </w:r>
          </w:p>
        </w:tc>
        <w:tc>
          <w:tcPr>
            <w:tcW w:w="134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15. STOCK-BASED COMPENSATION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stock-based compensation expense consists of:</w:t>
      </w:r>
    </w:p>
    <w:p>
      <w:pPr>
        <w:spacing w:after="0" w:line="63" w:lineRule="exact"/>
        <w:rPr>
          <w:sz w:val="20"/>
          <w:szCs w:val="20"/>
          <w:color w:val="auto"/>
        </w:rPr>
      </w:pPr>
    </w:p>
    <w:p>
      <w:pPr>
        <w:ind w:left="660" w:right="20" w:hanging="328"/>
        <w:spacing w:after="0" w:line="281"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options, restricted stock units ("RSUs") and performance share units ("PSUs") issued to eligible employees under the FactSet Research Systems Inc. Stock Option and Award Plan, as Amended and Restated (the "LTIP").</w:t>
      </w:r>
    </w:p>
    <w:p>
      <w:pPr>
        <w:spacing w:after="0" w:line="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options and RSUs issued to non-employee members of the Board of Directors ("non-employee directors") under the FactSet Research Systems Inc. Non-Employee Directors’ Stock Option and Award Plan, as Amended and Restated (the "Director Plan").</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6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 purchased by eligible employees under the FactSet Research Systems Inc. Employee Stock Purchase Plan, as Amended and Restated (the "ESPP").</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measure and recognize stock-based compensation expense for all stock-based awards and purchases of common stock under the ESPP based on their estimated grant date fair value.</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utilize a lattice-binomial option-pricing model ("binomial model") to estimate the grant date fair value for our employee stock options and the Black-Scholes model to estimate the grant date fair value for non-employee director stock options and common stock purchased by eligible employees under our ESPP.</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Both the binomial model and Black-Scholes model involve certain estimates and assumptions such as:</w:t>
      </w:r>
    </w:p>
    <w:p>
      <w:pPr>
        <w:spacing w:after="0" w:line="181" w:lineRule="exact"/>
        <w:rPr>
          <w:sz w:val="20"/>
          <w:szCs w:val="20"/>
          <w:color w:val="auto"/>
        </w:rPr>
      </w:pPr>
    </w:p>
    <w:p>
      <w:pPr>
        <w:ind w:left="660" w:hanging="328"/>
        <w:spacing w:after="0" w:line="28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Risk-free interest rate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based on the U.S. Treasury yield curve in effect at the time of grant with maturities equal to the expected terms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stock-based awards granted.</w:t>
      </w:r>
    </w:p>
    <w:p>
      <w:pPr>
        <w:spacing w:after="0" w:line="3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Expected life </w:t>
      </w:r>
      <w:r>
        <w:rPr>
          <w:rFonts w:ascii="Times New Roman" w:cs="Times New Roman" w:eastAsia="Times New Roman" w:hAnsi="Times New Roman"/>
          <w:sz w:val="18"/>
          <w:szCs w:val="18"/>
          <w:color w:val="auto"/>
        </w:rPr>
        <w:t>- the weighted average period the stock-based awards are expected to remain outstanding.</w:t>
      </w:r>
    </w:p>
    <w:p>
      <w:pPr>
        <w:spacing w:after="0" w:line="103" w:lineRule="exact"/>
        <w:rPr>
          <w:rFonts w:ascii="Times New Roman" w:cs="Times New Roman" w:eastAsia="Times New Roman" w:hAnsi="Times New Roman"/>
          <w:sz w:val="18"/>
          <w:szCs w:val="18"/>
          <w:color w:val="auto"/>
        </w:rPr>
      </w:pPr>
    </w:p>
    <w:p>
      <w:pPr>
        <w:ind w:left="660" w:right="20" w:hanging="328"/>
        <w:spacing w:after="0" w:line="28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Expected volatility </w:t>
      </w:r>
      <w:r>
        <w:rPr>
          <w:rFonts w:ascii="Times New Roman" w:cs="Times New Roman" w:eastAsia="Times New Roman" w:hAnsi="Times New Roman"/>
          <w:sz w:val="18"/>
          <w:szCs w:val="18"/>
          <w:color w:val="auto"/>
        </w:rPr>
        <w:t>- based on a blend of historical volatility of the stock-based award's useful life and the weighted average implied volatility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call option contracts traded in the 90 days preceding the stock-based award's valuation date.</w:t>
      </w:r>
    </w:p>
    <w:p>
      <w:pPr>
        <w:spacing w:after="0" w:line="1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Dividend yield </w:t>
      </w:r>
      <w:r>
        <w:rPr>
          <w:rFonts w:ascii="Times New Roman" w:cs="Times New Roman" w:eastAsia="Times New Roman" w:hAnsi="Times New Roman"/>
          <w:sz w:val="18"/>
          <w:szCs w:val="18"/>
          <w:color w:val="auto"/>
        </w:rPr>
        <w:t>- the expectation of dividend payouts based on our history.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binomial model also incorporates market conditions, vesting restrictions and exercise patterns.</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RSUs and PSUs (collectively, "Restricted Stock Awards"), the grant date fair value is measured by reducing the grant date price of our common stock by the present value of expected future dividend payments on the underlying stock during the requisite service period, discounted at the appropriate risk-free interest rate. The number of PSUs granted assumes target-level achievement of the specified performance levels within the payout range. The ultimate number of common shares that may be earned pursuant to our PSU awards depends on the level of our achievement of stated financial performance objectives.</w:t>
      </w:r>
    </w:p>
    <w:p>
      <w:pPr>
        <w:spacing w:after="0" w:line="1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Stock-based compensation expense for stock option and RSU awards is recognized over the requisite service period using the straight-line method. For stock options and RSU grants, the amount of stock-based compensation expense recognized on any date is at least equal to the vested portion of the award on that date.</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PSUs require us to make assumptions regarding the probability of achieving specified performance levels established at the time of grant. We recognize stock-based compensation expense for PSUs using the straight-line method over the requisite service period. The probability of achieving the specified performance levels is reviewed on a quarterly basis to ensure the amount of stock-based compensation expense appropriately reflects the expected achievement.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our ESPP, stock-based compensation expense is recognized on a straight-line basis over the offering period.</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stock-based awards are generally subject to continued employment for employees, or continued service for non-employee directors, through the applicable vesting date. Compensation expense for stock-based awards is recorded net of estimated forfeitures, which are based on historical forfeiture rates and are revised if actual forfeitures differ from those estimates.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 Expense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stock-based compensation for the periods presented: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640" w:type="dxa"/>
            <w:vAlign w:val="bottom"/>
            <w:gridSpan w:val="3"/>
          </w:tcPr>
          <w:p>
            <w:pPr>
              <w:jc w:val="right"/>
              <w:ind w:right="550"/>
              <w:spacing w:after="0"/>
              <w:rPr>
                <w:sz w:val="20"/>
                <w:szCs w:val="20"/>
                <w:color w:val="auto"/>
              </w:rPr>
            </w:pPr>
            <w:r>
              <w:rPr>
                <w:rFonts w:ascii="Times New Roman" w:cs="Times New Roman" w:eastAsia="Times New Roman" w:hAnsi="Times New Roman"/>
                <w:sz w:val="18"/>
                <w:szCs w:val="18"/>
                <w:color w:val="auto"/>
              </w:rPr>
              <w:t>Three Months Ended</w:t>
            </w:r>
          </w:p>
        </w:tc>
        <w:tc>
          <w:tcPr>
            <w:tcW w:w="200" w:type="dxa"/>
            <w:vAlign w:val="bottom"/>
          </w:tcPr>
          <w:p>
            <w:pPr>
              <w:spacing w:after="0"/>
              <w:rPr>
                <w:sz w:val="19"/>
                <w:szCs w:val="19"/>
                <w:color w:val="auto"/>
              </w:rPr>
            </w:pPr>
          </w:p>
        </w:tc>
        <w:tc>
          <w:tcPr>
            <w:tcW w:w="2680" w:type="dxa"/>
            <w:vAlign w:val="bottom"/>
            <w:gridSpan w:val="3"/>
          </w:tcPr>
          <w:p>
            <w:pPr>
              <w:jc w:val="right"/>
              <w:ind w:right="670"/>
              <w:spacing w:after="0"/>
              <w:rPr>
                <w:sz w:val="20"/>
                <w:szCs w:val="20"/>
                <w:color w:val="auto"/>
              </w:rPr>
            </w:pPr>
            <w:r>
              <w:rPr>
                <w:rFonts w:ascii="Times New Roman" w:cs="Times New Roman" w:eastAsia="Times New Roman" w:hAnsi="Times New Roman"/>
                <w:sz w:val="18"/>
                <w:szCs w:val="18"/>
                <w:color w:val="auto"/>
              </w:rPr>
              <w:t>Six Months Ended</w:t>
            </w:r>
          </w:p>
        </w:tc>
        <w:tc>
          <w:tcPr>
            <w:tcW w:w="0" w:type="dxa"/>
            <w:vAlign w:val="bottom"/>
          </w:tcPr>
          <w:p>
            <w:pPr>
              <w:spacing w:after="0"/>
              <w:rPr>
                <w:sz w:val="1"/>
                <w:szCs w:val="1"/>
                <w:color w:val="auto"/>
              </w:rPr>
            </w:pPr>
          </w:p>
        </w:tc>
      </w:tr>
      <w:tr>
        <w:trPr>
          <w:trHeight w:val="230"/>
        </w:trPr>
        <w:tc>
          <w:tcPr>
            <w:tcW w:w="40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660" w:type="dxa"/>
            <w:vAlign w:val="bottom"/>
          </w:tcPr>
          <w:p>
            <w:pPr>
              <w:spacing w:after="0"/>
              <w:rPr>
                <w:sz w:val="19"/>
                <w:szCs w:val="19"/>
                <w:color w:val="auto"/>
              </w:rPr>
            </w:pPr>
          </w:p>
        </w:tc>
        <w:tc>
          <w:tcPr>
            <w:tcW w:w="12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February 28,</w:t>
            </w:r>
          </w:p>
        </w:tc>
        <w:tc>
          <w:tcPr>
            <w:tcW w:w="200" w:type="dxa"/>
            <w:vAlign w:val="bottom"/>
          </w:tcPr>
          <w:p>
            <w:pPr>
              <w:spacing w:after="0"/>
              <w:rPr>
                <w:sz w:val="19"/>
                <w:szCs w:val="19"/>
                <w:color w:val="auto"/>
              </w:rPr>
            </w:pPr>
          </w:p>
        </w:tc>
        <w:tc>
          <w:tcPr>
            <w:tcW w:w="122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February 29,</w:t>
            </w:r>
          </w:p>
        </w:tc>
        <w:tc>
          <w:tcPr>
            <w:tcW w:w="200" w:type="dxa"/>
            <w:vAlign w:val="bottom"/>
          </w:tcPr>
          <w:p>
            <w:pPr>
              <w:spacing w:after="0"/>
              <w:rPr>
                <w:sz w:val="19"/>
                <w:szCs w:val="19"/>
                <w:color w:val="auto"/>
              </w:rPr>
            </w:pPr>
          </w:p>
        </w:tc>
        <w:tc>
          <w:tcPr>
            <w:tcW w:w="12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February 28,</w:t>
            </w:r>
          </w:p>
        </w:tc>
        <w:tc>
          <w:tcPr>
            <w:tcW w:w="220" w:type="dxa"/>
            <w:vAlign w:val="bottom"/>
          </w:tcPr>
          <w:p>
            <w:pPr>
              <w:spacing w:after="0"/>
              <w:rPr>
                <w:sz w:val="19"/>
                <w:szCs w:val="19"/>
                <w:color w:val="auto"/>
              </w:rPr>
            </w:pPr>
          </w:p>
        </w:tc>
        <w:tc>
          <w:tcPr>
            <w:tcW w:w="124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February 29,</w:t>
            </w:r>
          </w:p>
        </w:tc>
        <w:tc>
          <w:tcPr>
            <w:tcW w:w="0" w:type="dxa"/>
            <w:vAlign w:val="bottom"/>
          </w:tcPr>
          <w:p>
            <w:pPr>
              <w:spacing w:after="0"/>
              <w:rPr>
                <w:sz w:val="1"/>
                <w:szCs w:val="1"/>
                <w:color w:val="auto"/>
              </w:rPr>
            </w:pPr>
          </w:p>
        </w:tc>
      </w:tr>
      <w:tr>
        <w:trPr>
          <w:trHeight w:val="234"/>
        </w:trPr>
        <w:tc>
          <w:tcPr>
            <w:tcW w:w="4060" w:type="dxa"/>
            <w:vAlign w:val="bottom"/>
            <w:tcBorders>
              <w:bottom w:val="single" w:sz="8" w:color="auto"/>
            </w:tcBorders>
            <w:vMerge w:val="continue"/>
          </w:tcPr>
          <w:p>
            <w:pPr>
              <w:spacing w:after="0"/>
              <w:rPr>
                <w:sz w:val="20"/>
                <w:szCs w:val="20"/>
                <w:color w:val="auto"/>
              </w:rPr>
            </w:pPr>
          </w:p>
        </w:tc>
        <w:tc>
          <w:tcPr>
            <w:tcW w:w="16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23"/>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1252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12529"/>
              </w:rPr>
              <w:t>16,547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30,139</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30,962</w:t>
            </w: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no stock-based compensation costs capitalized in any periods presented. As of February 28, 2025, $149.2 million of total unrecognized compensation expense related to non-vested stock-based awards is expected to be recognized over the remaining weighted average vesting period of 3.2 years.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Stock Option Awards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Our annual employee stock option grant, made during the first quarter of each fiscal year, makes up the majority of our employee stock options granted under the LTIP in each fiscal year.</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employee stock options granted under the LTIP for the six months ended February 28, 2025 and February 29, 2024:</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2680" w:type="dxa"/>
            <w:vAlign w:val="bottom"/>
            <w:gridSpan w:val="3"/>
          </w:tcPr>
          <w:p>
            <w:pPr>
              <w:jc w:val="right"/>
              <w:ind w:right="670"/>
              <w:spacing w:after="0"/>
              <w:rPr>
                <w:sz w:val="20"/>
                <w:szCs w:val="20"/>
                <w:color w:val="auto"/>
              </w:rPr>
            </w:pPr>
            <w:r>
              <w:rPr>
                <w:rFonts w:ascii="Times New Roman" w:cs="Times New Roman" w:eastAsia="Times New Roman" w:hAnsi="Times New Roman"/>
                <w:sz w:val="18"/>
                <w:szCs w:val="18"/>
                <w:color w:val="auto"/>
              </w:rPr>
              <w:t>Six Months Ended</w:t>
            </w:r>
          </w:p>
        </w:tc>
      </w:tr>
      <w:tr>
        <w:trPr>
          <w:trHeight w:val="229"/>
        </w:trPr>
        <w:tc>
          <w:tcPr>
            <w:tcW w:w="560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February 28,</w:t>
            </w:r>
          </w:p>
        </w:tc>
        <w:tc>
          <w:tcPr>
            <w:tcW w:w="220" w:type="dxa"/>
            <w:vAlign w:val="bottom"/>
          </w:tcPr>
          <w:p>
            <w:pPr>
              <w:spacing w:after="0"/>
              <w:rPr>
                <w:sz w:val="19"/>
                <w:szCs w:val="19"/>
                <w:color w:val="auto"/>
              </w:rPr>
            </w:pPr>
          </w:p>
        </w:tc>
        <w:tc>
          <w:tcPr>
            <w:tcW w:w="12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February 29,</w:t>
            </w:r>
          </w:p>
        </w:tc>
      </w:tr>
      <w:tr>
        <w:trPr>
          <w:trHeight w:val="234"/>
        </w:trPr>
        <w:tc>
          <w:tcPr>
            <w:tcW w:w="560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560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Stock options granted</w:t>
            </w:r>
            <w:r>
              <w:rPr>
                <w:rFonts w:ascii="Times New Roman" w:cs="Times New Roman" w:eastAsia="Times New Roman" w:hAnsi="Times New Roman"/>
                <w:sz w:val="23"/>
                <w:szCs w:val="23"/>
                <w:color w:val="auto"/>
                <w:vertAlign w:val="superscript"/>
              </w:rPr>
              <w:t>(1)</w:t>
            </w:r>
          </w:p>
        </w:tc>
        <w:tc>
          <w:tcPr>
            <w:tcW w:w="29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203,114</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243,125</w:t>
            </w:r>
          </w:p>
        </w:tc>
      </w:tr>
      <w:tr>
        <w:trPr>
          <w:trHeight w:val="229"/>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exercise price</w:t>
            </w: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459.17</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436.63</w:t>
            </w:r>
          </w:p>
        </w:tc>
      </w:tr>
      <w:tr>
        <w:trPr>
          <w:trHeight w:val="23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grant date fair value</w:t>
            </w:r>
          </w:p>
        </w:tc>
        <w:tc>
          <w:tcPr>
            <w:tcW w:w="2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132.60</w:t>
            </w:r>
          </w:p>
        </w:tc>
      </w:tr>
    </w:tbl>
    <w:p>
      <w:pPr>
        <w:spacing w:after="0" w:line="189" w:lineRule="exact"/>
        <w:rPr>
          <w:sz w:val="20"/>
          <w:szCs w:val="20"/>
          <w:color w:val="auto"/>
        </w:rPr>
      </w:pPr>
    </w:p>
    <w:p>
      <w:pPr>
        <w:ind w:left="260" w:hanging="252"/>
        <w:spacing w:after="0" w:line="280" w:lineRule="auto"/>
        <w:tabs>
          <w:tab w:leader="none" w:pos="247"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the annual employee grant on November 1, 2024 and November 1, 2023 of 200,693 and 242,371 stock options, respectively. These annual employee grants vest 20% annually on the anniversary date of the grant, are fully vested after five years, and expire ten years from the date of grant.</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part of the November 1, 2024 annual employee grant, the estimated grant date fair value, using the binomial model, leveraged the following assumptions:</w:t>
      </w:r>
    </w:p>
    <w:p>
      <w:pPr>
        <w:spacing w:after="0" w:line="1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November 1, 2024 Annual Employee Grant Details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405"/>
        </w:trPr>
        <w:tc>
          <w:tcPr>
            <w:tcW w:w="5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 granted</w:t>
            </w:r>
          </w:p>
        </w:tc>
        <w:tc>
          <w:tcPr>
            <w:tcW w:w="5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200,693</w:t>
            </w:r>
          </w:p>
        </w:tc>
      </w:tr>
      <w:tr>
        <w:trPr>
          <w:trHeight w:val="230"/>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5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 - 4.87%</w:t>
            </w:r>
          </w:p>
        </w:tc>
      </w:tr>
      <w:tr>
        <w:trPr>
          <w:trHeight w:val="229"/>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life (years)</w:t>
            </w:r>
          </w:p>
        </w:tc>
        <w:tc>
          <w:tcPr>
            <w:tcW w:w="5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w:t>
            </w:r>
          </w:p>
        </w:tc>
      </w:tr>
      <w:tr>
        <w:trPr>
          <w:trHeight w:val="230"/>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5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24.49 %</w:t>
            </w:r>
          </w:p>
        </w:tc>
      </w:tr>
      <w:tr>
        <w:trPr>
          <w:trHeight w:val="229"/>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5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0.95%</w:t>
            </w:r>
          </w:p>
        </w:tc>
      </w:tr>
      <w:tr>
        <w:trPr>
          <w:trHeight w:val="230"/>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Estimated fair value</w:t>
            </w:r>
          </w:p>
        </w:tc>
        <w:tc>
          <w:tcPr>
            <w:tcW w:w="5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$133.10</w:t>
            </w:r>
          </w:p>
        </w:tc>
      </w:tr>
      <w:tr>
        <w:trPr>
          <w:trHeight w:val="229"/>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 price</w:t>
            </w:r>
          </w:p>
        </w:tc>
        <w:tc>
          <w:tcPr>
            <w:tcW w:w="5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$458.80</w:t>
            </w: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Restricted Stock Awards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annual employee Restricted Stock Awards grant, made during the first quarter of each fiscal year, makes up the majority of our employee Restricted Stock Awards granted under the LTIP in each fiscal year. These awards entitle the holders to shares of common stock as the Restricted Stock Awards vest. For unvested Restricted Stock Awards, holders are not entitled to dividends declared on the underlying shares.</w:t>
      </w:r>
    </w:p>
    <w:p>
      <w:pPr>
        <w:spacing w:after="0" w:line="1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employee Restricted Stock Awards granted under the LTIP for the six months ended February 28, 2025 and February 29, 2024:</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4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Six Months Ended</w:t>
            </w:r>
          </w:p>
        </w:tc>
        <w:tc>
          <w:tcPr>
            <w:tcW w:w="22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234"/>
        </w:trPr>
        <w:tc>
          <w:tcPr>
            <w:tcW w:w="4240" w:type="dxa"/>
            <w:vAlign w:val="bottom"/>
          </w:tcPr>
          <w:p>
            <w:pPr>
              <w:spacing w:after="0"/>
              <w:rPr>
                <w:sz w:val="20"/>
                <w:szCs w:val="20"/>
                <w:color w:val="auto"/>
              </w:rPr>
            </w:pPr>
          </w:p>
        </w:tc>
        <w:tc>
          <w:tcPr>
            <w:tcW w:w="3400" w:type="dxa"/>
            <w:vAlign w:val="bottom"/>
            <w:tcBorders>
              <w:bottom w:val="single" w:sz="8" w:color="auto"/>
            </w:tcBorders>
            <w:gridSpan w:val="3"/>
          </w:tcPr>
          <w:p>
            <w:pPr>
              <w:ind w:left="1040"/>
              <w:spacing w:after="0"/>
              <w:rPr>
                <w:sz w:val="20"/>
                <w:szCs w:val="20"/>
                <w:color w:val="auto"/>
              </w:rPr>
            </w:pPr>
            <w:r>
              <w:rPr>
                <w:rFonts w:ascii="Times New Roman" w:cs="Times New Roman" w:eastAsia="Times New Roman" w:hAnsi="Times New Roman"/>
                <w:sz w:val="18"/>
                <w:szCs w:val="18"/>
                <w:color w:val="auto"/>
              </w:rPr>
              <w:t>February 28, 2025</w:t>
            </w:r>
          </w:p>
        </w:tc>
        <w:tc>
          <w:tcPr>
            <w:tcW w:w="3600" w:type="dxa"/>
            <w:vAlign w:val="bottom"/>
            <w:tcBorders>
              <w:bottom w:val="single" w:sz="8" w:color="auto"/>
            </w:tcBorders>
            <w:gridSpan w:val="3"/>
          </w:tcPr>
          <w:p>
            <w:pPr>
              <w:jc w:val="right"/>
              <w:ind w:right="1050"/>
              <w:spacing w:after="0"/>
              <w:rPr>
                <w:sz w:val="20"/>
                <w:szCs w:val="20"/>
                <w:color w:val="auto"/>
              </w:rPr>
            </w:pPr>
            <w:r>
              <w:rPr>
                <w:rFonts w:ascii="Times New Roman" w:cs="Times New Roman" w:eastAsia="Times New Roman" w:hAnsi="Times New Roman"/>
                <w:sz w:val="18"/>
                <w:szCs w:val="18"/>
                <w:color w:val="auto"/>
              </w:rPr>
              <w:t>February 29, 2024</w:t>
            </w:r>
          </w:p>
        </w:tc>
      </w:tr>
      <w:tr>
        <w:trPr>
          <w:trHeight w:val="169"/>
        </w:trPr>
        <w:tc>
          <w:tcPr>
            <w:tcW w:w="4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20" w:type="dxa"/>
            <w:vAlign w:val="bottom"/>
          </w:tcPr>
          <w:p>
            <w:pPr>
              <w:jc w:val="center"/>
              <w:ind w:right="110"/>
              <w:spacing w:after="0" w:line="169" w:lineRule="exact"/>
              <w:rPr>
                <w:sz w:val="20"/>
                <w:szCs w:val="20"/>
                <w:color w:val="auto"/>
              </w:rPr>
            </w:pPr>
            <w:r>
              <w:rPr>
                <w:rFonts w:ascii="Times New Roman" w:cs="Times New Roman" w:eastAsia="Times New Roman" w:hAnsi="Times New Roman"/>
                <w:sz w:val="18"/>
                <w:szCs w:val="18"/>
                <w:color w:val="auto"/>
                <w:w w:val="97"/>
              </w:rPr>
              <w:t>Weighted Average</w:t>
            </w: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60" w:type="dxa"/>
            <w:vAlign w:val="bottom"/>
          </w:tcPr>
          <w:p>
            <w:pPr>
              <w:jc w:val="center"/>
              <w:ind w:right="130"/>
              <w:spacing w:after="0" w:line="169" w:lineRule="exact"/>
              <w:rPr>
                <w:sz w:val="20"/>
                <w:szCs w:val="20"/>
                <w:color w:val="auto"/>
              </w:rPr>
            </w:pPr>
            <w:r>
              <w:rPr>
                <w:rFonts w:ascii="Times New Roman" w:cs="Times New Roman" w:eastAsia="Times New Roman" w:hAnsi="Times New Roman"/>
                <w:sz w:val="18"/>
                <w:szCs w:val="18"/>
                <w:color w:val="auto"/>
                <w:w w:val="97"/>
              </w:rPr>
              <w:t>Weighted Average</w:t>
            </w:r>
          </w:p>
        </w:tc>
      </w:tr>
      <w:tr>
        <w:trPr>
          <w:trHeight w:val="184"/>
        </w:trPr>
        <w:tc>
          <w:tcPr>
            <w:tcW w:w="42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20" w:type="dxa"/>
            <w:vAlign w:val="bottom"/>
          </w:tcPr>
          <w:p>
            <w:pPr>
              <w:jc w:val="center"/>
              <w:ind w:right="90"/>
              <w:spacing w:after="0" w:line="184" w:lineRule="exact"/>
              <w:rPr>
                <w:sz w:val="20"/>
                <w:szCs w:val="20"/>
                <w:color w:val="auto"/>
              </w:rPr>
            </w:pPr>
            <w:r>
              <w:rPr>
                <w:rFonts w:ascii="Times New Roman" w:cs="Times New Roman" w:eastAsia="Times New Roman" w:hAnsi="Times New Roman"/>
                <w:sz w:val="18"/>
                <w:szCs w:val="18"/>
                <w:color w:val="auto"/>
                <w:w w:val="98"/>
              </w:rPr>
              <w:t>Grant Date Fair Value</w:t>
            </w:r>
          </w:p>
        </w:tc>
        <w:tc>
          <w:tcPr>
            <w:tcW w:w="1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60" w:type="dxa"/>
            <w:vAlign w:val="bottom"/>
          </w:tcPr>
          <w:p>
            <w:pPr>
              <w:jc w:val="center"/>
              <w:ind w:right="130"/>
              <w:spacing w:after="0" w:line="184" w:lineRule="exact"/>
              <w:rPr>
                <w:sz w:val="20"/>
                <w:szCs w:val="20"/>
                <w:color w:val="auto"/>
              </w:rPr>
            </w:pPr>
            <w:r>
              <w:rPr>
                <w:rFonts w:ascii="Times New Roman" w:cs="Times New Roman" w:eastAsia="Times New Roman" w:hAnsi="Times New Roman"/>
                <w:sz w:val="18"/>
                <w:szCs w:val="18"/>
                <w:color w:val="auto"/>
                <w:w w:val="99"/>
              </w:rPr>
              <w:t>Grant Date Fair Value</w:t>
            </w:r>
          </w:p>
        </w:tc>
      </w:tr>
      <w:tr>
        <w:trPr>
          <w:trHeight w:val="234"/>
        </w:trPr>
        <w:tc>
          <w:tcPr>
            <w:tcW w:w="4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Shares</w:t>
            </w:r>
          </w:p>
        </w:tc>
        <w:tc>
          <w:tcPr>
            <w:tcW w:w="20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8"/>
              </w:rPr>
              <w:t>Per Award</w:t>
            </w:r>
          </w:p>
        </w:tc>
        <w:tc>
          <w:tcPr>
            <w:tcW w:w="13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Shares</w:t>
            </w:r>
          </w:p>
        </w:tc>
        <w:tc>
          <w:tcPr>
            <w:tcW w:w="22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8"/>
              </w:rPr>
              <w:t>Per Award</w:t>
            </w:r>
          </w:p>
        </w:tc>
      </w:tr>
      <w:tr>
        <w:trPr>
          <w:trHeight w:val="223"/>
        </w:trPr>
        <w:tc>
          <w:tcPr>
            <w:tcW w:w="424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RSUs granted</w:t>
            </w:r>
            <w:r>
              <w:rPr>
                <w:rFonts w:ascii="Times New Roman" w:cs="Times New Roman" w:eastAsia="Times New Roman" w:hAnsi="Times New Roman"/>
                <w:sz w:val="23"/>
                <w:szCs w:val="23"/>
                <w:color w:val="auto"/>
                <w:vertAlign w:val="superscript"/>
              </w:rPr>
              <w:t>(1)</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80,416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447.55</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64,827</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425.09</w:t>
            </w:r>
          </w:p>
        </w:tc>
      </w:tr>
      <w:tr>
        <w:trPr>
          <w:trHeight w:val="229"/>
        </w:trPr>
        <w:tc>
          <w:tcPr>
            <w:tcW w:w="42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PSUs granted</w:t>
            </w:r>
            <w:r>
              <w:rPr>
                <w:rFonts w:ascii="Times New Roman" w:cs="Times New Roman" w:eastAsia="Times New Roman" w:hAnsi="Times New Roman"/>
                <w:sz w:val="23"/>
                <w:szCs w:val="23"/>
                <w:color w:val="auto"/>
                <w:vertAlign w:val="superscript"/>
              </w:rPr>
              <w:t>(2)</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34,479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446.59</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37,008</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424.63</w:t>
            </w:r>
          </w:p>
        </w:tc>
      </w:tr>
      <w:tr>
        <w:trPr>
          <w:trHeight w:val="230"/>
        </w:trPr>
        <w:tc>
          <w:tcPr>
            <w:tcW w:w="42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Performance adjustment - PSUs</w:t>
            </w:r>
            <w:r>
              <w:rPr>
                <w:rFonts w:ascii="Times New Roman" w:cs="Times New Roman" w:eastAsia="Times New Roman" w:hAnsi="Times New Roman"/>
                <w:sz w:val="23"/>
                <w:szCs w:val="23"/>
                <w:color w:val="auto"/>
                <w:vertAlign w:val="superscript"/>
              </w:rPr>
              <w:t>(3)</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424.01</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14,472</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306.33</w:t>
            </w:r>
          </w:p>
        </w:tc>
      </w:tr>
      <w:tr>
        <w:trPr>
          <w:trHeight w:val="228"/>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Restricted Stock Awards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122,259</w:t>
            </w:r>
          </w:p>
        </w:tc>
        <w:tc>
          <w:tcPr>
            <w:tcW w:w="2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116,307</w:t>
            </w:r>
          </w:p>
        </w:tc>
        <w:tc>
          <w:tcPr>
            <w:tcW w:w="220" w:type="dxa"/>
            <w:vAlign w:val="bottom"/>
          </w:tcPr>
          <w:p>
            <w:pPr>
              <w:spacing w:after="0"/>
              <w:rPr>
                <w:sz w:val="19"/>
                <w:szCs w:val="19"/>
                <w:color w:val="auto"/>
              </w:rPr>
            </w:pPr>
          </w:p>
        </w:tc>
        <w:tc>
          <w:tcPr>
            <w:tcW w:w="2060" w:type="dxa"/>
            <w:vAlign w:val="bottom"/>
          </w:tcPr>
          <w:p>
            <w:pPr>
              <w:spacing w:after="0"/>
              <w:rPr>
                <w:sz w:val="19"/>
                <w:szCs w:val="19"/>
                <w:color w:val="auto"/>
              </w:rPr>
            </w:pPr>
          </w:p>
        </w:tc>
      </w:tr>
    </w:tbl>
    <w:p>
      <w:pPr>
        <w:spacing w:after="0" w:line="184" w:lineRule="exact"/>
        <w:rPr>
          <w:sz w:val="20"/>
          <w:szCs w:val="20"/>
          <w:color w:val="auto"/>
        </w:rPr>
      </w:pPr>
    </w:p>
    <w:p>
      <w:pPr>
        <w:ind w:left="260" w:right="20" w:hanging="252"/>
        <w:spacing w:after="0" w:line="280" w:lineRule="auto"/>
        <w:tabs>
          <w:tab w:leader="none" w:pos="25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the annual employee grant on November 1, 2024 and November 1, 2023 of 76,448 and 64,187 RSUs, respectively. The majority of the RSUs granted vest 20% annually on the anniversary date of the grant and are fully vested after five years.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260" w:hanging="252"/>
        <w:spacing w:after="0" w:line="263" w:lineRule="auto"/>
        <w:tabs>
          <w:tab w:leader="none" w:pos="252"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the annual employee grant on November 1, 2024 and November 1, 2023 of 33,756 and 36,860 PSUs, respectively. The majority of the PSUs granted cliff vest on the third anniversary of the grant date, subject to the achievement of certain performance metrics. The ultimate number of common shares that may be earned pursuant to our PSU awards depends on the level of our achievement of stated financial performance objectives. The achievement range was 0% to 200% for both the November 1, 2024 and November 1, 2023 annual grants.</w:t>
      </w:r>
    </w:p>
    <w:p>
      <w:pPr>
        <w:spacing w:after="0" w:line="84" w:lineRule="exact"/>
        <w:rPr>
          <w:rFonts w:ascii="Times New Roman" w:cs="Times New Roman" w:eastAsia="Times New Roman" w:hAnsi="Times New Roman"/>
          <w:sz w:val="16"/>
          <w:szCs w:val="16"/>
          <w:color w:val="auto"/>
        </w:rPr>
      </w:pPr>
    </w:p>
    <w:p>
      <w:pPr>
        <w:ind w:left="260" w:right="20" w:hanging="252"/>
        <w:spacing w:after="0" w:line="280" w:lineRule="auto"/>
        <w:tabs>
          <w:tab w:leader="none" w:pos="2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Additional PSUs were granted during the first quarter of fiscal 2025 and fiscal 2024 based on performance above the specified target level of achievement for PSUs granted on November 1, 2021 and November 9, 2020, respectively.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Awards Available for Grant</w:t>
      </w:r>
    </w:p>
    <w:p>
      <w:pPr>
        <w:spacing w:after="0" w:line="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February 28, 2025, we had 3.3 million employee stock-based awards available for grant under the LTIP and 0.2 million non-employee director stock-based awards available for grant under the Director Plan. In accordance with the LTIP and Director Plan, each Restricted Stock Award granted or canceled/forfeited is equivalent to 2.5 shares deducted from or added back to, respectively, the aggregate number of stock-based awards available for grant.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16. SEGMENT INFORMATION</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that have the following characteristics: (i) they engage in business activities from which they may earn revenue and incur expense, (ii) their operating results are regularly reviewed by the chief operating decision maker ("CODM") for resource allocation decisions and performance assessment, and (iii) their discrete financial information is available. Our Chief Executive Officer functions as our CODM.</w:t>
      </w:r>
    </w:p>
    <w:p>
      <w:pPr>
        <w:spacing w:after="0" w:line="1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three operating segments: Americas, EMEA and Asia Pacific. This is how our CODM manages our business and the geographic markets in which we operate. These operating segments are consistent with our reportable segments.</w:t>
      </w:r>
    </w:p>
    <w:p>
      <w:pPr>
        <w:spacing w:after="0" w:line="13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Americas segment primarily sells to clients throughout North, Central, and South America. The EMEA segment primarily sells to clients in Europe, the Middle East, and Africa. The Asia Pacific segment primarily sells to clients in Asia and Australasia. Segment revenues reflect sales to our clients based on the geographic region where the sale originated.</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segment records expenses related to its individual operations with the exception of expenditures associated with our data centers, third-party data costs and corporate headquarters charges, which are recorded by the Americas segment and are not allocated to the other segments. The expenses incurred at our content collection centers, located in India, the Philippines and Latvia, are allocated to each segment based on their respective percentage of revenues as this reflects the benefits provided by each segment.</w:t>
      </w:r>
    </w:p>
    <w:p>
      <w:pPr>
        <w:spacing w:after="0" w:line="1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Intercompany revenue and expense amounts have been eliminated within each segment in order to report on the basis that management uses internally for evaluating segment performance.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07"/>
        </w:trPr>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965"/>
        </w:trPr>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reflects the results of operations of our segments:</w:t>
            </w: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716"/>
        </w:trPr>
        <w:tc>
          <w:tcPr>
            <w:tcW w:w="59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Americas</w:t>
            </w: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EMEA</w:t>
            </w: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Asia Pacific</w:t>
            </w: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Total</w:t>
            </w:r>
          </w:p>
        </w:tc>
      </w:tr>
      <w:tr>
        <w:trPr>
          <w:trHeight w:val="209"/>
        </w:trPr>
        <w:tc>
          <w:tcPr>
            <w:tcW w:w="5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 the three months ended February 28, 2025</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30"/>
        </w:trPr>
        <w:tc>
          <w:tcPr>
            <w:tcW w:w="59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Revenues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369,661</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143,387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57,612</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570,660</w:t>
            </w:r>
          </w:p>
        </w:tc>
      </w:tr>
      <w:tr>
        <w:trPr>
          <w:trHeight w:val="229"/>
        </w:trPr>
        <w:tc>
          <w:tcPr>
            <w:tcW w:w="59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73,127</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70,568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41,797</w:t>
            </w:r>
          </w:p>
        </w:tc>
        <w:tc>
          <w:tcPr>
            <w:tcW w:w="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185,492</w:t>
            </w:r>
          </w:p>
        </w:tc>
      </w:tr>
      <w:tr>
        <w:trPr>
          <w:trHeight w:val="229"/>
        </w:trPr>
        <w:tc>
          <w:tcPr>
            <w:tcW w:w="5920" w:type="dxa"/>
            <w:vAlign w:val="bottom"/>
            <w:gridSpan w:val="2"/>
          </w:tcPr>
          <w:p>
            <w:pPr>
              <w:ind w:left="140"/>
              <w:spacing w:after="0" w:line="230" w:lineRule="exact"/>
              <w:rPr>
                <w:sz w:val="20"/>
                <w:szCs w:val="20"/>
                <w:color w:val="auto"/>
              </w:rPr>
            </w:pPr>
            <w:r>
              <w:rPr>
                <w:rFonts w:ascii="Times New Roman" w:cs="Times New Roman" w:eastAsia="Times New Roman" w:hAnsi="Times New Roman"/>
                <w:sz w:val="18"/>
                <w:szCs w:val="18"/>
                <w:color w:val="auto"/>
              </w:rPr>
              <w:t>Capital expenditures</w:t>
            </w:r>
            <w:r>
              <w:rPr>
                <w:rFonts w:ascii="Times New Roman" w:cs="Times New Roman" w:eastAsia="Times New Roman" w:hAnsi="Times New Roman"/>
                <w:sz w:val="23"/>
                <w:szCs w:val="23"/>
                <w:color w:val="auto"/>
                <w:vertAlign w:val="superscript"/>
              </w:rPr>
              <w:t>(1)</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22,074</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1,545</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23,736</w:t>
            </w:r>
          </w:p>
        </w:tc>
      </w:tr>
      <w:tr>
        <w:trPr>
          <w:trHeight w:val="270"/>
        </w:trPr>
        <w:tc>
          <w:tcPr>
            <w:tcW w:w="1280" w:type="dxa"/>
            <w:vAlign w:val="bottom"/>
            <w:shd w:val="clear" w:color="auto" w:fill="CCEEFF"/>
          </w:tcPr>
          <w:p>
            <w:pPr>
              <w:spacing w:after="0"/>
              <w:rPr>
                <w:sz w:val="23"/>
                <w:szCs w:val="23"/>
                <w:color w:val="auto"/>
              </w:rPr>
            </w:pPr>
          </w:p>
        </w:tc>
        <w:tc>
          <w:tcPr>
            <w:tcW w:w="46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30"/>
        </w:trPr>
        <w:tc>
          <w:tcPr>
            <w:tcW w:w="1280" w:type="dxa"/>
            <w:vAlign w:val="bottom"/>
            <w:tcBorders>
              <w:bottom w:val="single" w:sz="8" w:color="CCEEFF"/>
            </w:tcBorders>
          </w:tcPr>
          <w:p>
            <w:pPr>
              <w:spacing w:after="0"/>
              <w:rPr>
                <w:sz w:val="19"/>
                <w:szCs w:val="19"/>
                <w:color w:val="auto"/>
              </w:rPr>
            </w:pPr>
          </w:p>
        </w:tc>
        <w:tc>
          <w:tcPr>
            <w:tcW w:w="46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Americas</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EMEA</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Asia Pacific</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Total</w:t>
            </w:r>
          </w:p>
        </w:tc>
      </w:tr>
      <w:tr>
        <w:trPr>
          <w:trHeight w:val="209"/>
        </w:trPr>
        <w:tc>
          <w:tcPr>
            <w:tcW w:w="5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 the three months ended February 29, 2024</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9"/>
        </w:trPr>
        <w:tc>
          <w:tcPr>
            <w:tcW w:w="59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Revenues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352,618</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139,176</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54,151</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545,945</w:t>
            </w:r>
          </w:p>
        </w:tc>
      </w:tr>
      <w:tr>
        <w:trPr>
          <w:trHeight w:val="230"/>
        </w:trPr>
        <w:tc>
          <w:tcPr>
            <w:tcW w:w="59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81,711</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62,839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37,392</w:t>
            </w:r>
          </w:p>
        </w:tc>
        <w:tc>
          <w:tcPr>
            <w:tcW w:w="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181,942</w:t>
            </w:r>
          </w:p>
        </w:tc>
      </w:tr>
      <w:tr>
        <w:trPr>
          <w:trHeight w:val="229"/>
        </w:trPr>
        <w:tc>
          <w:tcPr>
            <w:tcW w:w="5920" w:type="dxa"/>
            <w:vAlign w:val="bottom"/>
            <w:gridSpan w:val="2"/>
          </w:tcPr>
          <w:p>
            <w:pPr>
              <w:ind w:left="140"/>
              <w:spacing w:after="0" w:line="230" w:lineRule="exact"/>
              <w:rPr>
                <w:sz w:val="20"/>
                <w:szCs w:val="20"/>
                <w:color w:val="auto"/>
              </w:rPr>
            </w:pPr>
            <w:r>
              <w:rPr>
                <w:rFonts w:ascii="Times New Roman" w:cs="Times New Roman" w:eastAsia="Times New Roman" w:hAnsi="Times New Roman"/>
                <w:sz w:val="18"/>
                <w:szCs w:val="18"/>
                <w:color w:val="auto"/>
              </w:rPr>
              <w:t>Capital expenditures</w:t>
            </w:r>
            <w:r>
              <w:rPr>
                <w:rFonts w:ascii="Times New Roman" w:cs="Times New Roman" w:eastAsia="Times New Roman" w:hAnsi="Times New Roman"/>
                <w:sz w:val="23"/>
                <w:szCs w:val="23"/>
                <w:color w:val="auto"/>
                <w:vertAlign w:val="superscript"/>
              </w:rPr>
              <w:t>(1)</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20,015</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1,607</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21,917</w:t>
            </w:r>
          </w:p>
        </w:tc>
      </w:tr>
      <w:tr>
        <w:trPr>
          <w:trHeight w:val="270"/>
        </w:trPr>
        <w:tc>
          <w:tcPr>
            <w:tcW w:w="1280" w:type="dxa"/>
            <w:vAlign w:val="bottom"/>
            <w:shd w:val="clear" w:color="auto" w:fill="CCEEFF"/>
          </w:tcPr>
          <w:p>
            <w:pPr>
              <w:spacing w:after="0"/>
              <w:rPr>
                <w:sz w:val="23"/>
                <w:szCs w:val="23"/>
                <w:color w:val="auto"/>
              </w:rPr>
            </w:pPr>
          </w:p>
        </w:tc>
        <w:tc>
          <w:tcPr>
            <w:tcW w:w="46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30"/>
        </w:trPr>
        <w:tc>
          <w:tcPr>
            <w:tcW w:w="1280" w:type="dxa"/>
            <w:vAlign w:val="bottom"/>
            <w:tcBorders>
              <w:bottom w:val="single" w:sz="8" w:color="CCEEFF"/>
            </w:tcBorders>
          </w:tcPr>
          <w:p>
            <w:pPr>
              <w:spacing w:after="0"/>
              <w:rPr>
                <w:sz w:val="19"/>
                <w:szCs w:val="19"/>
                <w:color w:val="auto"/>
              </w:rPr>
            </w:pPr>
          </w:p>
        </w:tc>
        <w:tc>
          <w:tcPr>
            <w:tcW w:w="46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Americas</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EMEA</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Asia Pacific</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Total</w:t>
            </w:r>
          </w:p>
        </w:tc>
      </w:tr>
      <w:tr>
        <w:trPr>
          <w:trHeight w:val="209"/>
        </w:trPr>
        <w:tc>
          <w:tcPr>
            <w:tcW w:w="5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 the six months ended February 28, 2025</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9"/>
        </w:trPr>
        <w:tc>
          <w:tcPr>
            <w:tcW w:w="59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Revenues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736,903</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287,112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115,312</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1,139,327</w:t>
            </w:r>
          </w:p>
        </w:tc>
      </w:tr>
      <w:tr>
        <w:trPr>
          <w:trHeight w:val="230"/>
        </w:trPr>
        <w:tc>
          <w:tcPr>
            <w:tcW w:w="59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154,925</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139,606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82,296</w:t>
            </w:r>
          </w:p>
        </w:tc>
        <w:tc>
          <w:tcPr>
            <w:tcW w:w="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376,827</w:t>
            </w:r>
          </w:p>
        </w:tc>
      </w:tr>
      <w:tr>
        <w:trPr>
          <w:trHeight w:val="229"/>
        </w:trPr>
        <w:tc>
          <w:tcPr>
            <w:tcW w:w="5920" w:type="dxa"/>
            <w:vAlign w:val="bottom"/>
            <w:gridSpan w:val="2"/>
          </w:tcPr>
          <w:p>
            <w:pPr>
              <w:ind w:left="140"/>
              <w:spacing w:after="0" w:line="230" w:lineRule="exact"/>
              <w:rPr>
                <w:sz w:val="20"/>
                <w:szCs w:val="20"/>
                <w:color w:val="auto"/>
              </w:rPr>
            </w:pPr>
            <w:r>
              <w:rPr>
                <w:rFonts w:ascii="Times New Roman" w:cs="Times New Roman" w:eastAsia="Times New Roman" w:hAnsi="Times New Roman"/>
                <w:sz w:val="18"/>
                <w:szCs w:val="18"/>
                <w:color w:val="auto"/>
              </w:rPr>
              <w:t>Capital expenditures</w:t>
            </w:r>
            <w:r>
              <w:rPr>
                <w:rFonts w:ascii="Times New Roman" w:cs="Times New Roman" w:eastAsia="Times New Roman" w:hAnsi="Times New Roman"/>
                <w:sz w:val="23"/>
                <w:szCs w:val="23"/>
                <w:color w:val="auto"/>
                <w:vertAlign w:val="superscript"/>
              </w:rPr>
              <w:t>(1)</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47,028</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2,090</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49,610</w:t>
            </w:r>
          </w:p>
        </w:tc>
      </w:tr>
      <w:tr>
        <w:trPr>
          <w:trHeight w:val="270"/>
        </w:trPr>
        <w:tc>
          <w:tcPr>
            <w:tcW w:w="1280" w:type="dxa"/>
            <w:vAlign w:val="bottom"/>
            <w:shd w:val="clear" w:color="auto" w:fill="CCEEFF"/>
          </w:tcPr>
          <w:p>
            <w:pPr>
              <w:spacing w:after="0"/>
              <w:rPr>
                <w:sz w:val="23"/>
                <w:szCs w:val="23"/>
                <w:color w:val="auto"/>
              </w:rPr>
            </w:pPr>
          </w:p>
        </w:tc>
        <w:tc>
          <w:tcPr>
            <w:tcW w:w="46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29"/>
        </w:trPr>
        <w:tc>
          <w:tcPr>
            <w:tcW w:w="1280" w:type="dxa"/>
            <w:vAlign w:val="bottom"/>
            <w:tcBorders>
              <w:bottom w:val="single" w:sz="8" w:color="CCEEFF"/>
            </w:tcBorders>
          </w:tcPr>
          <w:p>
            <w:pPr>
              <w:spacing w:after="0"/>
              <w:rPr>
                <w:sz w:val="19"/>
                <w:szCs w:val="19"/>
                <w:color w:val="auto"/>
              </w:rPr>
            </w:pPr>
          </w:p>
        </w:tc>
        <w:tc>
          <w:tcPr>
            <w:tcW w:w="46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Americas</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EMEA</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Asia Pacific</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Total</w:t>
            </w:r>
          </w:p>
        </w:tc>
      </w:tr>
      <w:tr>
        <w:trPr>
          <w:trHeight w:val="210"/>
        </w:trPr>
        <w:tc>
          <w:tcPr>
            <w:tcW w:w="5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 the six months ended February 29, 2024</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9"/>
        </w:trPr>
        <w:tc>
          <w:tcPr>
            <w:tcW w:w="59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Revenues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700,985</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278,737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108,439</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1,088,161</w:t>
            </w:r>
          </w:p>
        </w:tc>
      </w:tr>
      <w:tr>
        <w:trPr>
          <w:trHeight w:val="230"/>
        </w:trPr>
        <w:tc>
          <w:tcPr>
            <w:tcW w:w="59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162,559</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131,704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76,719</w:t>
            </w:r>
          </w:p>
        </w:tc>
        <w:tc>
          <w:tcPr>
            <w:tcW w:w="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370,982</w:t>
            </w:r>
          </w:p>
        </w:tc>
      </w:tr>
      <w:tr>
        <w:trPr>
          <w:trHeight w:val="306"/>
        </w:trPr>
        <w:tc>
          <w:tcPr>
            <w:tcW w:w="59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Capital expenditures</w:t>
            </w:r>
            <w:r>
              <w:rPr>
                <w:rFonts w:ascii="Times New Roman" w:cs="Times New Roman" w:eastAsia="Times New Roman" w:hAnsi="Times New Roman"/>
                <w:sz w:val="23"/>
                <w:szCs w:val="23"/>
                <w:color w:val="auto"/>
                <w:vertAlign w:val="superscript"/>
              </w:rPr>
              <w:t>(1)</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34,793</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2,334</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38,383</w:t>
            </w:r>
          </w:p>
        </w:tc>
      </w:tr>
    </w:tbl>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Capital expenditures include purchases of PPE and capitalized internal-use software.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Total Assets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reflects the total assets for our segments as of February 28, 2025 and August 31, 2024:</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February 28, 2025</w:t>
            </w:r>
          </w:p>
        </w:tc>
        <w:tc>
          <w:tcPr>
            <w:tcW w:w="2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August 31, 2024</w:t>
            </w:r>
          </w:p>
        </w:tc>
      </w:tr>
      <w:tr>
        <w:trPr>
          <w:trHeight w:val="223"/>
        </w:trPr>
        <w:tc>
          <w:tcPr>
            <w:tcW w:w="7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Segment Assets</w:t>
            </w: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r>
      <w:tr>
        <w:trPr>
          <w:trHeight w:val="230"/>
        </w:trPr>
        <w:tc>
          <w:tcPr>
            <w:tcW w:w="7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Americas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3,554,455</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3,178,800</w:t>
            </w:r>
          </w:p>
        </w:tc>
      </w:tr>
      <w:tr>
        <w:trPr>
          <w:trHeight w:val="230"/>
        </w:trPr>
        <w:tc>
          <w:tcPr>
            <w:tcW w:w="7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EMEA</w:t>
            </w: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537,717</w:t>
            </w:r>
          </w:p>
        </w:tc>
        <w:tc>
          <w:tcPr>
            <w:tcW w:w="2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600,206</w:t>
            </w:r>
          </w:p>
        </w:tc>
      </w:tr>
      <w:tr>
        <w:trPr>
          <w:trHeight w:val="230"/>
        </w:trPr>
        <w:tc>
          <w:tcPr>
            <w:tcW w:w="72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Asia Pacific</w:t>
            </w: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149,270</w:t>
            </w:r>
          </w:p>
        </w:tc>
        <w:tc>
          <w:tcPr>
            <w:tcW w:w="2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276,034</w:t>
            </w:r>
          </w:p>
        </w:tc>
      </w:tr>
      <w:tr>
        <w:trPr>
          <w:trHeight w:val="223"/>
        </w:trPr>
        <w:tc>
          <w:tcPr>
            <w:tcW w:w="72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4,241,442</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4,055,040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540"/>
        <w:spacing w:after="0" w:line="287" w:lineRule="auto"/>
        <w:rPr>
          <w:sz w:val="20"/>
          <w:szCs w:val="20"/>
          <w:color w:val="auto"/>
        </w:rPr>
      </w:pPr>
      <w:r>
        <w:rPr>
          <w:rFonts w:ascii="Times New Roman" w:cs="Times New Roman" w:eastAsia="Times New Roman" w:hAnsi="Times New Roman"/>
          <w:sz w:val="25"/>
          <w:szCs w:val="25"/>
          <w:b w:val="1"/>
          <w:bCs w:val="1"/>
          <w:color w:val="auto"/>
        </w:rPr>
        <w:t>ITEM 2. MANAGEMENT’S DISCUSSION AND ANALYSIS OF FINANCIAL CONDITION AND RESULTS OF OPERATIONS</w:t>
      </w:r>
    </w:p>
    <w:p>
      <w:pPr>
        <w:spacing w:after="0" w:line="10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This Management’s Discussion and Analysis of Financial Condition and Results of Operations ("MD&amp;A") should be read in conjunction with the Consolidated Financial Statements and related Notes included in this Quarterly Report on Form 10-Q, our Annual Report on Form 10-K for the fiscal year ended August 31, 2024, our Current Reports on Form 8-K and our other filings with the Securities and Exchange Commission. This discussion contains forward-looking statements that involve risks and uncertainties. Our actual results could differ materially from those discussed below. Factors that could cause such differences include, but are not limited to, those identified below and those discussed in Part 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in our Annual Report on Form 10-K for the fiscal year ended August 31, 2024.</w:t>
      </w:r>
    </w:p>
    <w:p>
      <w:pPr>
        <w:spacing w:after="0" w:line="14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MD&amp;A is designed to provide a reader of our financial statements with a narrative from the perspective of our management on our financial condition, results of operations, liquidity and certain other factors that may affect our future results. Our MD&amp;A is presented in the following sections:</w:t>
      </w:r>
    </w:p>
    <w:p>
      <w:pPr>
        <w:spacing w:after="0" w:line="135" w:lineRule="exact"/>
        <w:rPr>
          <w:sz w:val="20"/>
          <w:szCs w:val="20"/>
          <w:color w:val="auto"/>
        </w:rPr>
      </w:pPr>
    </w:p>
    <w:p>
      <w:pPr>
        <w:ind w:left="1620" w:hanging="316"/>
        <w:spacing w:after="0"/>
        <w:tabs>
          <w:tab w:leader="none" w:pos="1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Overview</w:t>
      </w:r>
    </w:p>
    <w:p>
      <w:pPr>
        <w:spacing w:after="0" w:line="27"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Subscription Value ("ASV")</w:t>
      </w:r>
    </w:p>
    <w:p>
      <w:pPr>
        <w:spacing w:after="0" w:line="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Client and User Additions</w:t>
      </w:r>
    </w:p>
    <w:p>
      <w:pPr>
        <w:spacing w:after="0" w:line="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Headcount</w:t>
      </w:r>
    </w:p>
    <w:p>
      <w:pPr>
        <w:spacing w:after="0" w:line="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Operations</w:t>
      </w:r>
    </w:p>
    <w:p>
      <w:pPr>
        <w:spacing w:after="0" w:line="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Financial Measures</w:t>
      </w:r>
    </w:p>
    <w:p>
      <w:pPr>
        <w:spacing w:after="0" w:line="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 and Capital Resources</w:t>
      </w:r>
    </w:p>
    <w:p>
      <w:pPr>
        <w:spacing w:after="0" w:line="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Off-Balance Sheet Arrangements</w:t>
      </w:r>
    </w:p>
    <w:p>
      <w:pPr>
        <w:spacing w:after="0" w:line="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Exposure</w:t>
      </w:r>
    </w:p>
    <w:p>
      <w:pPr>
        <w:spacing w:after="0" w:line="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Critical Accounting Estimates</w:t>
      </w:r>
    </w:p>
    <w:p>
      <w:pPr>
        <w:spacing w:after="0" w:line="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Accounting Pronouncements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Executive Overview</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FactSet Research Systems Inc. and its wholly-owned subsidiaries (collectively, "we," "our," "us," the "Company" or "FactSet") is a global financial digital platform and enterprise solutions provider with open and flexible technologies that deliver financial intelligence to investment professionals worldwide.</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platform delivers expansive data, sophisticated analytics, and flexible technology used by global financial professionals to power their critical investment workflows. As of February 28, 2025, we had more than 8,600 clients comprised of over 219,000 investment professionals, including institutional asset managers, bankers, wealth managers, asset owners, partners, hedge funds, corporate users, and private equity and venture capital professionals. Our revenues are primarily derived from subscriptions to our multi-asset class data and solutions powered by our connected data and technology platform. Our products and services include workstations, portfolio analytics and enterprise data solutions. We also offer managed services that operate as an extension of our clients' internal teams to support data, performance, risk and reporting workflows.</w:t>
      </w:r>
    </w:p>
    <w:p>
      <w:pPr>
        <w:spacing w:after="0" w:line="14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drive our business based on our detailed understanding of our clients' workflows, which helps us to solve their most complex challenges. We provide financial data and market intelligence on securities, companies, industries and people to enable our clients to research investment ideas and analyze, monitor and manage their portfolios. Our solutions span the investment lifecycle of investment research, portfolio construction and analysis, trade execution, performance measurement, risk management and reporting. We provide open and flexible technology offerings, including a configurable desktop and mobile platform, comprehensive data feeds, cloud-based digital solutions, and application programming interfaces ("APIs"). The CUSIP Global Services ("CGS") business supports security master files relied on by the investment industry for critical front, middle and back-office functions. All of our platforms and solutions are supported by our dedicated client service team.</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operate our business through three reportable segments ("segments"): the Americas, EMEA and Asia Pacific. Within each segment, we offer data, products and analytical applications by firm type:</w:t>
      </w:r>
    </w:p>
    <w:p>
      <w:pPr>
        <w:spacing w:after="0" w:line="121"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"Institutional Buyside" focuses on global asset managers, asset owners, and hedge fund professionals,</w:t>
      </w:r>
    </w:p>
    <w:p>
      <w:pPr>
        <w:spacing w:after="0" w:line="10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"Dealmakers" focuses on investment bankers, sell-side research analysts, corporate users, investor relations officers and private equity and venture capital professionals,</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"Wealth" focuses on wealth management clients, and</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left="660" w:hanging="328"/>
        <w:spacing w:after="0" w:line="266"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and CGS": "Partnerships" delivers solutions to firms in the financial services ecosystem including data, analytics and technology platform providers. "CGS" is a leader in securities identification, managed on behalf of the American Bankers Association to bring reliability to all sectors of the global financial markets.</w:t>
      </w:r>
    </w:p>
    <w:p>
      <w:pPr>
        <w:spacing w:after="0" w:line="133"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color w:val="auto"/>
        </w:rPr>
        <w:t xml:space="preserve">Refer to Note 16, </w:t>
      </w:r>
      <w:r>
        <w:rPr>
          <w:rFonts w:ascii="Times New Roman" w:cs="Times New Roman" w:eastAsia="Times New Roman" w:hAnsi="Times New Roman"/>
          <w:sz w:val="18"/>
          <w:szCs w:val="18"/>
          <w:i w:val="1"/>
          <w:iCs w:val="1"/>
          <w:color w:val="auto"/>
        </w:rPr>
        <w:t>Segment Information,</w:t>
      </w:r>
      <w:r>
        <w:rPr>
          <w:rFonts w:ascii="Times New Roman" w:cs="Times New Roman" w:eastAsia="Times New Roman" w:hAnsi="Times New Roman"/>
          <w:sz w:val="18"/>
          <w:szCs w:val="18"/>
          <w:color w:val="auto"/>
        </w:rPr>
        <w:t xml:space="preserve"> in the Notes to the Consolidated Financial Statements included in Part I, Item 1. of this Quarterly Report on Form 10-Q for more information on our segments.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Strategy</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strive to be a trusted enterprise partner and service provider to our clients across the financial services spectrum, delivering relevant intelligence, insights and execution solutions tailored to our clients' business models.</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are focused on growing our global business through three strategically aligned geographic segments: the Americas, EMEA and Asia Pacific. This approach allows us to better manage resources, target solutions and interact with clients effectively.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execute our strategy, we are focused on three core pillars and primary areas of investment:</w:t>
      </w:r>
    </w:p>
    <w:p>
      <w:pPr>
        <w:spacing w:after="0" w:line="181" w:lineRule="exact"/>
        <w:rPr>
          <w:sz w:val="20"/>
          <w:szCs w:val="20"/>
          <w:color w:val="auto"/>
        </w:rPr>
      </w:pPr>
    </w:p>
    <w:p>
      <w:pPr>
        <w:jc w:val="both"/>
        <w:ind w:left="660" w:hanging="328"/>
        <w:spacing w:after="0" w:line="259"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Expanding our data offerings: </w:t>
      </w:r>
      <w:r>
        <w:rPr>
          <w:rFonts w:ascii="Times New Roman" w:cs="Times New Roman" w:eastAsia="Times New Roman" w:hAnsi="Times New Roman"/>
          <w:sz w:val="18"/>
          <w:szCs w:val="18"/>
          <w:color w:val="auto"/>
        </w:rPr>
        <w:t>We continue to scale up our data ecosystem to provide a comprehensive inventory of industry, proprietary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third-party data. This includes granular data for key industry verticals, real-time market data, fund data and sustainable finance. We believe that our breadth of high-quality, connected data will serve as critical raw material for large language models. In addition to using our growing data catalog to power our artificial intelligence ("AI") powered workstation products, we aim to continue to expand our data delivery capabilities in the cloud and through other methods to advance our position as an enterprise data provider for our clients.</w:t>
      </w:r>
    </w:p>
    <w:p>
      <w:pPr>
        <w:spacing w:after="0" w:line="138"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Embedding deeper in client workflows</w:t>
      </w:r>
      <w:r>
        <w:rPr>
          <w:rFonts w:ascii="Times New Roman" w:cs="Times New Roman" w:eastAsia="Times New Roman" w:hAnsi="Times New Roman"/>
          <w:sz w:val="18"/>
          <w:szCs w:val="18"/>
          <w:color w:val="auto"/>
        </w:rPr>
        <w:t>: Through continued innovation, we aim to deepen our integration into our clients' workflows. We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focused on expanding further into the buy-side front office by leveraging our expertise in portfolio performance, analytics, and risk management. In addition, we are building on our strong presence on advisor desktops by expanding into prospecting and digital reporting workflows. We are also working to introduce next-generation automation in research, financial modeling, and pitch creation.</w:t>
      </w:r>
    </w:p>
    <w:p>
      <w:pPr>
        <w:spacing w:after="0" w:line="149"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Innovating with AI</w:t>
      </w:r>
      <w:r>
        <w:rPr>
          <w:rFonts w:ascii="Times New Roman" w:cs="Times New Roman" w:eastAsia="Times New Roman" w:hAnsi="Times New Roman"/>
          <w:sz w:val="18"/>
          <w:szCs w:val="18"/>
          <w:color w:val="auto"/>
        </w:rPr>
        <w:t>: Our artificial intelligence roadmap, driven by our FactSet AI Blueprint, continues to resonate with our clients. We recently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launched new AI-powered solutions for generating portfolio performance commentary, analyzing earnings call transcripts, and requesting FactSet data using natural language queries in client-built environments and chatbots. We believe that our pragmatic, open and flexible approach to leveraging AI to enhance our clients’ workflows will differentiate FactSet from our competitors and drive growth.</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2025 Second Quarter in Review</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Revenues in the second quarter of fiscal 2025 were $570.7 million, an increase of 4.5% from the comparable prior year period. This 4.5% growth in revenues was driven by a 4.0% increase in organic revenues and a 0.7% increase from acquisition-related revenues, partially offset by a net decrease of 0.2% from foreign currency exchange rate fluctuations. Revenues increased in all our segments, primarily in the Americas. Revenues increased primarily from workstations and CGS. Refer to Part I, Item 2. </w:t>
      </w:r>
      <w:r>
        <w:rPr>
          <w:rFonts w:ascii="Times New Roman" w:cs="Times New Roman" w:eastAsia="Times New Roman" w:hAnsi="Times New Roman"/>
          <w:sz w:val="18"/>
          <w:szCs w:val="18"/>
          <w:i w:val="1"/>
          <w:iCs w:val="1"/>
          <w:color w:val="auto"/>
        </w:rPr>
        <w:t>Management's Discussion and Analysis of Financial Condition and Results of Operations, Non-GAAP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Financial Measures, </w:t>
      </w:r>
      <w:r>
        <w:rPr>
          <w:rFonts w:ascii="Times New Roman" w:cs="Times New Roman" w:eastAsia="Times New Roman" w:hAnsi="Times New Roman"/>
          <w:sz w:val="18"/>
          <w:szCs w:val="18"/>
          <w:color w:val="auto"/>
        </w:rPr>
        <w:t>of this Quarterly Report on Form 10-Q for the definition of organic revenues and a reconciliation between revenues and organic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revenues.</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As of February 28, 2025, organic annual subscription value ("Organic ASV") totaled $2,276.2 million, an increase of 4.1% over the prior year. Organic ASV increased in all our segments, with the majority of the increase in the Americas. The Organic ASV increase was mainly from workstations and, to a lesser extent, CGS. Refer to Part I, Item 2. </w:t>
      </w:r>
      <w:r>
        <w:rPr>
          <w:rFonts w:ascii="Times New Roman" w:cs="Times New Roman" w:eastAsia="Times New Roman" w:hAnsi="Times New Roman"/>
          <w:sz w:val="18"/>
          <w:szCs w:val="18"/>
          <w:i w:val="1"/>
          <w:iCs w:val="1"/>
          <w:color w:val="auto"/>
        </w:rPr>
        <w:t>Management's Discussion and Analysis of Financial Condition and Results of Operations, Annual Subscription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Value, </w:t>
      </w:r>
      <w:r>
        <w:rPr>
          <w:rFonts w:ascii="Times New Roman" w:cs="Times New Roman" w:eastAsia="Times New Roman" w:hAnsi="Times New Roman"/>
          <w:sz w:val="18"/>
          <w:szCs w:val="18"/>
          <w:color w:val="auto"/>
        </w:rPr>
        <w:t>of this Quarterly Report on Form 10-Q for the definition of Organic ASV.</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margin was 32.5% for the second quarter of fiscal 2025, compared to 33.3% in the prior year period. When expenses are expressed as a percentage of revenues, this decrease in operating margin was mainly due to higher professional fees and computer-related expenses, partially offset by growth in revenues and a decrease in employee compensation costs. Diluted earnings per common share ("Diluted EPS") was $3.76 for the second quarter of fiscal 2025, an increase of 3.0% from the comparable prior year period, primarily driven by higher operating income.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returned $104.0 million to our stockholders in the form of share repurchases and dividends during the three months ended February 28, 2025.</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February 28, 2025, our client and user count was 8,645 and 219,141, respectively. Our employee headcount was 12,598 as of February 28, 2025, up 2.6% compared to the prior year. This increase was driven by net headcount growth of 4.8% in Americas, 3.1% in EMEA and 1.9% in Asia Pacific.</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Annual Subscription Value ("ASV")</w:t>
      </w:r>
    </w:p>
    <w:p>
      <w:pPr>
        <w:spacing w:after="0" w:line="24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believe ASV reflects our ability to grow recurring revenues and generate positive cash flows, and thus serves as a key indicator of the successful execution of our business strategy.</w:t>
      </w:r>
    </w:p>
    <w:p>
      <w:pPr>
        <w:spacing w:after="0" w:line="189" w:lineRule="exact"/>
        <w:rPr>
          <w:sz w:val="20"/>
          <w:szCs w:val="20"/>
          <w:color w:val="auto"/>
        </w:rPr>
      </w:pPr>
    </w:p>
    <w:p>
      <w:pPr>
        <w:ind w:left="660" w:hanging="324"/>
        <w:spacing w:after="0" w:line="261" w:lineRule="auto"/>
        <w:rPr>
          <w:sz w:val="20"/>
          <w:szCs w:val="20"/>
          <w:color w:val="auto"/>
        </w:rPr>
      </w:pPr>
      <w:r>
        <w:rPr>
          <w:rFonts w:ascii="Times New Roman" w:cs="Times New Roman" w:eastAsia="Times New Roman" w:hAnsi="Times New Roman"/>
          <w:sz w:val="18"/>
          <w:szCs w:val="18"/>
          <w:color w:val="auto"/>
        </w:rPr>
        <w:t>– "ASV" at any point in time represents our forward-looking revenues for the next 12 months from all subscription services currently being supplied to clients.</w:t>
      </w:r>
    </w:p>
    <w:p>
      <w:pPr>
        <w:ind w:left="660" w:hanging="324"/>
        <w:spacing w:after="0" w:line="260" w:lineRule="auto"/>
        <w:rPr>
          <w:sz w:val="20"/>
          <w:szCs w:val="20"/>
          <w:color w:val="auto"/>
        </w:rPr>
      </w:pPr>
      <w:r>
        <w:rPr>
          <w:rFonts w:ascii="Times New Roman" w:cs="Times New Roman" w:eastAsia="Times New Roman" w:hAnsi="Times New Roman"/>
          <w:sz w:val="18"/>
          <w:szCs w:val="18"/>
          <w:color w:val="auto"/>
        </w:rPr>
        <w:t>– "Organic ASV" at any point in time equals our ASV excluding ASV from acquisitions and dispositions completed within the last 12 months and the effects of foreign currency movements.</w:t>
      </w:r>
    </w:p>
    <w:p>
      <w:pPr>
        <w:spacing w:after="0" w:line="276" w:lineRule="exact"/>
        <w:rPr>
          <w:sz w:val="20"/>
          <w:szCs w:val="20"/>
          <w:color w:val="auto"/>
        </w:rPr>
      </w:pPr>
    </w:p>
    <w:p>
      <w:pPr>
        <w:spacing w:after="0" w:line="313" w:lineRule="auto"/>
        <w:rPr>
          <w:sz w:val="20"/>
          <w:szCs w:val="20"/>
          <w:color w:val="auto"/>
        </w:rPr>
      </w:pPr>
      <w:r>
        <w:rPr>
          <w:rFonts w:ascii="Times New Roman" w:cs="Times New Roman" w:eastAsia="Times New Roman" w:hAnsi="Times New Roman"/>
          <w:sz w:val="18"/>
          <w:szCs w:val="18"/>
          <w:color w:val="auto"/>
        </w:rPr>
        <w:t>Beginning in fiscal 2025, we are reporting Organic ASV, rather than Organic ASV plus professional services, to focus on the recurring nature of our revenues. This underscores the shift of our offerings toward providing more managed services and less project-based services.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Organic ASV</w:t>
      </w:r>
    </w:p>
    <w:p>
      <w:pPr>
        <w:spacing w:after="0" w:line="202" w:lineRule="exact"/>
        <w:rPr>
          <w:sz w:val="20"/>
          <w:szCs w:val="20"/>
          <w:color w:val="auto"/>
        </w:rPr>
      </w:pPr>
    </w:p>
    <w:p>
      <w:pPr>
        <w:ind w:right="20"/>
        <w:spacing w:after="0" w:line="313" w:lineRule="auto"/>
        <w:rPr>
          <w:sz w:val="20"/>
          <w:szCs w:val="20"/>
          <w:color w:val="auto"/>
        </w:rPr>
      </w:pPr>
      <w:r>
        <w:rPr>
          <w:rFonts w:ascii="Times New Roman" w:cs="Times New Roman" w:eastAsia="Times New Roman" w:hAnsi="Times New Roman"/>
          <w:sz w:val="18"/>
          <w:szCs w:val="18"/>
          <w:color w:val="auto"/>
        </w:rPr>
        <w:t>The following table presents the calculation of Organic ASV as of February 28, 2025. With proper notice provided as contractually required, our clients can add to, delete portions of, or terminate service, subject to certain limitations.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 amounts in millions)</w:t>
            </w:r>
          </w:p>
        </w:tc>
        <w:tc>
          <w:tcPr>
            <w:tcW w:w="22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As of February 28, 2025</w:t>
            </w:r>
          </w:p>
        </w:tc>
      </w:tr>
      <w:tr>
        <w:trPr>
          <w:trHeight w:val="223"/>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ASV</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2,306.1</w:t>
            </w:r>
          </w:p>
        </w:tc>
      </w:tr>
      <w:tr>
        <w:trPr>
          <w:trHeight w:val="229"/>
        </w:trPr>
        <w:tc>
          <w:tcPr>
            <w:tcW w:w="880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Currency impact</w:t>
            </w:r>
            <w:r>
              <w:rPr>
                <w:rFonts w:ascii="Times New Roman" w:cs="Times New Roman" w:eastAsia="Times New Roman" w:hAnsi="Times New Roman"/>
                <w:sz w:val="23"/>
                <w:szCs w:val="23"/>
                <w:color w:val="auto"/>
                <w:vertAlign w:val="superscript"/>
              </w:rPr>
              <w:t>(1)</w:t>
            </w:r>
          </w:p>
        </w:tc>
        <w:tc>
          <w:tcPr>
            <w:tcW w:w="220" w:type="dxa"/>
            <w:vAlign w:val="bottom"/>
          </w:tcPr>
          <w:p>
            <w:pPr>
              <w:spacing w:after="0"/>
              <w:rPr>
                <w:sz w:val="19"/>
                <w:szCs w:val="19"/>
                <w:color w:val="auto"/>
              </w:rPr>
            </w:pPr>
          </w:p>
        </w:tc>
        <w:tc>
          <w:tcPr>
            <w:tcW w:w="2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w:t>
            </w:r>
          </w:p>
        </w:tc>
      </w:tr>
      <w:tr>
        <w:trPr>
          <w:trHeight w:val="230"/>
        </w:trPr>
        <w:tc>
          <w:tcPr>
            <w:tcW w:w="880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Acquisition ASV</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23"/>
                <w:szCs w:val="23"/>
                <w:color w:val="auto"/>
                <w:vertAlign w:val="superscript"/>
              </w:rPr>
              <w:t>2)</w:t>
            </w:r>
          </w:p>
        </w:tc>
        <w:tc>
          <w:tcPr>
            <w:tcW w:w="220" w:type="dxa"/>
            <w:vAlign w:val="bottom"/>
            <w:tcBorders>
              <w:bottom w:val="single" w:sz="8" w:color="auto"/>
            </w:tcBorders>
            <w:shd w:val="clear" w:color="auto" w:fill="CCEEFF"/>
          </w:tcPr>
          <w:p>
            <w:pPr>
              <w:spacing w:after="0"/>
              <w:rPr>
                <w:sz w:val="19"/>
                <w:szCs w:val="19"/>
                <w:color w:val="auto"/>
              </w:rPr>
            </w:pPr>
          </w:p>
        </w:tc>
        <w:tc>
          <w:tcPr>
            <w:tcW w:w="22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(31.8)</w:t>
            </w:r>
          </w:p>
        </w:tc>
      </w:tr>
      <w:tr>
        <w:trPr>
          <w:trHeight w:val="223"/>
        </w:trPr>
        <w:tc>
          <w:tcPr>
            <w:tcW w:w="8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Organic ASV</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2,276.2</w:t>
            </w:r>
          </w:p>
        </w:tc>
      </w:tr>
      <w:tr>
        <w:trPr>
          <w:trHeight w:val="230"/>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Organic ASV annual growth rate</w:t>
            </w:r>
          </w:p>
        </w:tc>
        <w:tc>
          <w:tcPr>
            <w:tcW w:w="220" w:type="dxa"/>
            <w:vAlign w:val="bottom"/>
            <w:shd w:val="clear" w:color="auto" w:fill="CCEEFF"/>
          </w:tcPr>
          <w:p>
            <w:pPr>
              <w:spacing w:after="0"/>
              <w:rPr>
                <w:sz w:val="19"/>
                <w:szCs w:val="19"/>
                <w:color w:val="auto"/>
              </w:rPr>
            </w:pP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4.1 %</w:t>
            </w:r>
          </w:p>
        </w:tc>
      </w:tr>
    </w:tbl>
    <w:p>
      <w:pPr>
        <w:spacing w:after="0" w:line="189" w:lineRule="exact"/>
        <w:rPr>
          <w:sz w:val="20"/>
          <w:szCs w:val="20"/>
          <w:color w:val="auto"/>
        </w:rPr>
      </w:pPr>
    </w:p>
    <w:p>
      <w:pPr>
        <w:ind w:left="260" w:hanging="252"/>
        <w:spacing w:after="0"/>
        <w:tabs>
          <w:tab w:leader="none" w:pos="26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 from foreign currency movements.</w:t>
      </w:r>
    </w:p>
    <w:p>
      <w:pPr>
        <w:spacing w:after="0" w:line="113" w:lineRule="exact"/>
        <w:rPr>
          <w:rFonts w:ascii="Times New Roman" w:cs="Times New Roman" w:eastAsia="Times New Roman" w:hAnsi="Times New Roman"/>
          <w:sz w:val="16"/>
          <w:szCs w:val="16"/>
          <w:color w:val="auto"/>
        </w:rPr>
      </w:pPr>
    </w:p>
    <w:p>
      <w:pPr>
        <w:ind w:left="260" w:hanging="252"/>
        <w:spacing w:after="0"/>
        <w:tabs>
          <w:tab w:leader="none" w:pos="26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Acquired ASV from acquisitions completed within the last 12 months.</w:t>
      </w:r>
    </w:p>
    <w:p>
      <w:pPr>
        <w:spacing w:after="0" w:line="1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February 28, 2025, Organic ASV was $2,276.2 million, an increase of 4.1% compared with February 29, 2024. Organic ASV increased in all our segments, with the majority of the increase in the Americas. The increase in Organic ASV was driven by higher sales to existing clients, price increases to existing clients and sales to new clients, partially offset by existing client cancellations. More specifically, the increase in Organic ASV was mainly from workstations and, to a lesser extent, CGS.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ASV</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February 28, 2025, ASV from the Americas represented 65% of total ASV and was $1,501.1 million, an increase from $1,413.6 million as of February 29, 2024. Americas Organic ASV was $1,474.9 million as of February 28, 2025, a 4.4% increase from the prior year period. The Organic ASV increase in the Americas was primarily driven by workstations and, to a lesser extent, CGS.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February 28, 2025, ASV from EMEA represented 25% of total ASV and was $571.3 million, an increase from $556.5 million as of February 29, 2024. EMEA Organic ASV was $571.4 million as of February 28, 2025, a 2.6% increase from the prior year period. The EMEA Organic ASV increase was mainly from CGS and data solutions.</w:t>
      </w:r>
    </w:p>
    <w:p>
      <w:pPr>
        <w:spacing w:after="0" w:line="1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February 28, 2025, ASV from Asia Pacific represented 10% of total ASV and was $233.7 million, an increase from $215.5 million as of February 29, 2024. Asia Pacific Organic ASV was $229.9 million as of February 28, 2025, a 6.8% increase from the prior year period. The Asia Pacific Organic ASV increase was primarily driven by workstations and data solutions.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Buy-side and Sell-side Organic ASV Growth</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buy-side and sell-side Organic ASV annual growth rates as of February 28, 2025 were 4.1% and 2.2%, respectively. Buy-side clients account for approximately 82% of our Organic ASV, consistent with the prior year period, and primarily include institutional asset managers, wealth managers, asset owners, partners, hedge funds and corporate clients. The remaining</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Organic ASV is derived from sell-side firms, primarily including broker-dealers, banking and advisory firms, and private equity and venture capital firms.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Client and User Additions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The table below presents our total clients and users:</w:t>
            </w:r>
          </w:p>
        </w:tc>
        <w:tc>
          <w:tcPr>
            <w:tcW w:w="30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56"/>
        </w:trPr>
        <w:tc>
          <w:tcPr>
            <w:tcW w:w="4620" w:type="dxa"/>
            <w:vAlign w:val="bottom"/>
            <w:tcBorders>
              <w:bottom w:val="single" w:sz="8" w:color="auto"/>
            </w:tcBorders>
          </w:tcPr>
          <w:p>
            <w:pPr>
              <w:spacing w:after="0"/>
              <w:rPr>
                <w:sz w:val="22"/>
                <w:szCs w:val="22"/>
                <w:color w:val="auto"/>
              </w:rPr>
            </w:pPr>
          </w:p>
        </w:tc>
        <w:tc>
          <w:tcPr>
            <w:tcW w:w="30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As of February 28, 2025</w:t>
            </w:r>
          </w:p>
        </w:tc>
        <w:tc>
          <w:tcPr>
            <w:tcW w:w="24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As of February 29, 2024</w:t>
            </w:r>
          </w:p>
        </w:tc>
        <w:tc>
          <w:tcPr>
            <w:tcW w:w="11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Change</w:t>
            </w:r>
          </w:p>
        </w:tc>
      </w:tr>
      <w:tr>
        <w:trPr>
          <w:trHeight w:val="223"/>
        </w:trPr>
        <w:tc>
          <w:tcPr>
            <w:tcW w:w="462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Clients</w:t>
            </w:r>
            <w:r>
              <w:rPr>
                <w:rFonts w:ascii="Times New Roman" w:cs="Times New Roman" w:eastAsia="Times New Roman" w:hAnsi="Times New Roman"/>
                <w:sz w:val="23"/>
                <w:szCs w:val="23"/>
                <w:color w:val="auto"/>
                <w:vertAlign w:val="superscript"/>
              </w:rPr>
              <w:t>(1)</w:t>
            </w:r>
          </w:p>
        </w:tc>
        <w:tc>
          <w:tcPr>
            <w:tcW w:w="30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8,645</w:t>
            </w:r>
          </w:p>
        </w:tc>
        <w:tc>
          <w:tcPr>
            <w:tcW w:w="2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8,020</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7.8 %</w:t>
            </w:r>
          </w:p>
        </w:tc>
      </w:tr>
      <w:tr>
        <w:trPr>
          <w:trHeight w:val="312"/>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Users</w:t>
            </w:r>
            <w:r>
              <w:rPr>
                <w:rFonts w:ascii="Times New Roman" w:cs="Times New Roman" w:eastAsia="Times New Roman" w:hAnsi="Times New Roman"/>
                <w:sz w:val="23"/>
                <w:szCs w:val="23"/>
                <w:color w:val="auto"/>
                <w:vertAlign w:val="superscript"/>
              </w:rPr>
              <w:t>(2)</w:t>
            </w:r>
          </w:p>
        </w:tc>
        <w:tc>
          <w:tcPr>
            <w:tcW w:w="30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219,141</w:t>
            </w:r>
          </w:p>
        </w:tc>
        <w:tc>
          <w:tcPr>
            <w:tcW w:w="2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206,478</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6.1 %</w:t>
            </w:r>
          </w:p>
        </w:tc>
      </w:tr>
    </w:tbl>
    <w:p>
      <w:pPr>
        <w:spacing w:after="0" w:line="52" w:lineRule="exact"/>
        <w:rPr>
          <w:sz w:val="20"/>
          <w:szCs w:val="20"/>
          <w:color w:val="auto"/>
        </w:rPr>
      </w:pPr>
    </w:p>
    <w:p>
      <w:pPr>
        <w:ind w:left="260" w:hanging="252"/>
        <w:spacing w:after="0"/>
        <w:tabs>
          <w:tab w:leader="none" w:pos="26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client count includes clients with ASV of $10,000 and above and does not reflect the acquisition of Liquid Holdings, LLC ("LiquidityBook").</w:t>
      </w:r>
    </w:p>
    <w:p>
      <w:pPr>
        <w:spacing w:after="0" w:line="59" w:lineRule="exact"/>
        <w:rPr>
          <w:rFonts w:ascii="Times New Roman" w:cs="Times New Roman" w:eastAsia="Times New Roman" w:hAnsi="Times New Roman"/>
          <w:sz w:val="16"/>
          <w:szCs w:val="16"/>
          <w:color w:val="auto"/>
        </w:rPr>
      </w:pPr>
    </w:p>
    <w:p>
      <w:pPr>
        <w:ind w:left="260" w:hanging="252"/>
        <w:spacing w:after="0"/>
        <w:tabs>
          <w:tab w:leader="none" w:pos="26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user count does not reflect the Platform Group Limited ("Irwin") and LiquidityBook acquisitions.</w:t>
      </w:r>
    </w:p>
    <w:p>
      <w:pPr>
        <w:spacing w:after="0" w:line="1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total client count was 8,645 as of February 28, 2025, a net increase of 7.8% or 625 clients in the last 12 months, mainly due to an increase in corporates, which now includes clients from the Irwin acquisition, and wealth management clients.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February 28, 2025, there were 219,141 professionals using FactSet, representing a net increase of 6.1% or 12,663 users in the last 12 months, primarily driven by an increase in wealth management users.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Annual ASV retention was greater than 95% of ASV as of February 28, 2025 and February 29, 2024. When expressed as a percentage of clients, annual retention was 91% as of February 28, 2025, compared with 90% as of February 29, 2024.</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Employee Headcount</w:t>
      </w:r>
    </w:p>
    <w:p>
      <w:pPr>
        <w:spacing w:after="0" w:line="1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February 28, 2025, our net employee headcount increased by 2.6% to 12,598, compared with 12,279 employees as of February 29, 2024. This net headcount growth was primarily driven by our Irwin and LiquidityBook acquisitions and an increase in employees based in India as a result of our continued investment in our centers of excellence ("COEs"). Approximately 67% of our employees are located in our COEs.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February 28, 2025, compared to February 29, 2024, our net headcount growth was 4.8% in the Americas, 3.1% in EMEA and 1.9% in Asia Pacific.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February 28, 2025, we had 8,681 employees located in Asia Pacific, 2,475 in the Americas and 1,442 in EMEA.</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Results of Operations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an understanding of the significant factors that influenced our performance for the three and six months ended February 28, 2025 and February 29, 2024, the following discussion should be read in conjunction with the Consolidated Financial Statements and related Notes presented in Part I, Item 1. in this Quarterly Report on Form 10-Q.</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results of operations for the periods described: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20" w:type="dxa"/>
            <w:vAlign w:val="bottom"/>
            <w:gridSpan w:val="3"/>
          </w:tcPr>
          <w:p>
            <w:pPr>
              <w:jc w:val="right"/>
              <w:ind w:right="430"/>
              <w:spacing w:after="0"/>
              <w:rPr>
                <w:sz w:val="20"/>
                <w:szCs w:val="20"/>
                <w:color w:val="auto"/>
              </w:rPr>
            </w:pPr>
            <w:r>
              <w:rPr>
                <w:rFonts w:ascii="Times New Roman" w:cs="Times New Roman" w:eastAsia="Times New Roman" w:hAnsi="Times New Roman"/>
                <w:sz w:val="18"/>
                <w:szCs w:val="18"/>
                <w:color w:val="auto"/>
              </w:rPr>
              <w:t>Three Months Ended</w:t>
            </w: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0" w:type="dxa"/>
            <w:vAlign w:val="bottom"/>
            <w:gridSpan w:val="3"/>
          </w:tcPr>
          <w:p>
            <w:pPr>
              <w:jc w:val="right"/>
              <w:ind w:right="510"/>
              <w:spacing w:after="0"/>
              <w:rPr>
                <w:sz w:val="20"/>
                <w:szCs w:val="20"/>
                <w:color w:val="auto"/>
              </w:rPr>
            </w:pPr>
            <w:r>
              <w:rPr>
                <w:rFonts w:ascii="Times New Roman" w:cs="Times New Roman" w:eastAsia="Times New Roman" w:hAnsi="Times New Roman"/>
                <w:sz w:val="18"/>
                <w:szCs w:val="18"/>
                <w:color w:val="auto"/>
              </w:rPr>
              <w:t>Six Months Ended</w:t>
            </w:r>
          </w:p>
        </w:tc>
        <w:tc>
          <w:tcPr>
            <w:tcW w:w="1080" w:type="dxa"/>
            <w:vAlign w:val="bottom"/>
          </w:tcPr>
          <w:p>
            <w:pPr>
              <w:spacing w:after="0"/>
              <w:rPr>
                <w:sz w:val="20"/>
                <w:szCs w:val="20"/>
                <w:color w:val="auto"/>
              </w:rPr>
            </w:pPr>
          </w:p>
        </w:tc>
      </w:tr>
      <w:tr>
        <w:trPr>
          <w:trHeight w:val="270"/>
        </w:trPr>
        <w:tc>
          <w:tcPr>
            <w:tcW w:w="40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February 28,</w:t>
            </w:r>
          </w:p>
        </w:tc>
        <w:tc>
          <w:tcPr>
            <w:tcW w:w="160" w:type="dxa"/>
            <w:vAlign w:val="bottom"/>
          </w:tcPr>
          <w:p>
            <w:pPr>
              <w:spacing w:after="0"/>
              <w:rPr>
                <w:sz w:val="23"/>
                <w:szCs w:val="23"/>
                <w:color w:val="auto"/>
              </w:rPr>
            </w:pP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9"/>
              </w:rPr>
              <w:t>February 29,</w:t>
            </w:r>
          </w:p>
        </w:tc>
        <w:tc>
          <w:tcPr>
            <w:tcW w:w="10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9"/>
              </w:rPr>
              <w:t>February 28,</w:t>
            </w:r>
          </w:p>
        </w:tc>
        <w:tc>
          <w:tcPr>
            <w:tcW w:w="160" w:type="dxa"/>
            <w:vAlign w:val="bottom"/>
          </w:tcPr>
          <w:p>
            <w:pPr>
              <w:spacing w:after="0"/>
              <w:rPr>
                <w:sz w:val="23"/>
                <w:szCs w:val="23"/>
                <w:color w:val="auto"/>
              </w:rPr>
            </w:pPr>
          </w:p>
        </w:tc>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February 29,</w:t>
            </w:r>
          </w:p>
        </w:tc>
        <w:tc>
          <w:tcPr>
            <w:tcW w:w="1080" w:type="dxa"/>
            <w:vAlign w:val="bottom"/>
          </w:tcPr>
          <w:p>
            <w:pPr>
              <w:spacing w:after="0"/>
              <w:rPr>
                <w:sz w:val="23"/>
                <w:szCs w:val="23"/>
                <w:color w:val="auto"/>
              </w:rPr>
            </w:pPr>
          </w:p>
        </w:tc>
      </w:tr>
      <w:tr>
        <w:trPr>
          <w:trHeight w:val="378"/>
        </w:trPr>
        <w:tc>
          <w:tcPr>
            <w:tcW w:w="4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per share data)</w:t>
            </w: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2024</w:t>
            </w:r>
          </w:p>
        </w:tc>
        <w:tc>
          <w:tcPr>
            <w:tcW w:w="1180" w:type="dxa"/>
            <w:vAlign w:val="bottom"/>
            <w:tcBorders>
              <w:bottom w:val="single" w:sz="8" w:color="auto"/>
            </w:tcBorders>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 Change</w:t>
            </w:r>
          </w:p>
        </w:tc>
        <w:tc>
          <w:tcPr>
            <w:tcW w:w="11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2024</w:t>
            </w:r>
          </w:p>
        </w:tc>
        <w:tc>
          <w:tcPr>
            <w:tcW w:w="10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 Change</w:t>
            </w:r>
          </w:p>
        </w:tc>
      </w:tr>
      <w:tr>
        <w:trPr>
          <w:trHeight w:val="223"/>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570,660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545,945</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4.5 % $</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1,139,327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1,088,161</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r>
      <w:tr>
        <w:trPr>
          <w:trHeight w:val="229"/>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269,604</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255,142</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528,383</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506,763</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4.3 %</w:t>
            </w:r>
          </w:p>
        </w:tc>
      </w:tr>
      <w:tr>
        <w:trPr>
          <w:trHeight w:val="230"/>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115,564</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108,861</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234,117</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210,416</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11.3 %</w:t>
            </w:r>
          </w:p>
        </w:tc>
      </w:tr>
      <w:tr>
        <w:trPr>
          <w:trHeight w:val="223"/>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185,492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181,942</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376,827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370,982</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r>
      <w:tr>
        <w:trPr>
          <w:trHeight w:val="270"/>
        </w:trPr>
        <w:tc>
          <w:tcPr>
            <w:tcW w:w="40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r>
      <w:tr>
        <w:trPr>
          <w:trHeight w:val="230"/>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144,860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140,940</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2.8 % $</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294,882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289,495</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r>
      <w:tr>
        <w:trPr>
          <w:trHeight w:val="223"/>
        </w:trPr>
        <w:tc>
          <w:tcPr>
            <w:tcW w:w="4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weighted average common shares</w:t>
            </w:r>
          </w:p>
        </w:tc>
        <w:tc>
          <w:tcPr>
            <w:tcW w:w="1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38,510</w:t>
            </w:r>
          </w:p>
        </w:tc>
        <w:tc>
          <w:tcPr>
            <w:tcW w:w="16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38,650</w:t>
            </w:r>
          </w:p>
        </w:tc>
        <w:tc>
          <w:tcPr>
            <w:tcW w:w="10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38,513</w:t>
            </w:r>
          </w:p>
        </w:tc>
        <w:tc>
          <w:tcPr>
            <w:tcW w:w="16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38,646</w:t>
            </w:r>
          </w:p>
        </w:tc>
        <w:tc>
          <w:tcPr>
            <w:tcW w:w="1080" w:type="dxa"/>
            <w:vAlign w:val="bottom"/>
            <w:tcBorders>
              <w:top w:val="single" w:sz="8" w:color="CCEEFF"/>
            </w:tcBorders>
            <w:shd w:val="clear" w:color="auto" w:fill="CCEEFF"/>
          </w:tcPr>
          <w:p>
            <w:pPr>
              <w:spacing w:after="0"/>
              <w:rPr>
                <w:sz w:val="19"/>
                <w:szCs w:val="19"/>
                <w:color w:val="auto"/>
              </w:rPr>
            </w:pPr>
          </w:p>
        </w:tc>
      </w:tr>
      <w:tr>
        <w:trPr>
          <w:trHeight w:val="234"/>
        </w:trPr>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 EPS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3.0 % $</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r>
    </w:tbl>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February 28, 2025 compared with three months ended February 29, 2024</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Revenues for the three months ended February 28, 2025 were $570.7 million, an increase of 4.5%. This 4.5% growth in revenues was driven by a 4.0% increase in organic revenues, which totaled $568.0 million for the three months ended February 28, 2025, and a 0.7% increase from acquisition-related revenues, partially offset by a net decrease of 0.2% from foreign currency exchange rate fluctuations. Revenues increased in all our segments, primarily in the Americas. The increase in revenues was primarily driven by workstations and, to a lesser extent, CGS.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Six months ended February 28, 2025 compared with six months ended February 29, 2024</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Revenues for the six months ended February 28, 2025 were $1,139.3 million, an increase of 4.7%. This 4.7% growth in revenues was driven by a 4.4% increase in organic revenues, which totaled $1,135.7 million for the six months ended February 28, 2025, and a 0.4% increase from acquisition-related revenues, partially offset by a net decrease of 0.1% from foreign currency exchange rate fluctuations. Revenues increased in all our segments, primarily in the Americas. The increase in revenues was mainly from workstations and, to a lesser extent, CGS and data solutions.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 by Segment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revenues by segment:</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720" w:type="dxa"/>
            <w:vAlign w:val="bottom"/>
            <w:gridSpan w:val="3"/>
          </w:tcPr>
          <w:p>
            <w:pPr>
              <w:jc w:val="right"/>
              <w:ind w:right="610"/>
              <w:spacing w:after="0"/>
              <w:rPr>
                <w:sz w:val="20"/>
                <w:szCs w:val="20"/>
                <w:color w:val="auto"/>
              </w:rPr>
            </w:pPr>
            <w:r>
              <w:rPr>
                <w:rFonts w:ascii="Times New Roman" w:cs="Times New Roman" w:eastAsia="Times New Roman" w:hAnsi="Times New Roman"/>
                <w:sz w:val="18"/>
                <w:szCs w:val="18"/>
                <w:color w:val="auto"/>
              </w:rPr>
              <w:t>Three Months Ended</w:t>
            </w: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0" w:type="dxa"/>
            <w:vAlign w:val="bottom"/>
            <w:gridSpan w:val="3"/>
          </w:tcPr>
          <w:p>
            <w:pPr>
              <w:jc w:val="right"/>
              <w:ind w:right="730"/>
              <w:spacing w:after="0"/>
              <w:rPr>
                <w:sz w:val="20"/>
                <w:szCs w:val="20"/>
                <w:color w:val="auto"/>
              </w:rPr>
            </w:pPr>
            <w:r>
              <w:rPr>
                <w:rFonts w:ascii="Times New Roman" w:cs="Times New Roman" w:eastAsia="Times New Roman" w:hAnsi="Times New Roman"/>
                <w:sz w:val="18"/>
                <w:szCs w:val="18"/>
                <w:color w:val="auto"/>
              </w:rPr>
              <w:t>Six Months Ended</w:t>
            </w:r>
          </w:p>
        </w:tc>
        <w:tc>
          <w:tcPr>
            <w:tcW w:w="1140" w:type="dxa"/>
            <w:vAlign w:val="bottom"/>
          </w:tcPr>
          <w:p>
            <w:pPr>
              <w:spacing w:after="0"/>
              <w:rPr>
                <w:sz w:val="20"/>
                <w:szCs w:val="20"/>
                <w:color w:val="auto"/>
              </w:rPr>
            </w:pPr>
          </w:p>
        </w:tc>
      </w:tr>
      <w:tr>
        <w:trPr>
          <w:trHeight w:val="270"/>
        </w:trPr>
        <w:tc>
          <w:tcPr>
            <w:tcW w:w="30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February 28,</w:t>
            </w:r>
          </w:p>
        </w:tc>
        <w:tc>
          <w:tcPr>
            <w:tcW w:w="180" w:type="dxa"/>
            <w:vAlign w:val="bottom"/>
          </w:tcPr>
          <w:p>
            <w:pPr>
              <w:spacing w:after="0"/>
              <w:rPr>
                <w:sz w:val="23"/>
                <w:szCs w:val="23"/>
                <w:color w:val="auto"/>
              </w:rPr>
            </w:pPr>
          </w:p>
        </w:tc>
        <w:tc>
          <w:tcPr>
            <w:tcW w:w="12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February 29,</w:t>
            </w:r>
          </w:p>
        </w:tc>
        <w:tc>
          <w:tcPr>
            <w:tcW w:w="1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February 28,</w:t>
            </w:r>
          </w:p>
        </w:tc>
        <w:tc>
          <w:tcPr>
            <w:tcW w:w="200" w:type="dxa"/>
            <w:vAlign w:val="bottom"/>
          </w:tcPr>
          <w:p>
            <w:pPr>
              <w:spacing w:after="0"/>
              <w:rPr>
                <w:sz w:val="23"/>
                <w:szCs w:val="23"/>
                <w:color w:val="auto"/>
              </w:rPr>
            </w:pPr>
          </w:p>
        </w:tc>
        <w:tc>
          <w:tcPr>
            <w:tcW w:w="13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February 29,</w:t>
            </w:r>
          </w:p>
        </w:tc>
        <w:tc>
          <w:tcPr>
            <w:tcW w:w="1140" w:type="dxa"/>
            <w:vAlign w:val="bottom"/>
          </w:tcPr>
          <w:p>
            <w:pPr>
              <w:spacing w:after="0"/>
              <w:rPr>
                <w:sz w:val="23"/>
                <w:szCs w:val="23"/>
                <w:color w:val="auto"/>
              </w:rPr>
            </w:pPr>
          </w:p>
        </w:tc>
      </w:tr>
      <w:tr>
        <w:trPr>
          <w:trHeight w:val="270"/>
        </w:trPr>
        <w:tc>
          <w:tcPr>
            <w:tcW w:w="3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 amounts in thousands)</w:t>
            </w:r>
          </w:p>
        </w:tc>
        <w:tc>
          <w:tcPr>
            <w:tcW w:w="20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2025</w:t>
            </w:r>
          </w:p>
        </w:tc>
        <w:tc>
          <w:tcPr>
            <w:tcW w:w="18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2024</w:t>
            </w:r>
          </w:p>
        </w:tc>
        <w:tc>
          <w:tcPr>
            <w:tcW w:w="1320" w:type="dxa"/>
            <w:vAlign w:val="bottom"/>
            <w:tcBorders>
              <w:bottom w:val="single" w:sz="8" w:color="auto"/>
            </w:tcBorders>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 Change</w:t>
            </w: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11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 Change</w:t>
            </w:r>
          </w:p>
        </w:tc>
      </w:tr>
      <w:tr>
        <w:trPr>
          <w:trHeight w:val="223"/>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Americas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369,661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352,618</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4.8 % $</w:t>
            </w:r>
          </w:p>
        </w:tc>
        <w:tc>
          <w:tcPr>
            <w:tcW w:w="13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736,903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700,985</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5.1 %</w:t>
            </w:r>
          </w:p>
        </w:tc>
      </w:tr>
      <w:tr>
        <w:trPr>
          <w:trHeight w:val="230"/>
        </w:trPr>
        <w:tc>
          <w:tcPr>
            <w:tcW w:w="3060" w:type="dxa"/>
            <w:vAlign w:val="bottom"/>
          </w:tcPr>
          <w:p>
            <w:pPr>
              <w:ind w:left="680"/>
              <w:spacing w:after="0"/>
              <w:rPr>
                <w:sz w:val="20"/>
                <w:szCs w:val="20"/>
                <w:color w:val="auto"/>
              </w:rPr>
            </w:pPr>
            <w:r>
              <w:rPr>
                <w:rFonts w:ascii="Times New Roman" w:cs="Times New Roman" w:eastAsia="Times New Roman" w:hAnsi="Times New Roman"/>
                <w:sz w:val="18"/>
                <w:szCs w:val="18"/>
                <w:i w:val="1"/>
                <w:iCs w:val="1"/>
                <w:color w:val="auto"/>
              </w:rPr>
              <w:t>% of revenues</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64.8 %</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64.6 %</w:t>
            </w: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64.7 %</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64.4 %</w:t>
            </w:r>
          </w:p>
        </w:tc>
        <w:tc>
          <w:tcPr>
            <w:tcW w:w="1140" w:type="dxa"/>
            <w:vAlign w:val="bottom"/>
          </w:tcPr>
          <w:p>
            <w:pPr>
              <w:spacing w:after="0"/>
              <w:rPr>
                <w:sz w:val="19"/>
                <w:szCs w:val="19"/>
                <w:color w:val="auto"/>
              </w:rPr>
            </w:pPr>
          </w:p>
        </w:tc>
      </w:tr>
      <w:tr>
        <w:trPr>
          <w:trHeight w:val="229"/>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EMEA</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143,387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139,176</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 $</w:t>
            </w:r>
          </w:p>
        </w:tc>
        <w:tc>
          <w:tcPr>
            <w:tcW w:w="13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287,112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278,737</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r>
      <w:tr>
        <w:trPr>
          <w:trHeight w:val="230"/>
        </w:trPr>
        <w:tc>
          <w:tcPr>
            <w:tcW w:w="3060" w:type="dxa"/>
            <w:vAlign w:val="bottom"/>
          </w:tcPr>
          <w:p>
            <w:pPr>
              <w:ind w:left="680"/>
              <w:spacing w:after="0"/>
              <w:rPr>
                <w:sz w:val="20"/>
                <w:szCs w:val="20"/>
                <w:color w:val="auto"/>
              </w:rPr>
            </w:pPr>
            <w:r>
              <w:rPr>
                <w:rFonts w:ascii="Times New Roman" w:cs="Times New Roman" w:eastAsia="Times New Roman" w:hAnsi="Times New Roman"/>
                <w:sz w:val="18"/>
                <w:szCs w:val="18"/>
                <w:i w:val="1"/>
                <w:iCs w:val="1"/>
                <w:color w:val="auto"/>
              </w:rPr>
              <w:t>% of revenues</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25.1 %</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25.5 %</w:t>
            </w: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25.2 %</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25.6 %</w:t>
            </w:r>
          </w:p>
        </w:tc>
        <w:tc>
          <w:tcPr>
            <w:tcW w:w="1140" w:type="dxa"/>
            <w:vAlign w:val="bottom"/>
          </w:tcPr>
          <w:p>
            <w:pPr>
              <w:spacing w:after="0"/>
              <w:rPr>
                <w:sz w:val="19"/>
                <w:szCs w:val="19"/>
                <w:color w:val="auto"/>
              </w:rPr>
            </w:pPr>
          </w:p>
        </w:tc>
      </w:tr>
      <w:tr>
        <w:trPr>
          <w:trHeight w:val="229"/>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57,612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54,151</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6.4 % $</w:t>
            </w:r>
          </w:p>
        </w:tc>
        <w:tc>
          <w:tcPr>
            <w:tcW w:w="13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115,312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108,439</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6.3 %</w:t>
            </w:r>
          </w:p>
        </w:tc>
      </w:tr>
      <w:tr>
        <w:trPr>
          <w:trHeight w:val="230"/>
        </w:trPr>
        <w:tc>
          <w:tcPr>
            <w:tcW w:w="30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i w:val="1"/>
                <w:iCs w:val="1"/>
                <w:color w:val="auto"/>
              </w:rPr>
              <w:t>% of revenues</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10.1 %</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9.9 %</w:t>
            </w:r>
          </w:p>
        </w:tc>
        <w:tc>
          <w:tcPr>
            <w:tcW w:w="1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10.1 %</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10.0 %</w:t>
            </w:r>
          </w:p>
        </w:tc>
        <w:tc>
          <w:tcPr>
            <w:tcW w:w="1140" w:type="dxa"/>
            <w:vAlign w:val="bottom"/>
            <w:tcBorders>
              <w:bottom w:val="single" w:sz="8" w:color="CCEEFF"/>
            </w:tcBorders>
          </w:tcPr>
          <w:p>
            <w:pPr>
              <w:spacing w:after="0"/>
              <w:rPr>
                <w:sz w:val="19"/>
                <w:szCs w:val="19"/>
                <w:color w:val="auto"/>
              </w:rPr>
            </w:pPr>
          </w:p>
        </w:tc>
      </w:tr>
      <w:tr>
        <w:trPr>
          <w:trHeight w:val="223"/>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570,660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545,945</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1,139,327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1,088,161</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r>
    </w:tbl>
    <w:p>
      <w:pPr>
        <w:spacing w:after="0" w:line="250" w:lineRule="exact"/>
        <w:rPr>
          <w:sz w:val="20"/>
          <w:szCs w:val="20"/>
          <w:color w:val="auto"/>
        </w:rPr>
      </w:pPr>
    </w:p>
    <w:p>
      <w:pPr>
        <w:ind w:right="4420"/>
        <w:spacing w:after="0" w:line="455" w:lineRule="auto"/>
        <w:rPr>
          <w:sz w:val="20"/>
          <w:szCs w:val="20"/>
          <w:color w:val="auto"/>
        </w:rPr>
      </w:pPr>
      <w:r>
        <w:rPr>
          <w:rFonts w:ascii="Times New Roman" w:cs="Times New Roman" w:eastAsia="Times New Roman" w:hAnsi="Times New Roman"/>
          <w:sz w:val="18"/>
          <w:szCs w:val="18"/>
          <w:i w:val="1"/>
          <w:iCs w:val="1"/>
          <w:color w:val="auto"/>
        </w:rPr>
        <w:t>Three months ended February 28, 2025 compared with three months ended February 29, 2024 Americas</w:t>
      </w:r>
    </w:p>
    <w:p>
      <w:pPr>
        <w:jc w:val="both"/>
        <w:spacing w:after="0" w:line="261" w:lineRule="auto"/>
        <w:rPr>
          <w:sz w:val="20"/>
          <w:szCs w:val="20"/>
          <w:color w:val="auto"/>
        </w:rPr>
      </w:pPr>
      <w:r>
        <w:rPr>
          <w:rFonts w:ascii="Times New Roman" w:cs="Times New Roman" w:eastAsia="Times New Roman" w:hAnsi="Times New Roman"/>
          <w:sz w:val="18"/>
          <w:szCs w:val="18"/>
          <w:color w:val="auto"/>
        </w:rPr>
        <w:t>Americas revenues increased 4.8% to $369.7 million during the three months ended February 28, 2025, compared with $352.6 million from the same period a year ago. This 4.8% growth in revenues was driven by a 4.0% increase in organic revenues and a 0.9% increase from acquisition-related revenues, partially offset by a net decrease of 0.1% from foreign currency exchange rate fluctuations. The increase in revenues was driven by workstations, CGS and front office solutions.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EMEA</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EMEA revenues increased 3.0% to $143.4 million during the three months ended February 28, 2025, compared with $139.2 million from the same period a year ago. This 3.0% growth in revenues was driven by a 3.1% increase in organic revenues and a 0.3% increase from acquisition-related revenues, partially offset by a net decrease of 0.4% from foreign currency exchange rate fluctuations. The increase in revenues was mainly from CGS, data solutions and middle office solutions.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Asia Pacific</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Asia Pacific revenues increased 6.4% to $57.6 million during the three months ended February 28, 2025, compared with $54.1 million from the same period a year ago. This growth in revenues was driven by a 6.8% increase in organic revenues and a 0.2% increase from acquisition-related revenues, partially offset by a net decrease of 0.6% from foreign currency exchange rate fluctuations. The increase in revenues was driven by data solutions and workstations.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Six months ended February 28, 2025 compared with six months ended February 29, 2024</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Americas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Revenues from the Americas increased 5.1% to $736.9 million during the six months ended February 28, 2025, compared with $701.0 million from the same period a year ago. This 5.1% growth in revenues was driven by a 4.6% increase in organic revenues and a 0.6% increase from acquisition-related revenues, partially offset by a net decrease of 0.1% from foreign currency exchange rate fluctuations. The increase in revenues was driven by workstations and, to a lesser extent, CGS and front office solutions.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EMEA</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Revenues from EMEA increased 3.0% to $287.1 million during the six months ended February 28, 2025, compared with $278.7 million from the same period a year ago. This 3.0% growth in revenues was driven by a 2.9% increase in organic revenues and a 0.2% increase from acquisition-related revenues, partially offset by a net decrease of 0.1% from foreign currency exchange rate fluctuations. The increase in revenues was mainly from middle office solutions, CGS and data solutions.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Asia Pacific</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Revenues from Asia Pacific increased 6.3% to $115.3 million during the six months ended February 28, 2025, compared with $108.4 million from the same period a year ago. This 6.3% growth in revenues was driven by a 6.5% increase in organic revenues and a 0.1% increase from acquisition-related revenues, partially offset by a 0.3% decrease from foreign currency exchange rate fluctuations. The increase in revenues was driven by data solutions and workstations.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Principal Operating Expenses</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Cost of services </w:t>
      </w:r>
      <w:r>
        <w:rPr>
          <w:rFonts w:ascii="Times New Roman" w:cs="Times New Roman" w:eastAsia="Times New Roman" w:hAnsi="Times New Roman"/>
          <w:sz w:val="18"/>
          <w:szCs w:val="18"/>
          <w:color w:val="auto"/>
        </w:rPr>
        <w:t>is mainly comprised of employee compensation costs and also includes expenses related to data costs, computer-related expenses,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amortization of intangible assets, royalty fees, telecommunication costs and computer depreciation.</w:t>
      </w:r>
    </w:p>
    <w:p>
      <w:pPr>
        <w:spacing w:after="0" w:line="11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Selling, general and administrative ("SG&amp;A") </w:t>
      </w:r>
      <w:r>
        <w:rPr>
          <w:rFonts w:ascii="Times New Roman" w:cs="Times New Roman" w:eastAsia="Times New Roman" w:hAnsi="Times New Roman"/>
          <w:sz w:val="18"/>
          <w:szCs w:val="18"/>
          <w:color w:val="auto"/>
        </w:rPr>
        <w:t>consists primarily of employee compensation costs and also includes expenses related to occupancy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costs, professional fees, depreciation of furniture and fixtures, amortization of leasehold improvements, travel and entertainment expenses, marketing costs, other employee-related expenses, internal communication costs and bad debt expense.</w:t>
      </w:r>
    </w:p>
    <w:p>
      <w:pPr>
        <w:spacing w:after="0" w:line="13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Employee compensation costs are a major component of both our Cost of services and SG&amp;A. These expenses primarily include costs related to salaries, incentive compensation and sales commissions, stock-based compensation, benefits, employment taxes, and any applicable restructuring costs.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assign employee compensation costs between Cost of services and SG&amp;A based on the roles and activities associated with each employee. We categorize employees within the content collection, consulting, product development, software and systems engineering groups as Cost of services personnel. Employees included in our sales department and those that serve in various other support departments, including marketing, finance, legal, human resources and administrative services, are classified as SG&amp;A.</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components of our total operating expenses and operating margin: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20" w:type="dxa"/>
            <w:vAlign w:val="bottom"/>
            <w:gridSpan w:val="3"/>
          </w:tcPr>
          <w:p>
            <w:pPr>
              <w:jc w:val="right"/>
              <w:ind w:right="550"/>
              <w:spacing w:after="0"/>
              <w:rPr>
                <w:sz w:val="20"/>
                <w:szCs w:val="20"/>
                <w:color w:val="auto"/>
              </w:rPr>
            </w:pPr>
            <w:r>
              <w:rPr>
                <w:rFonts w:ascii="Times New Roman" w:cs="Times New Roman" w:eastAsia="Times New Roman" w:hAnsi="Times New Roman"/>
                <w:sz w:val="18"/>
                <w:szCs w:val="18"/>
                <w:color w:val="auto"/>
              </w:rPr>
              <w:t>Three Months Ended</w:t>
            </w: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00" w:type="dxa"/>
            <w:vAlign w:val="bottom"/>
            <w:gridSpan w:val="3"/>
          </w:tcPr>
          <w:p>
            <w:pPr>
              <w:jc w:val="center"/>
              <w:ind w:right="70"/>
              <w:spacing w:after="0"/>
              <w:rPr>
                <w:sz w:val="20"/>
                <w:szCs w:val="20"/>
                <w:color w:val="auto"/>
              </w:rPr>
            </w:pPr>
            <w:r>
              <w:rPr>
                <w:rFonts w:ascii="Times New Roman" w:cs="Times New Roman" w:eastAsia="Times New Roman" w:hAnsi="Times New Roman"/>
                <w:sz w:val="18"/>
                <w:szCs w:val="18"/>
                <w:color w:val="auto"/>
                <w:w w:val="99"/>
              </w:rPr>
              <w:t>Six Months Ended</w:t>
            </w:r>
          </w:p>
        </w:tc>
        <w:tc>
          <w:tcPr>
            <w:tcW w:w="1140" w:type="dxa"/>
            <w:vAlign w:val="bottom"/>
          </w:tcPr>
          <w:p>
            <w:pPr>
              <w:spacing w:after="0"/>
              <w:rPr>
                <w:sz w:val="20"/>
                <w:szCs w:val="20"/>
                <w:color w:val="auto"/>
              </w:rPr>
            </w:pPr>
          </w:p>
        </w:tc>
      </w:tr>
      <w:tr>
        <w:trPr>
          <w:trHeight w:val="270"/>
        </w:trPr>
        <w:tc>
          <w:tcPr>
            <w:tcW w:w="3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February 28,</w:t>
            </w:r>
          </w:p>
        </w:tc>
        <w:tc>
          <w:tcPr>
            <w:tcW w:w="180" w:type="dxa"/>
            <w:vAlign w:val="bottom"/>
          </w:tcPr>
          <w:p>
            <w:pPr>
              <w:spacing w:after="0"/>
              <w:rPr>
                <w:sz w:val="23"/>
                <w:szCs w:val="23"/>
                <w:color w:val="auto"/>
              </w:rPr>
            </w:pPr>
          </w:p>
        </w:tc>
        <w:tc>
          <w:tcPr>
            <w:tcW w:w="12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February 29,</w:t>
            </w:r>
          </w:p>
        </w:tc>
        <w:tc>
          <w:tcPr>
            <w:tcW w:w="1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February 28,</w:t>
            </w:r>
          </w:p>
        </w:tc>
        <w:tc>
          <w:tcPr>
            <w:tcW w:w="200" w:type="dxa"/>
            <w:vAlign w:val="bottom"/>
          </w:tcPr>
          <w:p>
            <w:pPr>
              <w:spacing w:after="0"/>
              <w:rPr>
                <w:sz w:val="23"/>
                <w:szCs w:val="23"/>
                <w:color w:val="auto"/>
              </w:rPr>
            </w:pPr>
          </w:p>
        </w:tc>
        <w:tc>
          <w:tcPr>
            <w:tcW w:w="12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February 29,</w:t>
            </w:r>
          </w:p>
        </w:tc>
        <w:tc>
          <w:tcPr>
            <w:tcW w:w="1140" w:type="dxa"/>
            <w:vAlign w:val="bottom"/>
          </w:tcPr>
          <w:p>
            <w:pPr>
              <w:spacing w:after="0"/>
              <w:rPr>
                <w:sz w:val="23"/>
                <w:szCs w:val="23"/>
                <w:color w:val="auto"/>
              </w:rPr>
            </w:pPr>
          </w:p>
        </w:tc>
      </w:tr>
      <w:tr>
        <w:trPr>
          <w:trHeight w:val="270"/>
        </w:trPr>
        <w:tc>
          <w:tcPr>
            <w:tcW w:w="3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 amounts in thousands)</w:t>
            </w:r>
          </w:p>
        </w:tc>
        <w:tc>
          <w:tcPr>
            <w:tcW w:w="1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2025</w:t>
            </w:r>
          </w:p>
        </w:tc>
        <w:tc>
          <w:tcPr>
            <w:tcW w:w="1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2024</w:t>
            </w:r>
          </w:p>
        </w:tc>
        <w:tc>
          <w:tcPr>
            <w:tcW w:w="1300" w:type="dxa"/>
            <w:vAlign w:val="bottom"/>
            <w:tcBorders>
              <w:bottom w:val="single" w:sz="8" w:color="auto"/>
            </w:tcBorders>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 Change</w:t>
            </w:r>
          </w:p>
        </w:tc>
        <w:tc>
          <w:tcPr>
            <w:tcW w:w="12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11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 Change</w:t>
            </w:r>
          </w:p>
        </w:tc>
      </w:tr>
      <w:tr>
        <w:trPr>
          <w:trHeight w:val="223"/>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269,604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255,142</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5.7 % $</w:t>
            </w: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528,383</w:t>
            </w:r>
          </w:p>
        </w:tc>
        <w:tc>
          <w:tcPr>
            <w:tcW w:w="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506,763</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r>
      <w:tr>
        <w:trPr>
          <w:trHeight w:val="229"/>
        </w:trPr>
        <w:tc>
          <w:tcPr>
            <w:tcW w:w="3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SG&amp;A</w:t>
            </w: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115,564</w:t>
            </w: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108,861</w:t>
            </w:r>
          </w:p>
        </w:tc>
        <w:tc>
          <w:tcPr>
            <w:tcW w:w="1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234,117</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210,416</w:t>
            </w:r>
          </w:p>
        </w:tc>
        <w:tc>
          <w:tcPr>
            <w:tcW w:w="1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11.3 %</w:t>
            </w:r>
          </w:p>
        </w:tc>
      </w:tr>
      <w:tr>
        <w:trPr>
          <w:trHeight w:val="223"/>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385,168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364,003</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762,500</w:t>
            </w:r>
          </w:p>
        </w:tc>
        <w:tc>
          <w:tcPr>
            <w:tcW w:w="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717,179</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6.3 %</w:t>
            </w:r>
          </w:p>
        </w:tc>
      </w:tr>
      <w:tr>
        <w:trPr>
          <w:trHeight w:val="270"/>
        </w:trPr>
        <w:tc>
          <w:tcPr>
            <w:tcW w:w="3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29"/>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185,492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181,942</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 $</w:t>
            </w: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376,827</w:t>
            </w:r>
          </w:p>
        </w:tc>
        <w:tc>
          <w:tcPr>
            <w:tcW w:w="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370,982</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r>
      <w:tr>
        <w:trPr>
          <w:trHeight w:val="236"/>
        </w:trPr>
        <w:tc>
          <w:tcPr>
            <w:tcW w:w="332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Operating margin</w:t>
            </w: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32.5 %</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33.3 %</w:t>
            </w: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33.1 %</w:t>
            </w: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34.1 %</w:t>
            </w:r>
          </w:p>
        </w:tc>
        <w:tc>
          <w:tcPr>
            <w:tcW w:w="1140" w:type="dxa"/>
            <w:vAlign w:val="bottom"/>
          </w:tcPr>
          <w:p>
            <w:pPr>
              <w:spacing w:after="0"/>
              <w:rPr>
                <w:sz w:val="20"/>
                <w:szCs w:val="20"/>
                <w:color w:val="auto"/>
              </w:rPr>
            </w:pPr>
          </w:p>
        </w:tc>
      </w:tr>
    </w:tbl>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Services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February 28, 2025 compared with three months ended February 29, 2024</w:t>
      </w:r>
    </w:p>
    <w:p>
      <w:pPr>
        <w:spacing w:after="0" w:line="18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Cost of services increased 5.7% to $269.6 million for the three months ended February 28, 2025, compared with $255.1 million for the same period a year ago, primarily due to an increase in computer-related expenses and amortization of intangible assets, partially offset by a decrease in employee compensation costs.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 of services, when expressed as a percentage of revenues, was 47.2% for the three months ended February 28, 2025, an increase of 50 basis points compared with the same period a year ago. This increase was primarily due to higher computer-related expenses, amortization of intangible assets and other expenses included in Cost of services, partially offset by a decrease in employee compensation costs.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When expressed as a percentage of revenues:</w:t>
      </w:r>
    </w:p>
    <w:p>
      <w:pPr>
        <w:spacing w:after="0" w:line="185" w:lineRule="exact"/>
        <w:rPr>
          <w:sz w:val="20"/>
          <w:szCs w:val="20"/>
          <w:color w:val="auto"/>
        </w:rPr>
      </w:pPr>
    </w:p>
    <w:p>
      <w:pPr>
        <w:ind w:left="660" w:hanging="328"/>
        <w:spacing w:after="0" w:line="281"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Computer-related expenses increased by 120 basis points, primarily driven by higher spend related to cloud-based hosting services and licensed software arrangements.</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of intangible assets increased by 80 basis points, mainly due to higher amortization from increased capitalized costs related to the development of our internal-use software.</w:t>
      </w:r>
    </w:p>
    <w:p>
      <w:pPr>
        <w:spacing w:after="0" w:line="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compensation costs decreased by 210 basis points, primarily driven by a decrease in restructuring charges, partially offset by an increase in variable compensation costs.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Six months ended February 28, 2025 compared with six months ended February 29, 2024</w:t>
      </w:r>
    </w:p>
    <w:p>
      <w:pPr>
        <w:spacing w:after="0" w:line="20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 of services increased 4.3% to $528.4 million for the six months ended February 28, 2025, compared with $506.8 million in the same period a year ago, primarily due to an increase in amortization of intangible assets and computer-related expenses, partially offset by a decrease in employee compensation costs.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 of services, when expressed as a percentage of revenues, was 46.4% for the six months ended February 28, 2025, a decrease of 20 basis points compared with the same period a year ago. This decrease was primarily driven by lower employee compensation costs, partially offset by an increase in amortization of intangible assets.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When expressed as a percentage of revenues:</w:t>
      </w:r>
    </w:p>
    <w:p>
      <w:pPr>
        <w:spacing w:after="0" w:line="185" w:lineRule="exact"/>
        <w:rPr>
          <w:sz w:val="20"/>
          <w:szCs w:val="20"/>
          <w:color w:val="auto"/>
        </w:rPr>
      </w:pPr>
    </w:p>
    <w:p>
      <w:pPr>
        <w:ind w:left="660" w:hanging="328"/>
        <w:spacing w:after="0" w:line="281"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compensation costs decreased 190 basis points, primarily due to a decrease in restructuring charges, partially offset by an increase in variable compensation costs.</w:t>
      </w:r>
    </w:p>
    <w:p>
      <w:pPr>
        <w:spacing w:after="0" w:line="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of intangible assets increased 100 basis points, mainly due to higher amortization from capitalized costs related to the development of our internal-use software.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February 28, 2025 compared with three months ended February 29, 2024</w:t>
      </w:r>
    </w:p>
    <w:p>
      <w:pPr>
        <w:spacing w:after="0" w:line="18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SG&amp;A increased 6.2% to $115.6 million for the three months ended February 28, 2025, compared with $108.9 million in the same period a year ago, primarily driven by higher professional fees.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SG&amp;A, when expressed as a percentage of revenues, was 20.3% for the three months ended February 28, 2025, an increase of 30 basis points compared with the same period a year ago. This increase was primarily driven by higher professional fees, partially offset by a decrease in bad debt expense.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When expressed as a percentage of revenues:</w:t>
      </w:r>
    </w:p>
    <w:p>
      <w:pPr>
        <w:spacing w:after="0" w:line="198"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Professional fees increased by 140 basis points, mainly due to acquisition-related costs.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Bad debt expense decreased by 50 basis points, primarily due to improved client collections.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Six months ended February 28, 2025 compared with six months ended February 29, 2024</w:t>
      </w:r>
    </w:p>
    <w:p>
      <w:pPr>
        <w:spacing w:after="0" w:line="18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SG&amp;A expenses increased 11.3% to $234.1 million for the six months ended February 28, 2025, compared with $210.4 million for the same period a year ago, primarily driven by higher professional fees and employee compensation costs.</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SG&amp;A expenses, when expressed as a percentage of revenues, were 20.5% for the six months ended February 28, 2025, an increase of 120 basis points compared with the same period a year ago. This increase was primarily due to higher professional fees and employee compensation costs.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When expressed as a percentage of revenues:</w:t>
      </w:r>
    </w:p>
    <w:p>
      <w:pPr>
        <w:spacing w:after="0" w:line="198"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Professional fees increased by 110 basis points, mainly due to acquisition-related costs.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compensation costs increased by 40 basis points, mainly due to an increase in variable compensation costs.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 and Operating Margin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February 28, 2025 compared with three months ended February 29, 2024</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Operating income increased 2.0% to $185.5 million for the three months ended February 28, 2025, compared with $181.9 million in the prior year period. This increase was primarily driven by growth in revenues, partially offset by an increase in professional fees, computer-related expenses and amortization of intangible assets. Based on the operating income for the three months ended February 28, 2025, comparing the average foreign currency exchange rates for the three months ended February 28, 2025 to the rates for the three months ended February 29, 2024, net of hedge activity, resulted in an increase in operating income of $1.3 million.</w:t>
      </w:r>
    </w:p>
    <w:p>
      <w:pPr>
        <w:spacing w:after="0" w:line="1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margin decreased to 32.5% during the three months ended February 28, 2025, compared with 33.3% in the prior year period. When expenses are expressed as a percentage of revenues, this decrease in operating margin was mainly due to higher professional fees and computer-related expenses, partially offset by growth in revenues and a decrease in employee compensation costs.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Six months ended February 28, 2025 compared with six months ended February 29, 2024</w:t>
      </w:r>
    </w:p>
    <w:p>
      <w:pPr>
        <w:spacing w:after="0" w:line="14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Operating income increased 1.6% to $376.8 million for the six months ended February 28, 2025, compared with $371.0 million in the prior year period. This increase was primarily due to growth in revenues, partially offset by higher amortization of intangible assets, professional fees and computer-related expenses. Based on the operating income for the six months ended February 28, 2025, comparing the average foreign currency exchange rates for the six months ended February 28, 2025 to the rates for the six months ended February 29, 2024, net of hedge activity, resulted in an increase in operating income of $0.2 million.</w:t>
      </w:r>
    </w:p>
    <w:p>
      <w:pPr>
        <w:spacing w:after="0" w:line="1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margin decreased to 33.1% for the six months ended February 28, 2025, compared with 34.1% in the prior year period. When expenses are expressed as a percentage of revenues, this decrease was primarily due to an increase in professional fees and amortization of intangible assets, partially offset by growth in revenues and a decrease in employee compensation costs.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 by Segment</w:t>
      </w:r>
    </w:p>
    <w:p>
      <w:pPr>
        <w:spacing w:after="0" w:line="20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We operate our business through three segments: the Americas; EMEA; and Asia Pacific. Refer to Note 16, </w:t>
      </w:r>
      <w:r>
        <w:rPr>
          <w:rFonts w:ascii="Times New Roman" w:cs="Times New Roman" w:eastAsia="Times New Roman" w:hAnsi="Times New Roman"/>
          <w:sz w:val="18"/>
          <w:szCs w:val="18"/>
          <w:i w:val="1"/>
          <w:iCs w:val="1"/>
          <w:color w:val="auto"/>
        </w:rPr>
        <w:t>Segment Information</w:t>
      </w:r>
      <w:r>
        <w:rPr>
          <w:rFonts w:ascii="Times New Roman" w:cs="Times New Roman" w:eastAsia="Times New Roman" w:hAnsi="Times New Roman"/>
          <w:sz w:val="18"/>
          <w:szCs w:val="18"/>
          <w:color w:val="auto"/>
        </w:rPr>
        <w:t xml:space="preserve"> in the Notes to the Consolidated Financial Statements included in Part I, Item 1. of this Quarterly Report on Form 10-Q for further discussion regarding our segments. The following table summarizes our operating income by segment:</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07"/>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831"/>
        </w:trPr>
        <w:tc>
          <w:tcPr>
            <w:tcW w:w="1280" w:type="dxa"/>
            <w:vAlign w:val="bottom"/>
            <w:tcBorders>
              <w:top w:val="single" w:sz="8" w:color="0000FF"/>
            </w:tcBorders>
          </w:tcPr>
          <w:p>
            <w:pPr>
              <w:spacing w:after="0"/>
              <w:rPr>
                <w:sz w:val="24"/>
                <w:szCs w:val="24"/>
                <w:color w:val="auto"/>
              </w:rPr>
            </w:pPr>
          </w:p>
        </w:tc>
        <w:tc>
          <w:tcPr>
            <w:tcW w:w="2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80" w:type="dxa"/>
            <w:vAlign w:val="bottom"/>
            <w:gridSpan w:val="3"/>
          </w:tcPr>
          <w:p>
            <w:pPr>
              <w:jc w:val="right"/>
              <w:ind w:right="410"/>
              <w:spacing w:after="0"/>
              <w:rPr>
                <w:sz w:val="20"/>
                <w:szCs w:val="20"/>
                <w:color w:val="auto"/>
              </w:rPr>
            </w:pPr>
            <w:r>
              <w:rPr>
                <w:rFonts w:ascii="Times New Roman" w:cs="Times New Roman" w:eastAsia="Times New Roman" w:hAnsi="Times New Roman"/>
                <w:sz w:val="18"/>
                <w:szCs w:val="18"/>
                <w:color w:val="auto"/>
              </w:rPr>
              <w:t>Three Months Ended</w:t>
            </w: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60" w:type="dxa"/>
            <w:vAlign w:val="bottom"/>
            <w:gridSpan w:val="3"/>
          </w:tcPr>
          <w:p>
            <w:pPr>
              <w:jc w:val="right"/>
              <w:ind w:right="550"/>
              <w:spacing w:after="0"/>
              <w:rPr>
                <w:sz w:val="20"/>
                <w:szCs w:val="20"/>
                <w:color w:val="auto"/>
              </w:rPr>
            </w:pPr>
            <w:r>
              <w:rPr>
                <w:rFonts w:ascii="Times New Roman" w:cs="Times New Roman" w:eastAsia="Times New Roman" w:hAnsi="Times New Roman"/>
                <w:sz w:val="18"/>
                <w:szCs w:val="18"/>
                <w:color w:val="auto"/>
              </w:rPr>
              <w:t>Six Months Ended</w:t>
            </w:r>
          </w:p>
        </w:tc>
        <w:tc>
          <w:tcPr>
            <w:tcW w:w="1180" w:type="dxa"/>
            <w:vAlign w:val="bottom"/>
          </w:tcPr>
          <w:p>
            <w:pPr>
              <w:spacing w:after="0"/>
              <w:rPr>
                <w:sz w:val="24"/>
                <w:szCs w:val="24"/>
                <w:color w:val="auto"/>
              </w:rPr>
            </w:pPr>
          </w:p>
        </w:tc>
      </w:tr>
      <w:tr>
        <w:trPr>
          <w:trHeight w:val="270"/>
        </w:trPr>
        <w:tc>
          <w:tcPr>
            <w:tcW w:w="128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February 28,</w:t>
            </w:r>
          </w:p>
        </w:tc>
        <w:tc>
          <w:tcPr>
            <w:tcW w:w="160" w:type="dxa"/>
            <w:vAlign w:val="bottom"/>
          </w:tcPr>
          <w:p>
            <w:pPr>
              <w:spacing w:after="0"/>
              <w:rPr>
                <w:sz w:val="23"/>
                <w:szCs w:val="23"/>
                <w:color w:val="auto"/>
              </w:rPr>
            </w:pPr>
          </w:p>
        </w:tc>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February 29,</w:t>
            </w:r>
          </w:p>
        </w:tc>
        <w:tc>
          <w:tcPr>
            <w:tcW w:w="1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February 28,</w:t>
            </w:r>
          </w:p>
        </w:tc>
        <w:tc>
          <w:tcPr>
            <w:tcW w:w="180" w:type="dxa"/>
            <w:vAlign w:val="bottom"/>
          </w:tcPr>
          <w:p>
            <w:pPr>
              <w:spacing w:after="0"/>
              <w:rPr>
                <w:sz w:val="23"/>
                <w:szCs w:val="23"/>
                <w:color w:val="auto"/>
              </w:rPr>
            </w:pPr>
          </w:p>
        </w:tc>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February 29,</w:t>
            </w:r>
          </w:p>
        </w:tc>
        <w:tc>
          <w:tcPr>
            <w:tcW w:w="1180" w:type="dxa"/>
            <w:vAlign w:val="bottom"/>
          </w:tcPr>
          <w:p>
            <w:pPr>
              <w:spacing w:after="0"/>
              <w:rPr>
                <w:sz w:val="23"/>
                <w:szCs w:val="23"/>
                <w:color w:val="auto"/>
              </w:rPr>
            </w:pPr>
          </w:p>
        </w:tc>
      </w:tr>
      <w:tr>
        <w:trPr>
          <w:trHeight w:val="270"/>
        </w:trPr>
        <w:tc>
          <w:tcPr>
            <w:tcW w:w="37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(dollar amounts in thousands)</w:t>
            </w:r>
          </w:p>
        </w:tc>
        <w:tc>
          <w:tcPr>
            <w:tcW w:w="1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2024</w:t>
            </w:r>
          </w:p>
        </w:tc>
        <w:tc>
          <w:tcPr>
            <w:tcW w:w="11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 Change</w:t>
            </w:r>
          </w:p>
        </w:tc>
        <w:tc>
          <w:tcPr>
            <w:tcW w:w="1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2025</w:t>
            </w:r>
          </w:p>
        </w:tc>
        <w:tc>
          <w:tcPr>
            <w:tcW w:w="18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2024</w:t>
            </w:r>
          </w:p>
        </w:tc>
        <w:tc>
          <w:tcPr>
            <w:tcW w:w="11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 Change</w:t>
            </w:r>
          </w:p>
        </w:tc>
      </w:tr>
      <w:tr>
        <w:trPr>
          <w:trHeight w:val="223"/>
        </w:trPr>
        <w:tc>
          <w:tcPr>
            <w:tcW w:w="3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Americas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73,127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81,711</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154,925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162,559</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29"/>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EMEA</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70,568</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62,839</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12.3 %</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139,606</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131,704</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6.0 %</w:t>
            </w:r>
          </w:p>
        </w:tc>
      </w:tr>
      <w:tr>
        <w:trPr>
          <w:trHeight w:val="230"/>
        </w:trPr>
        <w:tc>
          <w:tcPr>
            <w:tcW w:w="3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41,797</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37,392</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11.8 %</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82,296</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76,719</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7.3 %</w:t>
            </w:r>
          </w:p>
        </w:tc>
      </w:tr>
      <w:tr>
        <w:trPr>
          <w:trHeight w:val="228"/>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Operating Income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185,492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181,942</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376,827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370,982</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r>
    </w:tbl>
    <w:p>
      <w:pPr>
        <w:spacing w:after="0" w:line="245" w:lineRule="exact"/>
        <w:rPr>
          <w:sz w:val="20"/>
          <w:szCs w:val="20"/>
          <w:color w:val="auto"/>
        </w:rPr>
      </w:pPr>
    </w:p>
    <w:p>
      <w:pPr>
        <w:ind w:right="4420"/>
        <w:spacing w:after="0" w:line="363" w:lineRule="auto"/>
        <w:rPr>
          <w:sz w:val="20"/>
          <w:szCs w:val="20"/>
          <w:color w:val="auto"/>
        </w:rPr>
      </w:pPr>
      <w:r>
        <w:rPr>
          <w:rFonts w:ascii="Times New Roman" w:cs="Times New Roman" w:eastAsia="Times New Roman" w:hAnsi="Times New Roman"/>
          <w:sz w:val="18"/>
          <w:szCs w:val="18"/>
          <w:i w:val="1"/>
          <w:iCs w:val="1"/>
          <w:color w:val="auto"/>
        </w:rPr>
        <w:t>Three months ended February 28, 2025 compared with three months ended February 29, 2024 Americas</w:t>
      </w:r>
    </w:p>
    <w:p>
      <w:pPr>
        <w:spacing w:after="0" w:line="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Americas operating income decreased 10.5% to $73.1 million during the three months ended February 28, 2025, compared with $81.7 million in the same period a year ago. This decrease was primarily due to higher professional fees, computer-related expenses and amortization of intangible assets, partially offset by growth in revenues of 4.8%.</w:t>
      </w:r>
    </w:p>
    <w:p>
      <w:pPr>
        <w:spacing w:after="0" w:line="159"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Professional fees increased mainly due to acquisition-related costs.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Computer-related expenses increased primarily due to higher spend related to cloud-based hosting services and licensed software arrangements.</w:t>
      </w:r>
    </w:p>
    <w:p>
      <w:pPr>
        <w:spacing w:after="0" w:line="6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of intangible assets increased mainly due to higher amortization from capitalized costs related to the development of our internal-use software.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EMEA</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EMEA operating income increased 12.3% to $70.6 million during the three months ended February 28, 2025, compared with $62.8 million in the same period a year ago. This increase was primarily due to growth in revenues of 3.0% and lower employee compensation costs mainly due to a decrease in restructuring charges.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Asia Pacific</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Asia Pacific operating income increased 11.8% to $41.8 million during the three months ended February 28, 2025, compared with $37.4 million in the same period a year ago. This increase was mainly due to growth in revenues of 6.4%, partially offset by an increase in employee compensation costs primarily due to higher variable compensation costs and annual base salaries. The increase in annual base salaries was primarily driven by annual merit increases and a net headcount increase of 162 employees.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Six months ended February 28, 2025 compared with six months ended February 29, 2024</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Americas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Americas operating income decreased 4.7% to $154.9 million during the six months ended February 28, 2025, compared with $162.6 million in the same period a year ago. This decrease was primarily due to higher amortization of intangible assets, professional fees and computer-related expenses, partially offset by growth in revenues of 5.1%.</w:t>
      </w:r>
    </w:p>
    <w:p>
      <w:pPr>
        <w:spacing w:after="0" w:line="135" w:lineRule="exact"/>
        <w:rPr>
          <w:sz w:val="20"/>
          <w:szCs w:val="20"/>
          <w:color w:val="auto"/>
        </w:rPr>
      </w:pPr>
    </w:p>
    <w:p>
      <w:pPr>
        <w:ind w:left="660" w:hanging="328"/>
        <w:spacing w:after="0" w:line="281"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of intangible assets increased mainly due to higher amortization from capitalized costs related to the development of our internal-use software.</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Professional fees increased mainly due acquisition-related costs.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Computer-related expenses increased primarily due to higher spend related to licensed software arrangements and cloud-based hosting services.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EMEA</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EMEA operating income increased 6.0% to $139.6 million during the six months ended February 28, 2025, compared with $131.7 million in the same period a year ago. This increase was primarily due to growth in revenues of 3.0% and a decrease in employee compensation expense. Employee compensation costs decreased primarily due to lower variable compensation costs and payroll taxes, partially offset by an increase in annual base salaries driven by annual merit increases and a net headcount increase of 44 employees.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Asia Pacific</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Asia Pacific operating income increased 7.3% to $82.3 million during the six months ended February 28, 2025, compared with $76.7 million in the same period a year ago. This increase was mainly due to growth in revenues of 6.3%, partially offset by higher employee compensation costs. Employee compensation costs increased primarily due to higher annual base salaries driven by annual merit increases and a net headcount increase of 162 employees.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provision for income taxes and the effective tax rate are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0" w:type="dxa"/>
            <w:vAlign w:val="bottom"/>
            <w:gridSpan w:val="3"/>
          </w:tcPr>
          <w:p>
            <w:pPr>
              <w:jc w:val="right"/>
              <w:ind w:right="690"/>
              <w:spacing w:after="0"/>
              <w:rPr>
                <w:sz w:val="20"/>
                <w:szCs w:val="20"/>
                <w:color w:val="auto"/>
              </w:rPr>
            </w:pPr>
            <w:r>
              <w:rPr>
                <w:rFonts w:ascii="Times New Roman" w:cs="Times New Roman" w:eastAsia="Times New Roman" w:hAnsi="Times New Roman"/>
                <w:sz w:val="18"/>
                <w:szCs w:val="18"/>
                <w:color w:val="auto"/>
              </w:rPr>
              <w:t>Three Months Ended</w:t>
            </w:r>
          </w:p>
        </w:tc>
        <w:tc>
          <w:tcPr>
            <w:tcW w:w="1280" w:type="dxa"/>
            <w:vAlign w:val="bottom"/>
          </w:tcPr>
          <w:p>
            <w:pPr>
              <w:spacing w:after="0"/>
              <w:rPr>
                <w:sz w:val="19"/>
                <w:szCs w:val="19"/>
                <w:color w:val="auto"/>
              </w:rPr>
            </w:pPr>
          </w:p>
        </w:tc>
        <w:tc>
          <w:tcPr>
            <w:tcW w:w="2820" w:type="dxa"/>
            <w:vAlign w:val="bottom"/>
            <w:gridSpan w:val="3"/>
          </w:tcPr>
          <w:p>
            <w:pPr>
              <w:jc w:val="right"/>
              <w:ind w:right="790"/>
              <w:spacing w:after="0"/>
              <w:rPr>
                <w:sz w:val="20"/>
                <w:szCs w:val="20"/>
                <w:color w:val="auto"/>
              </w:rPr>
            </w:pPr>
            <w:r>
              <w:rPr>
                <w:rFonts w:ascii="Times New Roman" w:cs="Times New Roman" w:eastAsia="Times New Roman" w:hAnsi="Times New Roman"/>
                <w:sz w:val="18"/>
                <w:szCs w:val="18"/>
                <w:color w:val="auto"/>
              </w:rPr>
              <w:t>Six Months Ended</w:t>
            </w: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(dollar amounts in thousands)</w:t>
            </w:r>
          </w:p>
        </w:tc>
        <w:tc>
          <w:tcPr>
            <w:tcW w:w="600" w:type="dxa"/>
            <w:vAlign w:val="bottom"/>
          </w:tcPr>
          <w:p>
            <w:pPr>
              <w:spacing w:after="0"/>
              <w:rPr>
                <w:sz w:val="19"/>
                <w:szCs w:val="19"/>
                <w:color w:val="auto"/>
              </w:rPr>
            </w:pPr>
          </w:p>
        </w:tc>
        <w:tc>
          <w:tcPr>
            <w:tcW w:w="12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February 28,</w:t>
            </w:r>
          </w:p>
        </w:tc>
        <w:tc>
          <w:tcPr>
            <w:tcW w:w="180" w:type="dxa"/>
            <w:vAlign w:val="bottom"/>
          </w:tcPr>
          <w:p>
            <w:pPr>
              <w:spacing w:after="0"/>
              <w:rPr>
                <w:sz w:val="19"/>
                <w:szCs w:val="19"/>
                <w:color w:val="auto"/>
              </w:rPr>
            </w:pPr>
          </w:p>
        </w:tc>
        <w:tc>
          <w:tcPr>
            <w:tcW w:w="13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February 29,</w:t>
            </w:r>
          </w:p>
        </w:tc>
        <w:tc>
          <w:tcPr>
            <w:tcW w:w="1280" w:type="dxa"/>
            <w:vAlign w:val="bottom"/>
          </w:tcPr>
          <w:p>
            <w:pPr>
              <w:spacing w:after="0"/>
              <w:rPr>
                <w:sz w:val="19"/>
                <w:szCs w:val="19"/>
                <w:color w:val="auto"/>
              </w:rPr>
            </w:pPr>
          </w:p>
        </w:tc>
        <w:tc>
          <w:tcPr>
            <w:tcW w:w="12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February 28,</w:t>
            </w:r>
          </w:p>
        </w:tc>
        <w:tc>
          <w:tcPr>
            <w:tcW w:w="200" w:type="dxa"/>
            <w:vAlign w:val="bottom"/>
          </w:tcPr>
          <w:p>
            <w:pPr>
              <w:spacing w:after="0"/>
              <w:rPr>
                <w:sz w:val="19"/>
                <w:szCs w:val="19"/>
                <w:color w:val="auto"/>
              </w:rPr>
            </w:pPr>
          </w:p>
        </w:tc>
        <w:tc>
          <w:tcPr>
            <w:tcW w:w="13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February 29,</w:t>
            </w: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660" w:type="dxa"/>
            <w:vAlign w:val="bottom"/>
            <w:tcBorders>
              <w:bottom w:val="single" w:sz="8" w:color="auto"/>
            </w:tcBorders>
            <w:vMerge w:val="continue"/>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2024</w:t>
            </w:r>
          </w:p>
        </w:tc>
        <w:tc>
          <w:tcPr>
            <w:tcW w:w="12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 Change</w:t>
            </w:r>
          </w:p>
        </w:tc>
        <w:tc>
          <w:tcPr>
            <w:tcW w:w="12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2024</w:t>
            </w:r>
          </w:p>
        </w:tc>
        <w:tc>
          <w:tcPr>
            <w:tcW w:w="10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 Change</w:t>
            </w:r>
          </w:p>
        </w:tc>
        <w:tc>
          <w:tcPr>
            <w:tcW w:w="0" w:type="dxa"/>
            <w:vAlign w:val="bottom"/>
          </w:tcPr>
          <w:p>
            <w:pPr>
              <w:spacing w:after="0"/>
              <w:rPr>
                <w:sz w:val="1"/>
                <w:szCs w:val="1"/>
                <w:color w:val="auto"/>
              </w:rPr>
            </w:pPr>
          </w:p>
        </w:tc>
      </w:tr>
      <w:tr>
        <w:trPr>
          <w:trHeight w:val="223"/>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172,320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168,645</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 $</w:t>
            </w: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352,059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343,841</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0" w:type="dxa"/>
            <w:vAlign w:val="bottom"/>
          </w:tcPr>
          <w:p>
            <w:pPr>
              <w:spacing w:after="0"/>
              <w:rPr>
                <w:sz w:val="1"/>
                <w:szCs w:val="1"/>
                <w:color w:val="auto"/>
              </w:rPr>
            </w:pPr>
          </w:p>
        </w:tc>
      </w:tr>
      <w:tr>
        <w:trPr>
          <w:trHeight w:val="230"/>
        </w:trPr>
        <w:tc>
          <w:tcPr>
            <w:tcW w:w="2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27,460</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27,705</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12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57,177</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54,346</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0" w:type="dxa"/>
            <w:vAlign w:val="bottom"/>
          </w:tcPr>
          <w:p>
            <w:pPr>
              <w:spacing w:after="0"/>
              <w:rPr>
                <w:sz w:val="1"/>
                <w:szCs w:val="1"/>
                <w:color w:val="auto"/>
              </w:rPr>
            </w:pPr>
          </w:p>
        </w:tc>
      </w:tr>
      <w:tr>
        <w:trPr>
          <w:trHeight w:val="223"/>
        </w:trPr>
        <w:tc>
          <w:tcPr>
            <w:tcW w:w="26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Effective tax rate</w:t>
            </w:r>
          </w:p>
        </w:tc>
        <w:tc>
          <w:tcPr>
            <w:tcW w:w="6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15.9 %</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16.4 %</w:t>
            </w:r>
          </w:p>
        </w:tc>
        <w:tc>
          <w:tcPr>
            <w:tcW w:w="1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16.2 %</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15.8 %</w:t>
            </w: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subject to taxation in the United States ("U.S.") and various foreign jurisdictions in which we conduct our business.</w:t>
      </w:r>
    </w:p>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provision for income taxes for interim periods is calculated by applying an estimate of our annual effective tax rate to our quarter and year-to-date results, adjusted for discrete items recorded in the period. The computation of the annual estimated effective tax rate at each interim period requires certain estimates and assumptions including, but not limited to, the expected pretax income (or loss) for the year, projections of the proportion of income (or loss) earned and taxed in foreign jurisdictions, permanent and temporary differences and the likelihood of recovering deferred tax assets, then adjusted for any discrete items. On a quarterly basis, we update the estimate of our annual effective tax rate as new events occur, assumptions change, or additional information is obtained.</w:t>
      </w:r>
    </w:p>
    <w:p>
      <w:pPr>
        <w:spacing w:after="0" w:line="14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effective tax rate for the three months ended February 28, 2025 was 15.9%, compared with 16.4% for the three months ended February 29, 2024. This decrease was primarily due to lower U.S. tax on foreign earnings, partially offset by certain discrete items, mainly lower excess tax benefits related to stock-based compensation.</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effective tax rate for the six months ended February 28, 2025 was 16.2%, compared with 15.8% for the six months ended February 29, 2024. This increase was primarily due to lower excess tax benefits related to stock-based compensation, partially offset by lower U.S. tax on foreign earnings.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periods presented, our effective tax rates were lower than the applicable U.S. corporate income tax rate. This was primarily attributable to excess tax benefits from stock-based compensation, foreign tax credits, research and development ("R&amp;D") tax credits and a foreign derived intangible income ("FDII") deduction, partially offset by our state income taxes.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07"/>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7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6"/>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Income and Diluted EPS</w:t>
            </w:r>
          </w:p>
        </w:tc>
        <w:tc>
          <w:tcPr>
            <w:tcW w:w="7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12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380" w:type="dxa"/>
            <w:vAlign w:val="bottom"/>
            <w:gridSpan w:val="3"/>
          </w:tcPr>
          <w:p>
            <w:pPr>
              <w:jc w:val="right"/>
              <w:ind w:right="430"/>
              <w:spacing w:after="0"/>
              <w:rPr>
                <w:sz w:val="20"/>
                <w:szCs w:val="20"/>
                <w:color w:val="auto"/>
              </w:rPr>
            </w:pPr>
            <w:r>
              <w:rPr>
                <w:rFonts w:ascii="Times New Roman" w:cs="Times New Roman" w:eastAsia="Times New Roman" w:hAnsi="Times New Roman"/>
                <w:sz w:val="18"/>
                <w:szCs w:val="18"/>
                <w:color w:val="auto"/>
              </w:rPr>
              <w:t>Three Months Ended</w:t>
            </w:r>
          </w:p>
        </w:tc>
        <w:tc>
          <w:tcPr>
            <w:tcW w:w="1140" w:type="dxa"/>
            <w:vAlign w:val="bottom"/>
          </w:tcPr>
          <w:p>
            <w:pPr>
              <w:spacing w:after="0"/>
              <w:rPr>
                <w:sz w:val="24"/>
                <w:szCs w:val="24"/>
                <w:color w:val="auto"/>
              </w:rPr>
            </w:pPr>
          </w:p>
        </w:tc>
        <w:tc>
          <w:tcPr>
            <w:tcW w:w="2380" w:type="dxa"/>
            <w:vAlign w:val="bottom"/>
            <w:gridSpan w:val="3"/>
          </w:tcPr>
          <w:p>
            <w:pPr>
              <w:jc w:val="right"/>
              <w:ind w:right="510"/>
              <w:spacing w:after="0"/>
              <w:rPr>
                <w:sz w:val="20"/>
                <w:szCs w:val="20"/>
                <w:color w:val="auto"/>
              </w:rPr>
            </w:pPr>
            <w:r>
              <w:rPr>
                <w:rFonts w:ascii="Times New Roman" w:cs="Times New Roman" w:eastAsia="Times New Roman" w:hAnsi="Times New Roman"/>
                <w:sz w:val="18"/>
                <w:szCs w:val="18"/>
                <w:color w:val="auto"/>
              </w:rPr>
              <w:t>Six Months Ended</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per share data)</w:t>
            </w:r>
          </w:p>
        </w:tc>
        <w:tc>
          <w:tcPr>
            <w:tcW w:w="700" w:type="dxa"/>
            <w:vAlign w:val="bottom"/>
          </w:tcPr>
          <w:p>
            <w:pPr>
              <w:spacing w:after="0"/>
              <w:rPr>
                <w:sz w:val="19"/>
                <w:szCs w:val="19"/>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February 28,</w:t>
            </w:r>
          </w:p>
        </w:tc>
        <w:tc>
          <w:tcPr>
            <w:tcW w:w="160" w:type="dxa"/>
            <w:vAlign w:val="bottom"/>
          </w:tcPr>
          <w:p>
            <w:pPr>
              <w:spacing w:after="0"/>
              <w:rPr>
                <w:sz w:val="19"/>
                <w:szCs w:val="19"/>
                <w:color w:val="auto"/>
              </w:rPr>
            </w:pPr>
          </w:p>
        </w:tc>
        <w:tc>
          <w:tcPr>
            <w:tcW w:w="11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9"/>
              </w:rPr>
              <w:t>February 29,</w:t>
            </w:r>
          </w:p>
        </w:tc>
        <w:tc>
          <w:tcPr>
            <w:tcW w:w="1140" w:type="dxa"/>
            <w:vAlign w:val="bottom"/>
          </w:tcPr>
          <w:p>
            <w:pPr>
              <w:spacing w:after="0"/>
              <w:rPr>
                <w:sz w:val="19"/>
                <w:szCs w:val="19"/>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February 28,</w:t>
            </w:r>
          </w:p>
        </w:tc>
        <w:tc>
          <w:tcPr>
            <w:tcW w:w="160" w:type="dxa"/>
            <w:vAlign w:val="bottom"/>
          </w:tcPr>
          <w:p>
            <w:pPr>
              <w:spacing w:after="0"/>
              <w:rPr>
                <w:sz w:val="19"/>
                <w:szCs w:val="19"/>
                <w:color w:val="auto"/>
              </w:rPr>
            </w:pPr>
          </w:p>
        </w:tc>
        <w:tc>
          <w:tcPr>
            <w:tcW w:w="11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9"/>
              </w:rPr>
              <w:t>February 29,</w:t>
            </w: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640" w:type="dxa"/>
            <w:vAlign w:val="bottom"/>
            <w:tcBorders>
              <w:bottom w:val="single" w:sz="8" w:color="auto"/>
            </w:tcBorders>
            <w:gridSpan w:val="2"/>
            <w:vMerge w:val="continue"/>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w:t>
            </w:r>
          </w:p>
        </w:tc>
        <w:tc>
          <w:tcPr>
            <w:tcW w:w="11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 Change</w:t>
            </w:r>
          </w:p>
        </w:tc>
        <w:tc>
          <w:tcPr>
            <w:tcW w:w="10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w:t>
            </w:r>
          </w:p>
        </w:tc>
        <w:tc>
          <w:tcPr>
            <w:tcW w:w="1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 Change</w:t>
            </w:r>
          </w:p>
        </w:tc>
        <w:tc>
          <w:tcPr>
            <w:tcW w:w="0" w:type="dxa"/>
            <w:vAlign w:val="bottom"/>
          </w:tcPr>
          <w:p>
            <w:pPr>
              <w:spacing w:after="0"/>
              <w:rPr>
                <w:sz w:val="1"/>
                <w:szCs w:val="1"/>
                <w:color w:val="auto"/>
              </w:rPr>
            </w:pPr>
          </w:p>
        </w:tc>
      </w:tr>
      <w:tr>
        <w:trPr>
          <w:trHeight w:val="223"/>
        </w:trPr>
        <w:tc>
          <w:tcPr>
            <w:tcW w:w="3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144,860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140,940</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 $</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294,882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289,495</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230"/>
        </w:trPr>
        <w:tc>
          <w:tcPr>
            <w:tcW w:w="3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Diluted weighted average common shares</w:t>
            </w:r>
          </w:p>
        </w:tc>
        <w:tc>
          <w:tcPr>
            <w:tcW w:w="7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38,510</w:t>
            </w:r>
          </w:p>
        </w:tc>
        <w:tc>
          <w:tcPr>
            <w:tcW w:w="160" w:type="dxa"/>
            <w:vAlign w:val="bottom"/>
          </w:tcPr>
          <w:p>
            <w:pPr>
              <w:spacing w:after="0"/>
              <w:rPr>
                <w:sz w:val="19"/>
                <w:szCs w:val="19"/>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38,650</w:t>
            </w: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(0.4)%</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38,513</w:t>
            </w:r>
          </w:p>
        </w:tc>
        <w:tc>
          <w:tcPr>
            <w:tcW w:w="16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38,646</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29"/>
        </w:trPr>
        <w:tc>
          <w:tcPr>
            <w:tcW w:w="3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EPS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3.65</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 $</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7.49</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increase in Net income and Diluted EPS for the three and six months ended February 28, 2025, compared to the respective prior year period, was primarily driven by higher operating income.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Non-GAAP Financial Measures</w:t>
      </w:r>
    </w:p>
    <w:p>
      <w:pPr>
        <w:spacing w:after="0" w:line="1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 supplement the financial measures prepared in accordance with generally accepted accounting principles in the United States ("GAAP"), we use non-GAAP financial measures including organic revenues, adjusted operating income, adjusted operating margin, adjusted net income, EBITDA, adjusted EBITDA and adjusted Diluted EPS. The reconciliations from our financial measures calculated and presented in accordance with GAAP to these non-GAAP financial measures are shown in the tables below. These non-GAAP financial measures should not be considered in isolation from, as a substitute for, or superior to, financial measures reported in accordance with GAAP. Moreover, these non-GAAP financial measures have limitations in that they do not reflect all the items associated with the operations of our business as determined in accordance with GAAP. Other companies may calculate similarly titled non-GAAP financial measures differently than we do, limiting the usefulness of those measures for comparative purposes.</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Despite the limitations of these non-GAAP financial measures, we believe these adjusted financial measures and the information they provide are useful in viewing our performance using the same tools that management uses to gauge progress in achieving our goals. Adjusted measures may also facilitate comparisons to our historical performance.</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Organic revenues excludes the current year impact of revenues from acquisitions and dispositions completed within the past 12 months ("Acquisition revenues" and "Disposition revenues", respectively) and the current year impact from changes in foreign currency. In addition, for year to date comparisons, organic revenues excludes current year revenues that were incurred prior to the first anniversary date of an acquisition. The table below provides an unaudited reconciliation of revenues to organic revenues: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40" w:type="dxa"/>
            <w:vAlign w:val="bottom"/>
            <w:gridSpan w:val="3"/>
          </w:tcPr>
          <w:p>
            <w:pPr>
              <w:jc w:val="right"/>
              <w:ind w:right="390"/>
              <w:spacing w:after="0"/>
              <w:rPr>
                <w:sz w:val="20"/>
                <w:szCs w:val="20"/>
                <w:color w:val="auto"/>
              </w:rPr>
            </w:pPr>
            <w:r>
              <w:rPr>
                <w:rFonts w:ascii="Times New Roman" w:cs="Times New Roman" w:eastAsia="Times New Roman" w:hAnsi="Times New Roman"/>
                <w:sz w:val="18"/>
                <w:szCs w:val="18"/>
                <w:color w:val="auto"/>
              </w:rPr>
              <w:t>Three Months Ended</w:t>
            </w:r>
          </w:p>
        </w:tc>
        <w:tc>
          <w:tcPr>
            <w:tcW w:w="1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40" w:type="dxa"/>
            <w:vAlign w:val="bottom"/>
            <w:gridSpan w:val="3"/>
          </w:tcPr>
          <w:p>
            <w:pPr>
              <w:jc w:val="right"/>
              <w:ind w:right="470"/>
              <w:spacing w:after="0"/>
              <w:rPr>
                <w:sz w:val="20"/>
                <w:szCs w:val="20"/>
                <w:color w:val="auto"/>
              </w:rPr>
            </w:pPr>
            <w:r>
              <w:rPr>
                <w:rFonts w:ascii="Times New Roman" w:cs="Times New Roman" w:eastAsia="Times New Roman" w:hAnsi="Times New Roman"/>
                <w:sz w:val="18"/>
                <w:szCs w:val="18"/>
                <w:color w:val="auto"/>
              </w:rPr>
              <w:t>Six Months Ended</w:t>
            </w:r>
          </w:p>
        </w:tc>
        <w:tc>
          <w:tcPr>
            <w:tcW w:w="1220" w:type="dxa"/>
            <w:vAlign w:val="bottom"/>
          </w:tcPr>
          <w:p>
            <w:pPr>
              <w:spacing w:after="0"/>
              <w:rPr>
                <w:sz w:val="20"/>
                <w:szCs w:val="20"/>
                <w:color w:val="auto"/>
              </w:rPr>
            </w:pPr>
          </w:p>
        </w:tc>
      </w:tr>
      <w:tr>
        <w:trPr>
          <w:trHeight w:val="270"/>
        </w:trPr>
        <w:tc>
          <w:tcPr>
            <w:tcW w:w="3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9"/>
              </w:rPr>
              <w:t>February 28,</w:t>
            </w:r>
          </w:p>
        </w:tc>
        <w:tc>
          <w:tcPr>
            <w:tcW w:w="140" w:type="dxa"/>
            <w:vAlign w:val="bottom"/>
          </w:tcPr>
          <w:p>
            <w:pPr>
              <w:spacing w:after="0"/>
              <w:rPr>
                <w:sz w:val="23"/>
                <w:szCs w:val="23"/>
                <w:color w:val="auto"/>
              </w:rPr>
            </w:pP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9"/>
              </w:rPr>
              <w:t>February 29,</w:t>
            </w:r>
          </w:p>
        </w:tc>
        <w:tc>
          <w:tcPr>
            <w:tcW w:w="1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9"/>
              </w:rPr>
              <w:t>February 28,</w:t>
            </w:r>
          </w:p>
        </w:tc>
        <w:tc>
          <w:tcPr>
            <w:tcW w:w="140" w:type="dxa"/>
            <w:vAlign w:val="bottom"/>
          </w:tcPr>
          <w:p>
            <w:pPr>
              <w:spacing w:after="0"/>
              <w:rPr>
                <w:sz w:val="23"/>
                <w:szCs w:val="23"/>
                <w:color w:val="auto"/>
              </w:rPr>
            </w:pP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9"/>
              </w:rPr>
              <w:t>February 29,</w:t>
            </w:r>
          </w:p>
        </w:tc>
        <w:tc>
          <w:tcPr>
            <w:tcW w:w="1220" w:type="dxa"/>
            <w:vAlign w:val="bottom"/>
          </w:tcPr>
          <w:p>
            <w:pPr>
              <w:spacing w:after="0"/>
              <w:rPr>
                <w:sz w:val="23"/>
                <w:szCs w:val="23"/>
                <w:color w:val="auto"/>
              </w:rPr>
            </w:pPr>
          </w:p>
        </w:tc>
      </w:tr>
      <w:tr>
        <w:trPr>
          <w:trHeight w:val="270"/>
        </w:trPr>
        <w:tc>
          <w:tcPr>
            <w:tcW w:w="3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 amounts in thousands)</w:t>
            </w:r>
          </w:p>
        </w:tc>
        <w:tc>
          <w:tcPr>
            <w:tcW w:w="1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2024</w:t>
            </w:r>
          </w:p>
        </w:tc>
        <w:tc>
          <w:tcPr>
            <w:tcW w:w="1360" w:type="dxa"/>
            <w:vAlign w:val="bottom"/>
            <w:tcBorders>
              <w:bottom w:val="single" w:sz="8" w:color="auto"/>
            </w:tcBorders>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 Change</w:t>
            </w:r>
          </w:p>
        </w:tc>
        <w:tc>
          <w:tcPr>
            <w:tcW w:w="11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2024</w:t>
            </w:r>
          </w:p>
        </w:tc>
        <w:tc>
          <w:tcPr>
            <w:tcW w:w="12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 Change</w:t>
            </w:r>
          </w:p>
        </w:tc>
      </w:tr>
      <w:tr>
        <w:trPr>
          <w:trHeight w:val="223"/>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570,660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545,945</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4.5 % $</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1,139,327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1,088,161</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r>
      <w:tr>
        <w:trPr>
          <w:trHeight w:val="229"/>
        </w:trPr>
        <w:tc>
          <w:tcPr>
            <w:tcW w:w="3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Acquisition revenues</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(3,793)</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(4,489)</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spacing w:after="0"/>
              <w:rPr>
                <w:sz w:val="19"/>
                <w:szCs w:val="19"/>
                <w:color w:val="auto"/>
              </w:rPr>
            </w:pPr>
          </w:p>
        </w:tc>
      </w:tr>
      <w:tr>
        <w:trPr>
          <w:trHeight w:val="230"/>
        </w:trPr>
        <w:tc>
          <w:tcPr>
            <w:tcW w:w="3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Currency impact</w:t>
            </w: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spacing w:after="0"/>
              <w:rPr>
                <w:sz w:val="19"/>
                <w:szCs w:val="19"/>
                <w:color w:val="auto"/>
              </w:rPr>
            </w:pPr>
          </w:p>
        </w:tc>
      </w:tr>
      <w:tr>
        <w:trPr>
          <w:trHeight w:val="228"/>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Organic revenues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567,985</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545,945</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1,135,658</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1,088,161</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4.4 %</w:t>
            </w:r>
          </w:p>
        </w:tc>
      </w:tr>
      <w:tr>
        <w:trPr>
          <w:trHeight w:val="859"/>
        </w:trPr>
        <w:tc>
          <w:tcPr>
            <w:tcW w:w="3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45</w:t>
            </w: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15"/>
        </w:trPr>
        <w:tc>
          <w:tcPr>
            <w:tcW w:w="38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table below provides an unaudited reconciliation of Operating income, operating margin, Net income and Diluted EPS to adjusted operating income, adjusted operating margin, adjusted net income, EBITDA, adjusted EBITDA and adjusted Diluted EPS. Adjusted operating income and margin, adjusted net income, and adjusted Diluted EPS exclude the impact of acquisition-related intangible asset amortization and non-recurring items. EBITDA represents earnings before interest expense, provision for income taxes and depreciation and amortization, while adjusted EBITDA further excludes non-recurring non-cash expenses.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0" w:type="dxa"/>
            <w:vAlign w:val="bottom"/>
            <w:gridSpan w:val="3"/>
          </w:tcPr>
          <w:p>
            <w:pPr>
              <w:jc w:val="right"/>
              <w:ind w:right="430"/>
              <w:spacing w:after="0"/>
              <w:rPr>
                <w:sz w:val="20"/>
                <w:szCs w:val="20"/>
                <w:color w:val="auto"/>
              </w:rPr>
            </w:pPr>
            <w:r>
              <w:rPr>
                <w:rFonts w:ascii="Times New Roman" w:cs="Times New Roman" w:eastAsia="Times New Roman" w:hAnsi="Times New Roman"/>
                <w:sz w:val="18"/>
                <w:szCs w:val="18"/>
                <w:color w:val="auto"/>
              </w:rPr>
              <w:t>Three Months Ended</w:t>
            </w: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20" w:type="dxa"/>
            <w:vAlign w:val="bottom"/>
            <w:gridSpan w:val="3"/>
          </w:tcPr>
          <w:p>
            <w:pPr>
              <w:jc w:val="right"/>
              <w:ind w:right="530"/>
              <w:spacing w:after="0"/>
              <w:rPr>
                <w:sz w:val="20"/>
                <w:szCs w:val="20"/>
                <w:color w:val="auto"/>
              </w:rPr>
            </w:pPr>
            <w:r>
              <w:rPr>
                <w:rFonts w:ascii="Times New Roman" w:cs="Times New Roman" w:eastAsia="Times New Roman" w:hAnsi="Times New Roman"/>
                <w:sz w:val="18"/>
                <w:szCs w:val="18"/>
                <w:color w:val="auto"/>
              </w:rPr>
              <w:t>Six Months Ended</w:t>
            </w: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per share data)</w:t>
            </w:r>
          </w:p>
        </w:tc>
        <w:tc>
          <w:tcPr>
            <w:tcW w:w="140" w:type="dxa"/>
            <w:vAlign w:val="bottom"/>
          </w:tcPr>
          <w:p>
            <w:pPr>
              <w:spacing w:after="0"/>
              <w:rPr>
                <w:sz w:val="19"/>
                <w:szCs w:val="19"/>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February 28,</w:t>
            </w:r>
          </w:p>
        </w:tc>
        <w:tc>
          <w:tcPr>
            <w:tcW w:w="180" w:type="dxa"/>
            <w:vAlign w:val="bottom"/>
          </w:tcPr>
          <w:p>
            <w:pPr>
              <w:spacing w:after="0"/>
              <w:rPr>
                <w:sz w:val="19"/>
                <w:szCs w:val="19"/>
                <w:color w:val="auto"/>
              </w:rPr>
            </w:pP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9"/>
              </w:rPr>
              <w:t>February 29,</w:t>
            </w: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9"/>
              </w:rPr>
              <w:t>February 28,</w:t>
            </w:r>
          </w:p>
        </w:tc>
        <w:tc>
          <w:tcPr>
            <w:tcW w:w="160" w:type="dxa"/>
            <w:vAlign w:val="bottom"/>
          </w:tcPr>
          <w:p>
            <w:pPr>
              <w:spacing w:after="0"/>
              <w:rPr>
                <w:sz w:val="19"/>
                <w:szCs w:val="19"/>
                <w:color w:val="auto"/>
              </w:rPr>
            </w:pPr>
          </w:p>
        </w:tc>
        <w:tc>
          <w:tcPr>
            <w:tcW w:w="11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9"/>
              </w:rPr>
              <w:t>February 29,</w:t>
            </w: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760" w:type="dxa"/>
            <w:vAlign w:val="bottom"/>
            <w:tcBorders>
              <w:bottom w:val="single" w:sz="8" w:color="auto"/>
            </w:tcBorders>
            <w:vMerge w:val="continue"/>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2025</w:t>
            </w: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2024</w:t>
            </w:r>
          </w:p>
        </w:tc>
        <w:tc>
          <w:tcPr>
            <w:tcW w:w="10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 Change</w:t>
            </w: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w:t>
            </w:r>
          </w:p>
        </w:tc>
        <w:tc>
          <w:tcPr>
            <w:tcW w:w="10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 Change</w:t>
            </w:r>
          </w:p>
        </w:tc>
        <w:tc>
          <w:tcPr>
            <w:tcW w:w="0" w:type="dxa"/>
            <w:vAlign w:val="bottom"/>
          </w:tcPr>
          <w:p>
            <w:pPr>
              <w:spacing w:after="0"/>
              <w:rPr>
                <w:sz w:val="1"/>
                <w:szCs w:val="1"/>
                <w:color w:val="auto"/>
              </w:rPr>
            </w:pPr>
          </w:p>
        </w:tc>
      </w:tr>
      <w:tr>
        <w:trPr>
          <w:trHeight w:val="223"/>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185,492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181,942</w:t>
            </w: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376,827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370,982</w:t>
            </w: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0"/>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 amortization</w:t>
            </w:r>
          </w:p>
        </w:tc>
        <w:tc>
          <w:tcPr>
            <w:tcW w:w="14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18,137</w:t>
            </w:r>
          </w:p>
        </w:tc>
        <w:tc>
          <w:tcPr>
            <w:tcW w:w="18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16,674</w:t>
            </w: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34,718</w:t>
            </w:r>
          </w:p>
        </w:tc>
        <w:tc>
          <w:tcPr>
            <w:tcW w:w="160" w:type="dxa"/>
            <w:vAlign w:val="bottom"/>
          </w:tcPr>
          <w:p>
            <w:pPr>
              <w:spacing w:after="0"/>
              <w:rPr>
                <w:sz w:val="19"/>
                <w:szCs w:val="19"/>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34,018</w:t>
            </w: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Business acquisitions and related costs</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9,040</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12,793</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Sales tax dispute</w:t>
            </w:r>
            <w:r>
              <w:rPr>
                <w:rFonts w:ascii="Times New Roman" w:cs="Times New Roman" w:eastAsia="Times New Roman" w:hAnsi="Times New Roman"/>
                <w:sz w:val="23"/>
                <w:szCs w:val="23"/>
                <w:color w:val="auto"/>
                <w:vertAlign w:val="superscript"/>
              </w:rPr>
              <w:t>(1)</w:t>
            </w:r>
          </w:p>
        </w:tc>
        <w:tc>
          <w:tcPr>
            <w:tcW w:w="14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2,398</w:t>
            </w:r>
          </w:p>
        </w:tc>
        <w:tc>
          <w:tcPr>
            <w:tcW w:w="160" w:type="dxa"/>
            <w:vAlign w:val="bottom"/>
          </w:tcPr>
          <w:p>
            <w:pPr>
              <w:spacing w:after="0"/>
              <w:rPr>
                <w:sz w:val="19"/>
                <w:szCs w:val="19"/>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Restructuring/severance</w:t>
            </w: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10,710</w:t>
            </w:r>
          </w:p>
        </w:tc>
        <w:tc>
          <w:tcPr>
            <w:tcW w:w="10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(317)</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8,291</w:t>
            </w: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Adjusted operating income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212,669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209,326</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426,419</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413,291</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30"/>
        </w:trPr>
        <w:tc>
          <w:tcPr>
            <w:tcW w:w="3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i w:val="1"/>
                <w:iCs w:val="1"/>
                <w:color w:val="auto"/>
              </w:rPr>
              <w:t>Operating margin</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32.5%</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33.3%</w:t>
            </w:r>
          </w:p>
        </w:tc>
        <w:tc>
          <w:tcPr>
            <w:tcW w:w="10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33.1%</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34.1%</w:t>
            </w: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60" w:type="dxa"/>
            <w:vAlign w:val="bottom"/>
            <w:tcBorders>
              <w:bottom w:val="single" w:sz="8" w:color="auto"/>
            </w:tcBorders>
          </w:tcPr>
          <w:p>
            <w:pPr>
              <w:ind w:left="240"/>
              <w:spacing w:after="0" w:line="230" w:lineRule="exact"/>
              <w:rPr>
                <w:sz w:val="20"/>
                <w:szCs w:val="20"/>
                <w:color w:val="auto"/>
              </w:rPr>
            </w:pPr>
            <w:r>
              <w:rPr>
                <w:rFonts w:ascii="Times New Roman" w:cs="Times New Roman" w:eastAsia="Times New Roman" w:hAnsi="Times New Roman"/>
                <w:sz w:val="18"/>
                <w:szCs w:val="18"/>
                <w:i w:val="1"/>
                <w:iCs w:val="1"/>
                <w:color w:val="auto"/>
              </w:rPr>
              <w:t>Adjusted operating margin</w:t>
            </w:r>
            <w:r>
              <w:rPr>
                <w:rFonts w:ascii="Times New Roman" w:cs="Times New Roman" w:eastAsia="Times New Roman" w:hAnsi="Times New Roman"/>
                <w:sz w:val="23"/>
                <w:szCs w:val="23"/>
                <w:color w:val="auto"/>
                <w:vertAlign w:val="superscript"/>
              </w:rPr>
              <w:t>(2)</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37.3%</w:t>
            </w: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38.3%</w:t>
            </w:r>
          </w:p>
        </w:tc>
        <w:tc>
          <w:tcPr>
            <w:tcW w:w="10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37.4%</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38.0%</w:t>
            </w:r>
          </w:p>
        </w:tc>
        <w:tc>
          <w:tcPr>
            <w:tcW w:w="10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144,860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140,940</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 $</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294,882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289,495</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229"/>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 amortization</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13,425</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12,579</w:t>
            </w: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25,815</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25,167</w:t>
            </w: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Business acquisitions and related costs</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6,691</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9,512</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Sales tax dispute</w:t>
            </w:r>
            <w:r>
              <w:rPr>
                <w:rFonts w:ascii="Times New Roman" w:cs="Times New Roman" w:eastAsia="Times New Roman" w:hAnsi="Times New Roman"/>
                <w:sz w:val="23"/>
                <w:szCs w:val="23"/>
                <w:color w:val="auto"/>
                <w:vertAlign w:val="superscript"/>
              </w:rPr>
              <w:t>(1)</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1,783</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Restructuring/severance</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8,080</w:t>
            </w:r>
          </w:p>
        </w:tc>
        <w:tc>
          <w:tcPr>
            <w:tcW w:w="10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6,134</w:t>
            </w: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items</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1,468</w:t>
            </w:r>
          </w:p>
        </w:tc>
        <w:tc>
          <w:tcPr>
            <w:tcW w:w="10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1,351</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1,397</w:t>
            </w:r>
          </w:p>
        </w:tc>
        <w:tc>
          <w:tcPr>
            <w:tcW w:w="10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60" w:type="dxa"/>
            <w:vAlign w:val="bottom"/>
            <w:tcBorders>
              <w:bottom w:val="single" w:sz="8" w:color="auto"/>
            </w:tcBorders>
            <w:shd w:val="clear" w:color="auto" w:fill="CCEEFF"/>
          </w:tcPr>
          <w:p>
            <w:pPr>
              <w:ind w:left="240"/>
              <w:spacing w:after="0" w:line="223" w:lineRule="exact"/>
              <w:rPr>
                <w:sz w:val="20"/>
                <w:szCs w:val="20"/>
                <w:color w:val="auto"/>
              </w:rPr>
            </w:pPr>
            <w:r>
              <w:rPr>
                <w:rFonts w:ascii="Times New Roman" w:cs="Times New Roman" w:eastAsia="Times New Roman" w:hAnsi="Times New Roman"/>
                <w:sz w:val="18"/>
                <w:szCs w:val="18"/>
                <w:color w:val="auto"/>
              </w:rPr>
              <w:t>Adjusted net income</w:t>
            </w:r>
            <w:r>
              <w:rPr>
                <w:rFonts w:ascii="Times New Roman" w:cs="Times New Roman" w:eastAsia="Times New Roman" w:hAnsi="Times New Roman"/>
                <w:sz w:val="23"/>
                <w:szCs w:val="23"/>
                <w:color w:val="auto"/>
                <w:vertAlign w:val="superscript"/>
              </w:rPr>
              <w:t>(3)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164,976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163,067</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333,107</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322,193</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0" w:type="dxa"/>
            <w:vAlign w:val="bottom"/>
          </w:tcPr>
          <w:p>
            <w:pPr>
              <w:spacing w:after="0"/>
              <w:rPr>
                <w:sz w:val="1"/>
                <w:szCs w:val="1"/>
                <w:color w:val="auto"/>
              </w:rPr>
            </w:pPr>
          </w:p>
        </w:tc>
      </w:tr>
      <w:tr>
        <w:trPr>
          <w:trHeight w:val="223"/>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144,860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140,940</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2.8 % $</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294,882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289,495</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230"/>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13,916</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16,599</w:t>
            </w:r>
          </w:p>
        </w:tc>
        <w:tc>
          <w:tcPr>
            <w:tcW w:w="10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28,316</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33,337</w:t>
            </w: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taxes</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27,460</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27,705</w:t>
            </w: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57,177</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54,346</w:t>
            </w: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38,410</w:t>
            </w: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31,582</w:t>
            </w:r>
          </w:p>
        </w:tc>
        <w:tc>
          <w:tcPr>
            <w:tcW w:w="10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74,127</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58,650</w:t>
            </w: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EBITDA</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224,646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216,826</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454,502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435,828</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0" w:type="dxa"/>
            <w:vAlign w:val="bottom"/>
          </w:tcPr>
          <w:p>
            <w:pPr>
              <w:spacing w:after="0"/>
              <w:rPr>
                <w:sz w:val="1"/>
                <w:szCs w:val="1"/>
                <w:color w:val="auto"/>
              </w:rPr>
            </w:pPr>
          </w:p>
        </w:tc>
      </w:tr>
      <w:tr>
        <w:trPr>
          <w:trHeight w:val="230"/>
        </w:trPr>
        <w:tc>
          <w:tcPr>
            <w:tcW w:w="37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Non-recurring non-cash expenses</w:t>
            </w:r>
            <w:r>
              <w:rPr>
                <w:rFonts w:ascii="Times New Roman" w:cs="Times New Roman" w:eastAsia="Times New Roman" w:hAnsi="Times New Roman"/>
                <w:sz w:val="23"/>
                <w:szCs w:val="23"/>
                <w:color w:val="auto"/>
                <w:vertAlign w:val="superscript"/>
              </w:rPr>
              <w:t>(4)</w:t>
            </w: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w:t>
            </w:r>
          </w:p>
        </w:tc>
        <w:tc>
          <w:tcPr>
            <w:tcW w:w="10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w:t>
            </w: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224,646</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218,111</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454,502</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437,113</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0" w:type="dxa"/>
            <w:vAlign w:val="bottom"/>
          </w:tcPr>
          <w:p>
            <w:pPr>
              <w:spacing w:after="0"/>
              <w:rPr>
                <w:sz w:val="1"/>
                <w:szCs w:val="1"/>
                <w:color w:val="auto"/>
              </w:rPr>
            </w:pPr>
          </w:p>
        </w:tc>
      </w:tr>
      <w:tr>
        <w:trPr>
          <w:trHeight w:val="223"/>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EPS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 $</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0" w:type="dxa"/>
            <w:vAlign w:val="bottom"/>
          </w:tcPr>
          <w:p>
            <w:pPr>
              <w:spacing w:after="0"/>
              <w:rPr>
                <w:sz w:val="1"/>
                <w:szCs w:val="1"/>
                <w:color w:val="auto"/>
              </w:rPr>
            </w:pPr>
          </w:p>
        </w:tc>
      </w:tr>
      <w:tr>
        <w:trPr>
          <w:trHeight w:val="230"/>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 amortization</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0.64</w:t>
            </w: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Business acquisitions and related costs</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Sales tax dispute</w:t>
            </w:r>
            <w:r>
              <w:rPr>
                <w:rFonts w:ascii="Times New Roman" w:cs="Times New Roman" w:eastAsia="Times New Roman" w:hAnsi="Times New Roman"/>
                <w:sz w:val="23"/>
                <w:szCs w:val="23"/>
                <w:color w:val="auto"/>
                <w:vertAlign w:val="superscript"/>
              </w:rPr>
              <w:t>(1)</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Restructuring/severance</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0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items</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60" w:type="dxa"/>
            <w:vAlign w:val="bottom"/>
            <w:tcBorders>
              <w:bottom w:val="single" w:sz="8" w:color="auto"/>
            </w:tcBorders>
            <w:shd w:val="clear" w:color="auto" w:fill="CCEEFF"/>
          </w:tcPr>
          <w:p>
            <w:pPr>
              <w:ind w:left="240"/>
              <w:spacing w:after="0" w:line="223" w:lineRule="exact"/>
              <w:rPr>
                <w:sz w:val="20"/>
                <w:szCs w:val="20"/>
                <w:color w:val="auto"/>
              </w:rPr>
            </w:pPr>
            <w:r>
              <w:rPr>
                <w:rFonts w:ascii="Times New Roman" w:cs="Times New Roman" w:eastAsia="Times New Roman" w:hAnsi="Times New Roman"/>
                <w:sz w:val="18"/>
                <w:szCs w:val="18"/>
                <w:color w:val="auto"/>
              </w:rPr>
              <w:t>Adjusted Diluted EPS</w:t>
            </w:r>
            <w:r>
              <w:rPr>
                <w:rFonts w:ascii="Times New Roman" w:cs="Times New Roman" w:eastAsia="Times New Roman" w:hAnsi="Times New Roman"/>
                <w:sz w:val="23"/>
                <w:szCs w:val="23"/>
                <w:color w:val="auto"/>
                <w:vertAlign w:val="superscript"/>
              </w:rPr>
              <w:t>(3)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0" w:type="dxa"/>
            <w:vAlign w:val="bottom"/>
          </w:tcPr>
          <w:p>
            <w:pPr>
              <w:spacing w:after="0"/>
              <w:rPr>
                <w:sz w:val="1"/>
                <w:szCs w:val="1"/>
                <w:color w:val="auto"/>
              </w:rPr>
            </w:pPr>
          </w:p>
        </w:tc>
      </w:tr>
      <w:tr>
        <w:trPr>
          <w:trHeight w:val="223"/>
        </w:trPr>
        <w:tc>
          <w:tcPr>
            <w:tcW w:w="3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(diluted)</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38,510</w:t>
            </w: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38,650</w:t>
            </w:r>
          </w:p>
        </w:tc>
        <w:tc>
          <w:tcPr>
            <w:tcW w:w="10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38,513</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38,646</w:t>
            </w:r>
          </w:p>
        </w:tc>
        <w:tc>
          <w:tcPr>
            <w:tcW w:w="10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119" w:lineRule="exact"/>
        <w:rPr>
          <w:sz w:val="20"/>
          <w:szCs w:val="20"/>
          <w:color w:val="auto"/>
        </w:rPr>
      </w:pPr>
    </w:p>
    <w:p>
      <w:pPr>
        <w:ind w:left="260" w:hanging="252"/>
        <w:spacing w:after="0" w:line="291" w:lineRule="auto"/>
        <w:tabs>
          <w:tab w:leader="none" w:pos="26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Related to a resolved matter with the Massachusetts Department of Revenue. Refer to Note 12, </w:t>
      </w:r>
      <w:r>
        <w:rPr>
          <w:rFonts w:ascii="Times New Roman" w:cs="Times New Roman" w:eastAsia="Times New Roman" w:hAnsi="Times New Roman"/>
          <w:sz w:val="16"/>
          <w:szCs w:val="16"/>
          <w:i w:val="1"/>
          <w:iCs w:val="1"/>
          <w:color w:val="auto"/>
        </w:rPr>
        <w:t>Commitments and Contingencies</w:t>
      </w:r>
      <w:r>
        <w:rPr>
          <w:rFonts w:ascii="Times New Roman" w:cs="Times New Roman" w:eastAsia="Times New Roman" w:hAnsi="Times New Roman"/>
          <w:sz w:val="16"/>
          <w:szCs w:val="16"/>
          <w:color w:val="auto"/>
        </w:rPr>
        <w:t xml:space="preserve"> in the Notes to the Consolidated Financial Statements included in Part I, Item 1. of this Quarterly Report on Form 10-Q, for further discussion on this matter.</w:t>
      </w:r>
    </w:p>
    <w:p>
      <w:pPr>
        <w:spacing w:after="0" w:line="1" w:lineRule="exact"/>
        <w:rPr>
          <w:rFonts w:ascii="Times New Roman" w:cs="Times New Roman" w:eastAsia="Times New Roman" w:hAnsi="Times New Roman"/>
          <w:sz w:val="16"/>
          <w:szCs w:val="16"/>
          <w:color w:val="auto"/>
        </w:rPr>
      </w:pPr>
    </w:p>
    <w:p>
      <w:pPr>
        <w:ind w:left="260" w:hanging="252"/>
        <w:spacing w:after="0"/>
        <w:tabs>
          <w:tab w:leader="none" w:pos="26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operating margin is calculated as Adjusted operating income divided by Revenues.</w:t>
      </w:r>
    </w:p>
    <w:p>
      <w:pPr>
        <w:spacing w:after="0" w:line="59" w:lineRule="exact"/>
        <w:rPr>
          <w:rFonts w:ascii="Times New Roman" w:cs="Times New Roman" w:eastAsia="Times New Roman" w:hAnsi="Times New Roman"/>
          <w:sz w:val="16"/>
          <w:szCs w:val="16"/>
          <w:color w:val="auto"/>
        </w:rPr>
      </w:pPr>
    </w:p>
    <w:p>
      <w:pPr>
        <w:jc w:val="both"/>
        <w:ind w:left="260" w:hanging="252"/>
        <w:spacing w:after="0" w:line="272" w:lineRule="auto"/>
        <w:tabs>
          <w:tab w:leader="none" w:pos="26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purposes of calculating Adjusted net income and Adjusted diluted EPS, all adjustments for the three months ended February 28, 2025 and February 29, 2024 were taxed at an adjusted tax rate of 26.0% and 24.6%, respectively. The six months ended February 28, 2025 and February 29, 2024 were taxed at an adjusted tax rate of 25.6% and 26.0%, respectively.</w:t>
      </w:r>
    </w:p>
    <w:p>
      <w:pPr>
        <w:spacing w:after="0" w:line="22" w:lineRule="exact"/>
        <w:rPr>
          <w:rFonts w:ascii="Times New Roman" w:cs="Times New Roman" w:eastAsia="Times New Roman" w:hAnsi="Times New Roman"/>
          <w:sz w:val="16"/>
          <w:szCs w:val="16"/>
          <w:color w:val="auto"/>
        </w:rPr>
      </w:pPr>
    </w:p>
    <w:p>
      <w:pPr>
        <w:ind w:left="260" w:hanging="252"/>
        <w:spacing w:after="0"/>
        <w:tabs>
          <w:tab w:leader="none" w:pos="26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Related to the accelerated vesting of stock awards for certain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Liquidity and Capital Resources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As of February 28, 2025, Cash and cash equivalents were $278.5 million and restricted cash was $13.0 million, compared with Cash and cash equivalents of $423.0 million as of August 31, 2024. Refer to </w:t>
      </w:r>
      <w:r>
        <w:rPr>
          <w:rFonts w:ascii="Times New Roman" w:cs="Times New Roman" w:eastAsia="Times New Roman" w:hAnsi="Times New Roman"/>
          <w:sz w:val="18"/>
          <w:szCs w:val="18"/>
          <w:i w:val="1"/>
          <w:iCs w:val="1"/>
          <w:color w:val="auto"/>
        </w:rPr>
        <w:t>Summary of Cash Flows</w:t>
      </w:r>
      <w:r>
        <w:rPr>
          <w:rFonts w:ascii="Times New Roman" w:cs="Times New Roman" w:eastAsia="Times New Roman" w:hAnsi="Times New Roman"/>
          <w:sz w:val="18"/>
          <w:szCs w:val="18"/>
          <w:color w:val="auto"/>
        </w:rPr>
        <w:t xml:space="preserve"> within this section below, for more information on cash flows during the second quarter of fiscal 2025.</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cash and cash equivalents are held in numerous locations throughout the world, with $116.3 million in the Americas, $114.4 million in EMEA (predominantly in the UK) and the remaining $47.8 million in Asia Pacific (predominantly in the Philippines, Australia and India) as of February 28, 2025.</w:t>
      </w:r>
    </w:p>
    <w:p>
      <w:pPr>
        <w:spacing w:after="0" w:line="13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cash flows provided by operating activities, existing cash and cash equivalents, supplemented with our debt borrowings, have been sufficient to fund our operations while allowing us to invest in activities that support the long-term growth of our operations. Generally, some or all of our remaining available cash flows have been used to, among other things, service our existing and future debt obligations, satisfy our working capital requirements and fund various activities, including our capital expenditures, acquisitions, investments, dividend payments and repurchases of our common stock. Based on past performance and current expectations, we believe our sources of liquidity, including the available capacity under our existing revolving credit facility and other financing alternatives, will provide us the necessary capital to fund these transactions and achieve our planned growth for the next 12 months and the foreseeable future. We are exposed to credit risk for our cash, cash equivalents and restricted cash held in financial institutions in the event of a default, to the extent that such amounts are in excess of applicable insurance limits; however, we do not believe our concentration of cash, cash equivalents and restricted cash presents a significant credit risk as the counterparties to the instruments consist of multiple high-quality, credit-worthy financial institutions.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Sources of Liquidity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and Swap Agreements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2022 Credit Agreement</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1, 2022, we entered into a credit agreement (the "2022 Credit Agreement") and borrowed an aggregate principal amount of $1.0 billion under its senior unsecured term loan credit facility (the "2022 Term Facility") and $250.0 million of the available $500.0 million under its senior unsecured revolving credit facility (the "2022 Revolving Facility"). The 2022 Revolving Facility, together with the 2022 Term Facility, are referred to as the "2022 Credit Facilities".</w:t>
      </w:r>
    </w:p>
    <w:p>
      <w:pPr>
        <w:spacing w:after="0" w:line="15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2022 Term Facility matured on March 1, 2025, and the 2022 Revolving Facility matures on March 1, 2027. The 2022 Revolving Facility allows for the availability of up to $100.0 million in the form of letters of credit and up to $50.0 million in the form of swingline loans. The 2022 Revolving Facility allowed for additional commitments of up to $750.0 million from lenders or other financial institutions. On January 31, 2025, we entered into a joinder agreement to our 2022 Credit Agreement that added an incremental revolving loan lender and increased the available commitments under the 2022 Revolving Facility by $100.0 million. The joinder agreement increased the total 2022 Revolving Facility commitments to $600.0 million, reducing the additional commitments we can seek to $650.0 million. All other terms of the 2022 Credit Agreement remained unchanged.</w:t>
      </w:r>
    </w:p>
    <w:p>
      <w:pPr>
        <w:spacing w:after="0" w:line="14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voluntarily prepay loans under the 2022 Credit Facilities at any time without premium or penalty. During the three and six months ended February 28, 2025, we repaid $62.5 million and $125.0 million, respectively, under the 2022 Term Facility. As of February 28, 2025, the 2022 Term Facility has been fully repaid.</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six months ended February 28, 2025, we borrowed $305.0 million and repaid $75.0 million for total net borrowings of $230.0 million under the 2022 Revolving Facility. As of February 28, 2025, the outstanding borrowings under the 2022 Revolving Facility were $480.0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From the borrowing date through November 30, 2023, the outstanding borrowings under the 2022 Credit Facilities bore interest at a rate equal to the applicable one-month Term Secured Overnight Financing Rate ("SOFR") plus a 1.1% spread (comprised of a 1.0% interest rate margin based on a debt leverage pricing grid plus a 0.1% credit spread adjustment). From December 1, 2023 through February 28, 2025, the spread decreased to 0.975% (comprised of a 0.875% interest rate margin based on a debt leverage pricing grid plus a 0.1% credit spread adjustment). Interest on the 2022 Credit Facilities is payable on the last business day of each month, in arrears.</w:t>
      </w:r>
    </w:p>
    <w:p>
      <w:pPr>
        <w:spacing w:after="0" w:line="1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we pay a commitment fee on the daily unused amount of the 2022 Revolving Facility using a pricing grid based on our senior unsecured non-credit enhanced long-term debt rating and our total leverage ratio. From the borrowing date through November 30, 2023, the commitment fee was 0.125%, which subsequently decreased to 0.1% through February 28, 2025.</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2022 Credit Agreement contains usual and customary event of default provisions for facilities of this type, which are subject to usual and customary grace periods and materiality thresholds. If an event of default occurs under the 2022 Credit Agreement, the lenders may, among other things, terminate their commitments and declare all outstanding borrowings immediately due and payable.</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2022 Credit Agreement contains usual and customary affirmative and negative covenants for facilities of this type, including a financial covenant requiring maintenance of a total leverage ratio of no greater than 3.50 to 1.00 as of February 28, 2025. We were in compliance with all covenants and requirements of the 2022 Credit Agreement as of February 28, 2025.</w:t>
      </w:r>
    </w:p>
    <w:p>
      <w:pPr>
        <w:spacing w:after="0" w:line="147"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 xml:space="preserve">Refer to Note 11,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in the Notes to the Consolidated Financial Statements included in Part I, Item 1. of this Quarterly Report on Form 10-Q, for further discussion of the 2022 Credit Agreement.</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Swap Agreements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Swap Agreement</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1, 2024, we entered into an interest rate swap agreement ("2024 Swap Agreement") to hedge a portion of our outstanding floating SOFR debt with a fixed interest rate of 5.145%. The 2024 Swap Agreement matured on February 28, 2025.</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 Swap Agreement</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1, 2022, we entered into an interest rate swap agreement (the "2022 Swap Agreement") to hedge a portion of our outstanding floating SOFR debt with a fixed interest rate of 1.162%. The 2022 Swap Agreement matured on February 28, 2024.</w:t>
      </w:r>
    </w:p>
    <w:p>
      <w:pPr>
        <w:spacing w:after="0" w:line="11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Refer to Note 5, </w:t>
      </w:r>
      <w:r>
        <w:rPr>
          <w:rFonts w:ascii="Times New Roman" w:cs="Times New Roman" w:eastAsia="Times New Roman" w:hAnsi="Times New Roman"/>
          <w:sz w:val="18"/>
          <w:szCs w:val="18"/>
          <w:i w:val="1"/>
          <w:iCs w:val="1"/>
          <w:color w:val="auto"/>
        </w:rPr>
        <w:t>Derivative Instruments</w:t>
      </w:r>
      <w:r>
        <w:rPr>
          <w:rFonts w:ascii="Times New Roman" w:cs="Times New Roman" w:eastAsia="Times New Roman" w:hAnsi="Times New Roman"/>
          <w:sz w:val="18"/>
          <w:szCs w:val="18"/>
          <w:color w:val="auto"/>
        </w:rPr>
        <w:t>, in the Notes to the Consolidated Financial Statements included in Part I, Item 1. of this Quarterly Report on Form 10-Q, for more information on the 2024 Swap Agreement and 2022 Swap Agreement.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Senior Notes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1, 2022 we completed a public offering of $500.0 million aggregate principal amount of 2.900% Senior Notes due March 1, 2027 (the "2027 Notes") and $500.0 million aggregate principal amount of 3.450% Senior Notes due March 1, 2032 (the "2032 Notes" and, together with the 2027 Notes, the "Senior Notes"). The Senior Notes were issued pursuant to an indenture, dated as of March 1, 2022, by and between us and U.S. Bank Trust Company, National Association, as trustee (the "Trustee"), as supplemented by the supplemental indenture, dated as of March 1, 2022, between us and the Trustee (the "Supplemental Indenture"). Interest on the Senior Notes is payable semiannually in arrears on March 1 and September 1 of each year.</w:t>
      </w:r>
    </w:p>
    <w:p>
      <w:pPr>
        <w:spacing w:after="0" w:line="1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redeem the Senior Notes, in whole or in part, at any time at specified redemption prices, plus any accrued and unpaid interest. Upon the occurrence of a change of control triggering event (as defined in the Supplemental Indenture), we must offer to repurchase the Senior Notes at 101% of their principal amount, plus any accrued and unpaid interest.</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Uses of Liquidity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Returning Value to Stockholders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returned $192.0 million and $186.3 million to our stockholders in the form of share repurchases and dividends during the six months ended February 28, 2025 and February 29, 2024, respectively. Over the last 12 months, we returned $391.6 million to our stockholders in the form of share repurchases and dividends.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 Program</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repurchase shares of our common stock under our share repurchase program from time-to-time in the open market or via privately negotiated transactions, subject to market conditions. During the three and six months ended February 28, 2025, we repurchased 136,714 shares for $64.4 million and 241,189 shares for $113.1 million, respectively. For the three and six months ended February 29, 2024, we repurchased 113,050 shares for $52.3 million and 249,000 shares for $112.2 million, respectively.</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There is no defined number of shares to be repurchased over a specified timeframe through the life of our share repurchase program. On September 17, 2024, our Board of Directors authorized up to $300 million for share repurchases during fiscal 2025. As of February 28, 2025, $186.9 million remained authorized under our share repurchase program. Refer to Part II, Item 2. </w:t>
      </w:r>
      <w:r>
        <w:rPr>
          <w:rFonts w:ascii="Times New Roman" w:cs="Times New Roman" w:eastAsia="Times New Roman" w:hAnsi="Times New Roman"/>
          <w:sz w:val="18"/>
          <w:szCs w:val="18"/>
          <w:i w:val="1"/>
          <w:iCs w:val="1"/>
          <w:color w:val="auto"/>
        </w:rPr>
        <w:t>Unregistered Sales of Equity Securities and Use of Proceeds</w:t>
      </w:r>
      <w:r>
        <w:rPr>
          <w:rFonts w:ascii="Times New Roman" w:cs="Times New Roman" w:eastAsia="Times New Roman" w:hAnsi="Times New Roman"/>
          <w:sz w:val="18"/>
          <w:szCs w:val="18"/>
          <w:color w:val="auto"/>
        </w:rPr>
        <w:t>, of this Quarterly Report on Form 10-Q for further discussion on our share repurchase program.</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six months ended February 28, 2025 and February 29, 2024, we paid dividends of $78.8 million and $74.1 million, respectively. Future cash dividend payments are subject to final determination by our Board of Directors and will depend on our earnings, capital requirements, financial condition and other relevant factors.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six months ended February 28, 2025, capital expenditures increased by 29.2% to $49.6 million, compared with $38.4 million for the same period a year ago. This increase was primarily due to higher capitalized costs related to the development of our internal-use software.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 Holdings, LLC ("LiquidityBook")</w:t>
      </w:r>
    </w:p>
    <w:p>
      <w:pPr>
        <w:spacing w:after="0" w:line="17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On February 7, 2025 we completed the acquisition of LiquidityBook for a purchase price of $243.8 million, net of cash acquired, and inclusive of preliminary working capital adjustments. The purchase price includes contingent consideration of $11.9 million which reflects the acquisition date fair value of potential future payments that are contingent upon the achievement of certain specified milestones. LiquidityBook provides cloud-native trading solutions to hedge fund, asset and wealth management, outsourced trading, and sell-side middle office clients. LiquidityBook operates a proprietary FIX network that enables streamlined connectivity to over 200 brokers and order routing to more than 1,600 destinations across 80 markets globally. This acquisition adds technology-forward order management and investment book of record capabilities and enhances FactSet’s ability to serve the integrated workflow needs of clients across the portfolio life cycle.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Platform Group Limited ("Irwin")</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November 5, 2024, we completed the acquisition of Irwin for a purchase price of $120.2 million, net of cash acquired, and inclusive of preliminary working capital adjustments. The purchase price includes contingent consideration of $9.6 million which reflects the acquisition date fair value of potential future payments that are contingent upon the achievement of certain specified milestones. Irwin is a leading investor relations and capital markets platform for public companies and their advisors. This acquisition builds on a recent successful partnership between FactSet and Irwin, and expands our ability to address the holistic workflow needs of investor relations professionals with an integrated, modern solution.</w:t>
      </w:r>
    </w:p>
    <w:p>
      <w:pPr>
        <w:spacing w:after="0" w:line="15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Refer to Note 6,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xml:space="preserve"> in the Notes to the Consolidated Financial Statements included in Part I, Item 1. of this Quarterly Report on Form 10-Q for further discussion of these acquisitions.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Purchase obligations represent our legally-binding agreements to purchase fixed or minimum quantities at determinable prices. As of August 31, 2024, we had total purchase obligations with suppliers and vendors of $382.6 million. Our total purchase obligations as of August 31, 2024 primarily related to hosting services, acquisition of data and, to a lesser extent, third-party software providers. For the six months ended February 28, 2025, we had no new material purchase obligations.</w:t>
      </w:r>
    </w:p>
    <w:p>
      <w:pPr>
        <w:spacing w:after="0" w:line="15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We also have contractual obligations related to our lease liabilities and outstanding debt. Refer to Note 10,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and Note 11,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in the Notes to the Consolidated Financial Statements included in Part I, Item 1. of this Quarterly Report on Form 10-Q for information regarding lease commitments and outstanding debt obligations, respectively.</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Summary of Cash Flows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our net cash flow activity for the periods presented: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20" w:type="dxa"/>
            <w:vAlign w:val="bottom"/>
            <w:gridSpan w:val="3"/>
          </w:tcPr>
          <w:p>
            <w:pPr>
              <w:jc w:val="right"/>
              <w:ind w:right="750"/>
              <w:spacing w:after="0"/>
              <w:rPr>
                <w:sz w:val="20"/>
                <w:szCs w:val="20"/>
                <w:color w:val="auto"/>
              </w:rPr>
            </w:pPr>
            <w:r>
              <w:rPr>
                <w:rFonts w:ascii="Times New Roman" w:cs="Times New Roman" w:eastAsia="Times New Roman" w:hAnsi="Times New Roman"/>
                <w:sz w:val="18"/>
                <w:szCs w:val="18"/>
                <w:color w:val="auto"/>
              </w:rPr>
              <w:t>Six Months Ended</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(dollar amounts in thousands)</w:t>
            </w:r>
          </w:p>
        </w:tc>
        <w:tc>
          <w:tcPr>
            <w:tcW w:w="200" w:type="dxa"/>
            <w:vAlign w:val="bottom"/>
          </w:tcPr>
          <w:p>
            <w:pPr>
              <w:spacing w:after="0"/>
              <w:rPr>
                <w:sz w:val="19"/>
                <w:szCs w:val="19"/>
                <w:color w:val="auto"/>
              </w:rPr>
            </w:pPr>
          </w:p>
        </w:tc>
        <w:tc>
          <w:tcPr>
            <w:tcW w:w="13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February 28,</w:t>
            </w:r>
          </w:p>
        </w:tc>
        <w:tc>
          <w:tcPr>
            <w:tcW w:w="220" w:type="dxa"/>
            <w:vAlign w:val="bottom"/>
          </w:tcPr>
          <w:p>
            <w:pPr>
              <w:spacing w:after="0"/>
              <w:rPr>
                <w:sz w:val="19"/>
                <w:szCs w:val="19"/>
                <w:color w:val="auto"/>
              </w:rPr>
            </w:pPr>
          </w:p>
        </w:tc>
        <w:tc>
          <w:tcPr>
            <w:tcW w:w="13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February 29,</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080" w:type="dxa"/>
            <w:vAlign w:val="bottom"/>
            <w:tcBorders>
              <w:bottom w:val="single" w:sz="8" w:color="auto"/>
            </w:tcBorders>
            <w:vMerge w:val="continue"/>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 Change</w:t>
            </w:r>
          </w:p>
        </w:tc>
        <w:tc>
          <w:tcPr>
            <w:tcW w:w="0" w:type="dxa"/>
            <w:vAlign w:val="bottom"/>
          </w:tcPr>
          <w:p>
            <w:pPr>
              <w:spacing w:after="0"/>
              <w:rPr>
                <w:sz w:val="1"/>
                <w:szCs w:val="1"/>
                <w:color w:val="auto"/>
              </w:rPr>
            </w:pPr>
          </w:p>
        </w:tc>
      </w:tr>
      <w:tr>
        <w:trPr>
          <w:trHeight w:val="223"/>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260,327</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298,942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(38,615)</w:t>
            </w:r>
          </w:p>
        </w:tc>
        <w:tc>
          <w:tcPr>
            <w:tcW w:w="0" w:type="dxa"/>
            <w:vAlign w:val="bottom"/>
          </w:tcPr>
          <w:p>
            <w:pPr>
              <w:spacing w:after="0"/>
              <w:rPr>
                <w:sz w:val="1"/>
                <w:szCs w:val="1"/>
                <w:color w:val="auto"/>
              </w:rPr>
            </w:pPr>
          </w:p>
        </w:tc>
      </w:tr>
      <w:tr>
        <w:trPr>
          <w:trHeight w:val="230"/>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(338,124)</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(83,319)</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(254,805)</w:t>
            </w:r>
          </w:p>
        </w:tc>
        <w:tc>
          <w:tcPr>
            <w:tcW w:w="0" w:type="dxa"/>
            <w:vAlign w:val="bottom"/>
          </w:tcPr>
          <w:p>
            <w:pPr>
              <w:spacing w:after="0"/>
              <w:rPr>
                <w:sz w:val="1"/>
                <w:szCs w:val="1"/>
                <w:color w:val="auto"/>
              </w:rPr>
            </w:pPr>
          </w:p>
        </w:tc>
      </w:tr>
      <w:tr>
        <w:trPr>
          <w:trHeight w:val="22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(45,542)</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(259,227)</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213,685</w:t>
            </w:r>
          </w:p>
        </w:tc>
        <w:tc>
          <w:tcPr>
            <w:tcW w:w="0" w:type="dxa"/>
            <w:vAlign w:val="bottom"/>
          </w:tcPr>
          <w:p>
            <w:pPr>
              <w:spacing w:after="0"/>
              <w:rPr>
                <w:sz w:val="1"/>
                <w:szCs w:val="1"/>
                <w:color w:val="auto"/>
              </w:rPr>
            </w:pPr>
          </w:p>
        </w:tc>
      </w:tr>
      <w:tr>
        <w:trPr>
          <w:trHeight w:val="230"/>
        </w:trPr>
        <w:tc>
          <w:tcPr>
            <w:tcW w:w="7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(8,048)</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(7,916)</w:t>
            </w:r>
          </w:p>
        </w:tc>
        <w:tc>
          <w:tcPr>
            <w:tcW w:w="0" w:type="dxa"/>
            <w:vAlign w:val="bottom"/>
          </w:tcPr>
          <w:p>
            <w:pPr>
              <w:spacing w:after="0"/>
              <w:rPr>
                <w:sz w:val="1"/>
                <w:szCs w:val="1"/>
                <w:color w:val="auto"/>
              </w:rPr>
            </w:pPr>
          </w:p>
        </w:tc>
      </w:tr>
      <w:tr>
        <w:trPr>
          <w:trHeight w:val="223"/>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(131,387)</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(43,736)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(87,651)</w:t>
            </w:r>
          </w:p>
        </w:tc>
        <w:tc>
          <w:tcPr>
            <w:tcW w:w="0" w:type="dxa"/>
            <w:vAlign w:val="bottom"/>
          </w:tcPr>
          <w:p>
            <w:pPr>
              <w:spacing w:after="0"/>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six months ended February 28, 2025, net cash provided by operating activities was $260.3 million, which included net income of $294.9 million, non-cash charges of $131.4 million and a net cash outflow of $166.0 million to support our working</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capital requirements. The non-cash charges were primarily driven by depreciation and amortization. The change in our working capital was primarily driven by cash outflows related to payments to resolve an outstanding sales tax dispute, timing of income tax and vendor payments, and timing of client collections.</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six months ended February 29, 2024, net cash provided by operating activities was $298.9 million, which included net income of $289.5 million, non-cash charges of $117.5 million and a net cash outflow of $108.1 million to support our working capital requirements. The non-cash charges were primarily driven by depreciation and amortization and stock-based compensation expense. The change in our working capital was primarily driven by a cash outflow related to our annual variable compensation payment and higher accounts receivable due to an increase in sales and days sales outstanding.</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Investing</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six months ended February 28, 2025, net cash used in investing activities was $338.1 million. The cash used in investing activities primarily consisted of $342.5 million of acquisition-related consideration related to the Irwin and LiquidityBook transactions and $49.6 million of capital expenditures driven by the capitalization of internal-use software development costs, partially offset by $58.2 million in proceeds from our investments in mutual funds.</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six months ended February 29, 2024, net cash used in investing activities was $83.3 million. The cash used in investing activities was primarily related to $44.9 million of purchases of investments, mainly in mutual funds, and capital expenditures of $38.4 million driven by the capitalization of internal-use software development costs.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six months ended February 28, 2025, net cash used in financing activities was $45.5 million, consisting mainly of $200.0 million related to the repayment of the 2022 Credit Facilities, $113.1 million of share repurchases and $78.8 million of dividend payments, partially offset by $305.0 million of proceeds related to additional borrowings under the 2022 Revolving Facility.</w:t>
      </w:r>
    </w:p>
    <w:p>
      <w:pPr>
        <w:spacing w:after="0" w:line="1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six months ended February 29, 2024, net cash used in financing activities was $259.2 million, consisting mainly of $125.0 million related to the partial repayment of the 2022 Term Facility, $112.2 million of share repurchases and $74.1 million of dividend payments, partially offset by $66.5 million of proceeds from employee stock plans.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Free Cash Flow</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define free cash flow, a non-GAAP financial measure, as cash provided by operating activities less purchases of property, equipment and leasehold improvements ("PPE") and capitalized internal-use software. We believe free cash flow is a liquidity measure that provides useful information to management and investors about the amount of cash generated by the business that, after capital expenditures, can be used for strategic opportunities, including returning value to stockholders, investing in our business, making strategic acquisitions and strengthening the balance sheet. Free cash flow should be considered in addition to, rather than as a substitute for, consolidated net income as a measure of our performance and net cash provided by operating activities as a measure of our liquidity.</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reconciles our net cash provided by operating activities to free cash flow:</w:t>
            </w: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6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74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Six Months Ended</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8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(dollar amounts in thousands)</w:t>
            </w:r>
          </w:p>
        </w:tc>
        <w:tc>
          <w:tcPr>
            <w:tcW w:w="200" w:type="dxa"/>
            <w:vAlign w:val="bottom"/>
          </w:tcPr>
          <w:p>
            <w:pPr>
              <w:spacing w:after="0"/>
              <w:rPr>
                <w:sz w:val="19"/>
                <w:szCs w:val="19"/>
                <w:color w:val="auto"/>
              </w:rPr>
            </w:pPr>
          </w:p>
        </w:tc>
        <w:tc>
          <w:tcPr>
            <w:tcW w:w="12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February 28,</w:t>
            </w:r>
          </w:p>
        </w:tc>
        <w:tc>
          <w:tcPr>
            <w:tcW w:w="180" w:type="dxa"/>
            <w:vAlign w:val="bottom"/>
          </w:tcPr>
          <w:p>
            <w:pPr>
              <w:spacing w:after="0"/>
              <w:rPr>
                <w:sz w:val="19"/>
                <w:szCs w:val="19"/>
                <w:color w:val="auto"/>
              </w:rPr>
            </w:pPr>
          </w:p>
        </w:tc>
        <w:tc>
          <w:tcPr>
            <w:tcW w:w="12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February 29,</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820" w:type="dxa"/>
            <w:vAlign w:val="bottom"/>
            <w:tcBorders>
              <w:bottom w:val="single" w:sz="8" w:color="auto"/>
            </w:tcBorders>
            <w:vMerge w:val="continue"/>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2025</w:t>
            </w: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2024</w:t>
            </w: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 Change</w:t>
            </w:r>
          </w:p>
        </w:tc>
        <w:tc>
          <w:tcPr>
            <w:tcW w:w="0" w:type="dxa"/>
            <w:vAlign w:val="bottom"/>
          </w:tcPr>
          <w:p>
            <w:pPr>
              <w:spacing w:after="0"/>
              <w:rPr>
                <w:sz w:val="1"/>
                <w:szCs w:val="1"/>
                <w:color w:val="auto"/>
              </w:rPr>
            </w:pPr>
          </w:p>
        </w:tc>
      </w:tr>
      <w:tr>
        <w:trPr>
          <w:trHeight w:val="223"/>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260,327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298,942</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(38,615)</w:t>
            </w:r>
          </w:p>
        </w:tc>
        <w:tc>
          <w:tcPr>
            <w:tcW w:w="0" w:type="dxa"/>
            <w:vAlign w:val="bottom"/>
          </w:tcPr>
          <w:p>
            <w:pPr>
              <w:spacing w:after="0"/>
              <w:rPr>
                <w:sz w:val="1"/>
                <w:szCs w:val="1"/>
                <w:color w:val="auto"/>
              </w:rPr>
            </w:pPr>
          </w:p>
        </w:tc>
      </w:tr>
      <w:tr>
        <w:trPr>
          <w:trHeight w:val="175"/>
        </w:trPr>
        <w:tc>
          <w:tcPr>
            <w:tcW w:w="68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Less: purchases of property, equipment, leasehold improvements and capitalized internal-use</w:t>
            </w: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(49,610)</w:t>
            </w:r>
          </w:p>
        </w:tc>
        <w:tc>
          <w:tcPr>
            <w:tcW w:w="1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(38,383)</w:t>
            </w: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(11,227)</w:t>
            </w:r>
          </w:p>
        </w:tc>
        <w:tc>
          <w:tcPr>
            <w:tcW w:w="0" w:type="dxa"/>
            <w:vAlign w:val="bottom"/>
          </w:tcPr>
          <w:p>
            <w:pPr>
              <w:spacing w:after="0"/>
              <w:rPr>
                <w:sz w:val="1"/>
                <w:szCs w:val="1"/>
                <w:color w:val="auto"/>
              </w:rPr>
            </w:pPr>
          </w:p>
        </w:tc>
      </w:tr>
      <w:tr>
        <w:trPr>
          <w:trHeight w:val="223"/>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Free cash flow</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210,717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260,559</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(49,842)</w:t>
            </w: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generated free cash flow of $210.7 million during the six months ended February 28, 2025, a decrease of $49.8 million compared with the same period a year ago. This decrease was driven by a $38.6 million reduction in cash provided by operating activities, primarily due to an increase in working capital requirements, and higher capitalized costs mainly related to the development of our internal-use software. The increase in working capital requirements was mainly due to the resolution of a sales tax dispute, the timing of income tax and vendor payments, and timing of client collections.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Off-Balance Sheet Arrangements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As of February 28, 2025 and August 31, 2024, we had no off-balance sheet financing other than letters of credit incurred in the ordinary course of business. Refer to Note 11,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and Note 12,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in the Notes to the Consolidated Financial Statements included in Part I, Item 1 of this Quarterly Report on Form 10-Q for more information on our letters of credit.</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February 28, 2025 and August 31, 2024, we also had no other arrangements with unconsolidated entities or financial partnerships (such as entities often referred to as structured finance or special purpose entities) established for purposes of facilitating off-balance sheet financing, other debt arrangements, or other contractually limited purposes.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Foreign Currency Exposure</w:t>
      </w:r>
    </w:p>
    <w:p>
      <w:pPr>
        <w:spacing w:after="0" w:line="1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we operate globally, we are exposed to the risk that our financial condition, results of operations and cash flows could be impacted by changes in foreign currency exchange rates. During the six months ended February 28, 2025 and February 29, 2024, we maintained a series of foreign currency forward contracts to hedge a portion of our projected operating expenses in our primary currency exposures, namely the British Pound Sterling, Euro, Indian Rupee and Philippine Peso. As of February 28, 2025, the hedge maturity periods of our outstanding foreign currency forward contracts range from the third quarter of fiscal 2025 through the second quarter of fiscal 2026.</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gross notional value of our foreign currency forward contracts to purchase the respective local currency with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dollars as of February 28, 2025 and August 31, 2024:</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7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3040" w:type="dxa"/>
            <w:vAlign w:val="bottom"/>
            <w:gridSpan w:val="3"/>
          </w:tcPr>
          <w:p>
            <w:pPr>
              <w:jc w:val="right"/>
              <w:ind w:right="1090"/>
              <w:spacing w:after="0"/>
              <w:rPr>
                <w:sz w:val="20"/>
                <w:szCs w:val="20"/>
                <w:color w:val="auto"/>
              </w:rPr>
            </w:pPr>
            <w:r>
              <w:rPr>
                <w:rFonts w:ascii="Times New Roman" w:cs="Times New Roman" w:eastAsia="Times New Roman" w:hAnsi="Times New Roman"/>
                <w:sz w:val="18"/>
                <w:szCs w:val="18"/>
                <w:color w:val="auto"/>
              </w:rPr>
              <w:t>February 28, 2025</w:t>
            </w:r>
          </w:p>
        </w:tc>
        <w:tc>
          <w:tcPr>
            <w:tcW w:w="660" w:type="dxa"/>
            <w:vAlign w:val="bottom"/>
          </w:tcPr>
          <w:p>
            <w:pPr>
              <w:spacing w:after="0"/>
              <w:rPr>
                <w:sz w:val="19"/>
                <w:szCs w:val="19"/>
                <w:color w:val="auto"/>
              </w:rPr>
            </w:pPr>
          </w:p>
        </w:tc>
        <w:tc>
          <w:tcPr>
            <w:tcW w:w="3040" w:type="dxa"/>
            <w:vAlign w:val="bottom"/>
            <w:gridSpan w:val="3"/>
          </w:tcPr>
          <w:p>
            <w:pPr>
              <w:jc w:val="right"/>
              <w:ind w:right="1170"/>
              <w:spacing w:after="0"/>
              <w:rPr>
                <w:sz w:val="20"/>
                <w:szCs w:val="20"/>
                <w:color w:val="auto"/>
              </w:rPr>
            </w:pPr>
            <w:r>
              <w:rPr>
                <w:rFonts w:ascii="Times New Roman" w:cs="Times New Roman" w:eastAsia="Times New Roman" w:hAnsi="Times New Roman"/>
                <w:sz w:val="18"/>
                <w:szCs w:val="18"/>
                <w:color w:val="auto"/>
              </w:rPr>
              <w:t>August 31, 2024</w:t>
            </w:r>
          </w:p>
        </w:tc>
        <w:tc>
          <w:tcPr>
            <w:tcW w:w="0" w:type="dxa"/>
            <w:vAlign w:val="bottom"/>
          </w:tcPr>
          <w:p>
            <w:pPr>
              <w:spacing w:after="0"/>
              <w:rPr>
                <w:sz w:val="1"/>
                <w:szCs w:val="1"/>
                <w:color w:val="auto"/>
              </w:rPr>
            </w:pPr>
          </w:p>
        </w:tc>
      </w:tr>
      <w:tr>
        <w:trPr>
          <w:trHeight w:val="180"/>
        </w:trPr>
        <w:tc>
          <w:tcPr>
            <w:tcW w:w="27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7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tcPr>
          <w:p>
            <w:pPr>
              <w:jc w:val="right"/>
              <w:ind w:right="150"/>
              <w:spacing w:after="0" w:line="181" w:lineRule="exact"/>
              <w:rPr>
                <w:sz w:val="20"/>
                <w:szCs w:val="20"/>
                <w:color w:val="auto"/>
              </w:rPr>
            </w:pPr>
            <w:r>
              <w:rPr>
                <w:rFonts w:ascii="Times New Roman" w:cs="Times New Roman" w:eastAsia="Times New Roman" w:hAnsi="Times New Roman"/>
                <w:sz w:val="18"/>
                <w:szCs w:val="18"/>
                <w:color w:val="auto"/>
              </w:rPr>
              <w:t>Notional Contract</w:t>
            </w:r>
          </w:p>
        </w:tc>
        <w:tc>
          <w:tcPr>
            <w:tcW w:w="6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tcPr>
          <w:p>
            <w:pPr>
              <w:jc w:val="right"/>
              <w:ind w:right="170"/>
              <w:spacing w:after="0" w:line="181" w:lineRule="exact"/>
              <w:rPr>
                <w:sz w:val="20"/>
                <w:szCs w:val="20"/>
                <w:color w:val="auto"/>
              </w:rPr>
            </w:pPr>
            <w:r>
              <w:rPr>
                <w:rFonts w:ascii="Times New Roman" w:cs="Times New Roman" w:eastAsia="Times New Roman" w:hAnsi="Times New Roman"/>
                <w:sz w:val="18"/>
                <w:szCs w:val="18"/>
                <w:color w:val="auto"/>
              </w:rPr>
              <w:t>Notional Contract</w:t>
            </w:r>
          </w:p>
        </w:tc>
        <w:tc>
          <w:tcPr>
            <w:tcW w:w="0" w:type="dxa"/>
            <w:vAlign w:val="bottom"/>
          </w:tcPr>
          <w:p>
            <w:pPr>
              <w:spacing w:after="0"/>
              <w:rPr>
                <w:sz w:val="1"/>
                <w:szCs w:val="1"/>
                <w:color w:val="auto"/>
              </w:rPr>
            </w:pPr>
          </w:p>
        </w:tc>
      </w:tr>
      <w:tr>
        <w:trPr>
          <w:trHeight w:val="243"/>
        </w:trPr>
        <w:tc>
          <w:tcPr>
            <w:tcW w:w="2740" w:type="dxa"/>
            <w:vAlign w:val="bottom"/>
            <w:vMerge w:val="continue"/>
          </w:tcPr>
          <w:p>
            <w:pPr>
              <w:spacing w:after="0"/>
              <w:rPr>
                <w:sz w:val="21"/>
                <w:szCs w:val="21"/>
                <w:color w:val="auto"/>
              </w:rPr>
            </w:pPr>
          </w:p>
        </w:tc>
        <w:tc>
          <w:tcPr>
            <w:tcW w:w="3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Local Currency Amount</w:t>
            </w:r>
          </w:p>
        </w:tc>
        <w:tc>
          <w:tcPr>
            <w:tcW w:w="180" w:type="dxa"/>
            <w:vAlign w:val="bottom"/>
          </w:tcPr>
          <w:p>
            <w:pPr>
              <w:spacing w:after="0"/>
              <w:rPr>
                <w:sz w:val="21"/>
                <w:szCs w:val="21"/>
                <w:color w:val="auto"/>
              </w:rPr>
            </w:pPr>
          </w:p>
        </w:tc>
        <w:tc>
          <w:tcPr>
            <w:tcW w:w="16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Amount (USD)</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Local Currency Amount</w:t>
            </w:r>
          </w:p>
        </w:tc>
        <w:tc>
          <w:tcPr>
            <w:tcW w:w="180" w:type="dxa"/>
            <w:vAlign w:val="bottom"/>
          </w:tcPr>
          <w:p>
            <w:pPr>
              <w:spacing w:after="0"/>
              <w:rPr>
                <w:sz w:val="21"/>
                <w:szCs w:val="21"/>
                <w:color w:val="auto"/>
              </w:rPr>
            </w:pPr>
          </w:p>
        </w:tc>
        <w:tc>
          <w:tcPr>
            <w:tcW w:w="16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Amount (USD)</w:t>
            </w:r>
          </w:p>
        </w:tc>
        <w:tc>
          <w:tcPr>
            <w:tcW w:w="0" w:type="dxa"/>
            <w:vAlign w:val="bottom"/>
          </w:tcPr>
          <w:p>
            <w:pPr>
              <w:spacing w:after="0"/>
              <w:rPr>
                <w:sz w:val="1"/>
                <w:szCs w:val="1"/>
                <w:color w:val="auto"/>
              </w:rPr>
            </w:pPr>
          </w:p>
        </w:tc>
      </w:tr>
      <w:tr>
        <w:trPr>
          <w:trHeight w:val="230"/>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British Pound Sterling</w:t>
            </w:r>
          </w:p>
        </w:tc>
        <w:tc>
          <w:tcPr>
            <w:tcW w:w="176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55,323</w:t>
            </w:r>
          </w:p>
        </w:tc>
        <w:tc>
          <w:tcPr>
            <w:tcW w:w="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52,372</w:t>
            </w:r>
          </w:p>
        </w:tc>
        <w:tc>
          <w:tcPr>
            <w:tcW w:w="0" w:type="dxa"/>
            <w:vAlign w:val="bottom"/>
          </w:tcPr>
          <w:p>
            <w:pPr>
              <w:spacing w:after="0"/>
              <w:rPr>
                <w:sz w:val="1"/>
                <w:szCs w:val="1"/>
                <w:color w:val="auto"/>
              </w:rPr>
            </w:pPr>
          </w:p>
        </w:tc>
      </w:tr>
      <w:tr>
        <w:trPr>
          <w:trHeight w:val="229"/>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Indian Rupee</w:t>
            </w:r>
          </w:p>
        </w:tc>
        <w:tc>
          <w:tcPr>
            <w:tcW w:w="176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Rs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4,325,590</w:t>
            </w: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50,100</w:t>
            </w:r>
          </w:p>
        </w:tc>
        <w:tc>
          <w:tcPr>
            <w:tcW w:w="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4,651,351</w:t>
            </w: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55,200</w:t>
            </w:r>
          </w:p>
        </w:tc>
        <w:tc>
          <w:tcPr>
            <w:tcW w:w="0" w:type="dxa"/>
            <w:vAlign w:val="bottom"/>
          </w:tcPr>
          <w:p>
            <w:pPr>
              <w:spacing w:after="0"/>
              <w:rPr>
                <w:sz w:val="1"/>
                <w:szCs w:val="1"/>
                <w:color w:val="auto"/>
              </w:rPr>
            </w:pPr>
          </w:p>
        </w:tc>
      </w:tr>
      <w:tr>
        <w:trPr>
          <w:trHeight w:val="230"/>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w:t>
            </w:r>
          </w:p>
        </w:tc>
        <w:tc>
          <w:tcPr>
            <w:tcW w:w="176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33,600</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36,398</w:t>
            </w:r>
          </w:p>
        </w:tc>
        <w:tc>
          <w:tcPr>
            <w:tcW w:w="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43,800</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48,183</w:t>
            </w:r>
          </w:p>
        </w:tc>
        <w:tc>
          <w:tcPr>
            <w:tcW w:w="0" w:type="dxa"/>
            <w:vAlign w:val="bottom"/>
          </w:tcPr>
          <w:p>
            <w:pPr>
              <w:spacing w:after="0"/>
              <w:rPr>
                <w:sz w:val="1"/>
                <w:szCs w:val="1"/>
                <w:color w:val="auto"/>
              </w:rPr>
            </w:pPr>
          </w:p>
        </w:tc>
      </w:tr>
      <w:tr>
        <w:trPr>
          <w:trHeight w:val="230"/>
        </w:trPr>
        <w:tc>
          <w:tcPr>
            <w:tcW w:w="2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Philippine Peso</w:t>
            </w:r>
          </w:p>
        </w:tc>
        <w:tc>
          <w:tcPr>
            <w:tcW w:w="1760" w:type="dxa"/>
            <w:vAlign w:val="bottom"/>
            <w:tcBorders>
              <w:bottom w:val="single" w:sz="8" w:color="CCEEFF"/>
            </w:tcBorders>
          </w:tcPr>
          <w:p>
            <w:pPr>
              <w:ind w:left="11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1,957,088</w:t>
            </w: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33,600</w:t>
            </w:r>
          </w:p>
        </w:tc>
        <w:tc>
          <w:tcPr>
            <w:tcW w:w="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1,850,674</w:t>
            </w: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32,400</w:t>
            </w:r>
          </w:p>
        </w:tc>
        <w:tc>
          <w:tcPr>
            <w:tcW w:w="0" w:type="dxa"/>
            <w:vAlign w:val="bottom"/>
          </w:tcPr>
          <w:p>
            <w:pPr>
              <w:spacing w:after="0"/>
              <w:rPr>
                <w:sz w:val="1"/>
                <w:szCs w:val="1"/>
                <w:color w:val="auto"/>
              </w:rPr>
            </w:pPr>
          </w:p>
        </w:tc>
      </w:tr>
      <w:tr>
        <w:trPr>
          <w:trHeight w:val="223"/>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7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175,421</w:t>
            </w:r>
          </w:p>
        </w:tc>
        <w:tc>
          <w:tcPr>
            <w:tcW w:w="6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188,155</w:t>
            </w:r>
          </w:p>
        </w:tc>
        <w:tc>
          <w:tcPr>
            <w:tcW w:w="0" w:type="dxa"/>
            <w:vAlign w:val="bottom"/>
          </w:tcPr>
          <w:p>
            <w:pPr>
              <w:spacing w:after="0"/>
              <w:rPr>
                <w:sz w:val="1"/>
                <w:szCs w:val="1"/>
                <w:color w:val="auto"/>
              </w:rPr>
            </w:pPr>
          </w:p>
        </w:tc>
      </w:tr>
    </w:tbl>
    <w:p>
      <w:pPr>
        <w:spacing w:after="0" w:line="250"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 xml:space="preserve">Refer to Part I, Item 3. </w:t>
      </w:r>
      <w:r>
        <w:rPr>
          <w:rFonts w:ascii="Times New Roman" w:cs="Times New Roman" w:eastAsia="Times New Roman" w:hAnsi="Times New Roman"/>
          <w:sz w:val="18"/>
          <w:szCs w:val="18"/>
          <w:i w:val="1"/>
          <w:iCs w:val="1"/>
          <w:color w:val="auto"/>
        </w:rPr>
        <w:t>Quantitative and Qualitative Disclosures About Market Risk</w:t>
      </w:r>
      <w:r>
        <w:rPr>
          <w:rFonts w:ascii="Times New Roman" w:cs="Times New Roman" w:eastAsia="Times New Roman" w:hAnsi="Times New Roman"/>
          <w:sz w:val="18"/>
          <w:szCs w:val="18"/>
          <w:color w:val="auto"/>
        </w:rPr>
        <w:t xml:space="preserve"> of this Quarterly Report on Form 10-Q for more information on our foreign currency exposures.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Critical Accounting Estimates</w:t>
      </w:r>
    </w:p>
    <w:p>
      <w:pPr>
        <w:spacing w:after="0" w:line="2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prepare the Consolidated Financial Statements in conformity with GAAP, which requires us to make certain estimates and apply judgements that affect the reported amounts of assets, liabilities, revenues and expenses and related disclosures. We base our estimates on historical experience and other assumptions that we believe to be reasonable at the time the Consolidated Financial Statements are prepared and, as such, they may ultimately differ materially from actual results.</w:t>
      </w:r>
    </w:p>
    <w:p>
      <w:pPr>
        <w:spacing w:after="0" w:line="151"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color w:val="auto"/>
        </w:rPr>
        <w:t xml:space="preserve">We describe our significant accounting policies in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in the Notes to the Consolidated Financial Statements included in Part II, Item 8. of our Annual Report on Form 10-K for the fiscal year ended August 31, 2024. These accounting policies were consistently applied in preparing our Consolidated Financial Statements for the six months ended February 28, 2025.</w:t>
      </w:r>
    </w:p>
    <w:p>
      <w:pPr>
        <w:spacing w:after="0" w:line="13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We disclosed our critical accounting estimates in Part II, Item 7.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Critical Accounting Estimates, </w:t>
      </w:r>
      <w:r>
        <w:rPr>
          <w:rFonts w:ascii="Times New Roman" w:cs="Times New Roman" w:eastAsia="Times New Roman" w:hAnsi="Times New Roman"/>
          <w:sz w:val="18"/>
          <w:szCs w:val="18"/>
          <w:color w:val="auto"/>
        </w:rPr>
        <w:t>of our Annual Report on Form 10-K for the fiscal year ended August 31, 2024. There were no significant changes in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critical accounting estimates during the six months ended February 28, 2025.</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New Accounting Pronouncements</w:t>
      </w:r>
    </w:p>
    <w:p>
      <w:pPr>
        <w:spacing w:after="0" w:line="19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For a discussion of accounting pronouncements recently adopted and those issued but not yet adopted, refer to Note 2, </w:t>
      </w:r>
      <w:r>
        <w:rPr>
          <w:rFonts w:ascii="Times New Roman" w:cs="Times New Roman" w:eastAsia="Times New Roman" w:hAnsi="Times New Roman"/>
          <w:sz w:val="18"/>
          <w:szCs w:val="18"/>
          <w:i w:val="1"/>
          <w:iCs w:val="1"/>
          <w:color w:val="auto"/>
        </w:rPr>
        <w:t>Summary of Significant Accounting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Policies</w:t>
      </w:r>
      <w:r>
        <w:rPr>
          <w:rFonts w:ascii="Times New Roman" w:cs="Times New Roman" w:eastAsia="Times New Roman" w:hAnsi="Times New Roman"/>
          <w:sz w:val="18"/>
          <w:szCs w:val="18"/>
          <w:color w:val="auto"/>
        </w:rPr>
        <w:t>, in the Notes to the Consolidated Financial Statements included in Part I, Item 1. of this Quarterly Report on Form 10-Q, which we include herein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reference.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ITEM 3. QUANTITATIVE AND QUALITATIVE DISCLOSURES ABOUT MARKET RISK</w:t>
      </w:r>
    </w:p>
    <w:p>
      <w:pPr>
        <w:spacing w:after="0" w:line="20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normal course of business, we are exposed to foreign currency exchange risk and interest rate risk that could impact our financial position and results of operations. Current market events have not required us to materially modify our financial risk management strategies with respect to our exposures to foreign currency exchange risk or interest rate risk.</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Transaction Risk</w:t>
      </w:r>
    </w:p>
    <w:p>
      <w:pPr>
        <w:spacing w:after="0" w:line="2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we operate globally, we are exposed to the risk that our financial condition, results of operations and cash flows could be impacted by changes in foreign currency exchange rates. During the six months ended February 28, 2025, we maintained a series of foreign currency forward contracts to hedge a portion of our projected operating expenses in these primary currency exposures, namely the British Pound Sterling, Euro, Indian Rupee and Philippine Peso. As of February 28, 2025, the hedge maturity periods of our outstanding foreign currency forward contracts range from the third quarter of fiscal 2025 through the second quarter of fiscal 2026. Based on the operating income for the three and six months ended February 28, 2025, comparing the average foreign currency exchange rates for the three and six months ended February 28, 2025 to the rates for the three and six months ended February 29, 2024, net of hedge activity, resulted in an increase in operating income of $1.3 million and $0.2 million, respectively. We utilize cash flow hedges to manage risk and not for speculative or trading purposes.</w:t>
      </w:r>
    </w:p>
    <w:p>
      <w:pPr>
        <w:spacing w:after="0" w:line="1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performed a sensitivity analysis to determine the effects on both the fair value of our outstanding foreign currency forward contracts and our operating income, excluding these forward contracts, of a hypothetical devaluation of the U.S. dollar by 10% as of February 28, 2025, relative to the other foreign currencies in which we transact. The sensitivity analysis indicated that a devaluation of the U.S. dollar by 10% would have increased the fair value of our outstanding forward contracts by approximately $17 million as of February 28, 2025 and decreased our operating income, excluding these forward contracts, by an estimated $22 million for six months ended February 28, 2025. This sensitivity analysis has inherent limitations as it disregards the possibility that rates of multiple foreign currencies will not always move in the same direction relative to the value of the U.S. dollar over time and does not account for our forward contracts that we utilize to mitigate fluctuations in exchange rates.</w:t>
      </w:r>
    </w:p>
    <w:p>
      <w:pPr>
        <w:spacing w:after="0" w:line="14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Refer to Note 5, </w:t>
      </w:r>
      <w:r>
        <w:rPr>
          <w:rFonts w:ascii="Times New Roman" w:cs="Times New Roman" w:eastAsia="Times New Roman" w:hAnsi="Times New Roman"/>
          <w:sz w:val="18"/>
          <w:szCs w:val="18"/>
          <w:i w:val="1"/>
          <w:iCs w:val="1"/>
          <w:color w:val="auto"/>
        </w:rPr>
        <w:t>Derivative Instruments</w:t>
      </w:r>
      <w:r>
        <w:rPr>
          <w:rFonts w:ascii="Times New Roman" w:cs="Times New Roman" w:eastAsia="Times New Roman" w:hAnsi="Times New Roman"/>
          <w:sz w:val="18"/>
          <w:szCs w:val="18"/>
          <w:color w:val="auto"/>
        </w:rPr>
        <w:t xml:space="preserve"> in the Notes to the Consolidated Financial Statements included in Part I, Item 1. of this Quarterly Report on Form 10-Q, for more information on our foreign currency exposures and our foreign currency forward contracts.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Translation Risk</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exposed to foreign currency risk due to the translation of our results from certain international operations into U.S. Dollars, as part of the consolidation process. Fluctuations in foreign currency exchange rates can create volatility in our results of operations and our financial condition.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reflects the foreign currency translation adjustment gains and losses recorded in Other comprehensive income (loss):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20" w:type="dxa"/>
            <w:vAlign w:val="bottom"/>
            <w:gridSpan w:val="3"/>
          </w:tcPr>
          <w:p>
            <w:pPr>
              <w:jc w:val="right"/>
              <w:ind w:right="550"/>
              <w:spacing w:after="0"/>
              <w:rPr>
                <w:sz w:val="20"/>
                <w:szCs w:val="20"/>
                <w:color w:val="auto"/>
              </w:rPr>
            </w:pPr>
            <w:r>
              <w:rPr>
                <w:rFonts w:ascii="Times New Roman" w:cs="Times New Roman" w:eastAsia="Times New Roman" w:hAnsi="Times New Roman"/>
                <w:sz w:val="18"/>
                <w:szCs w:val="18"/>
                <w:color w:val="auto"/>
              </w:rPr>
              <w:t>Three Months Ended</w:t>
            </w:r>
          </w:p>
        </w:tc>
        <w:tc>
          <w:tcPr>
            <w:tcW w:w="180" w:type="dxa"/>
            <w:vAlign w:val="bottom"/>
          </w:tcPr>
          <w:p>
            <w:pPr>
              <w:spacing w:after="0"/>
              <w:rPr>
                <w:sz w:val="19"/>
                <w:szCs w:val="19"/>
                <w:color w:val="auto"/>
              </w:rPr>
            </w:pPr>
          </w:p>
        </w:tc>
        <w:tc>
          <w:tcPr>
            <w:tcW w:w="2600" w:type="dxa"/>
            <w:vAlign w:val="bottom"/>
            <w:gridSpan w:val="3"/>
          </w:tcPr>
          <w:p>
            <w:pPr>
              <w:jc w:val="right"/>
              <w:ind w:right="630"/>
              <w:spacing w:after="0"/>
              <w:rPr>
                <w:sz w:val="20"/>
                <w:szCs w:val="20"/>
                <w:color w:val="auto"/>
              </w:rPr>
            </w:pPr>
            <w:r>
              <w:rPr>
                <w:rFonts w:ascii="Times New Roman" w:cs="Times New Roman" w:eastAsia="Times New Roman" w:hAnsi="Times New Roman"/>
                <w:sz w:val="18"/>
                <w:szCs w:val="18"/>
                <w:color w:val="auto"/>
              </w:rPr>
              <w:t>Six Months Ended</w:t>
            </w:r>
          </w:p>
        </w:tc>
      </w:tr>
      <w:tr>
        <w:trPr>
          <w:trHeight w:val="234"/>
        </w:trPr>
        <w:tc>
          <w:tcPr>
            <w:tcW w:w="48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February 28,</w:t>
            </w:r>
          </w:p>
        </w:tc>
        <w:tc>
          <w:tcPr>
            <w:tcW w:w="180" w:type="dxa"/>
            <w:vAlign w:val="bottom"/>
          </w:tcPr>
          <w:p>
            <w:pPr>
              <w:spacing w:after="0"/>
              <w:rPr>
                <w:sz w:val="20"/>
                <w:szCs w:val="20"/>
                <w:color w:val="auto"/>
              </w:rPr>
            </w:pPr>
          </w:p>
        </w:tc>
        <w:tc>
          <w:tcPr>
            <w:tcW w:w="122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February 29,</w:t>
            </w:r>
          </w:p>
        </w:tc>
        <w:tc>
          <w:tcPr>
            <w:tcW w:w="180" w:type="dxa"/>
            <w:vAlign w:val="bottom"/>
          </w:tcPr>
          <w:p>
            <w:pPr>
              <w:spacing w:after="0"/>
              <w:rPr>
                <w:sz w:val="20"/>
                <w:szCs w:val="20"/>
                <w:color w:val="auto"/>
              </w:rPr>
            </w:pPr>
          </w:p>
        </w:tc>
        <w:tc>
          <w:tcPr>
            <w:tcW w:w="12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February 28,</w:t>
            </w:r>
          </w:p>
        </w:tc>
        <w:tc>
          <w:tcPr>
            <w:tcW w:w="180" w:type="dxa"/>
            <w:vAlign w:val="bottom"/>
          </w:tcPr>
          <w:p>
            <w:pPr>
              <w:spacing w:after="0"/>
              <w:rPr>
                <w:sz w:val="20"/>
                <w:szCs w:val="20"/>
                <w:color w:val="auto"/>
              </w:rPr>
            </w:pPr>
          </w:p>
        </w:tc>
        <w:tc>
          <w:tcPr>
            <w:tcW w:w="122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February 29,</w:t>
            </w:r>
          </w:p>
        </w:tc>
      </w:tr>
      <w:tr>
        <w:trPr>
          <w:trHeight w:val="270"/>
        </w:trPr>
        <w:tc>
          <w:tcPr>
            <w:tcW w:w="4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0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2025</w:t>
            </w:r>
          </w:p>
        </w:tc>
        <w:tc>
          <w:tcPr>
            <w:tcW w:w="1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2024</w:t>
            </w:r>
          </w:p>
        </w:tc>
        <w:tc>
          <w:tcPr>
            <w:tcW w:w="1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2025</w:t>
            </w:r>
          </w:p>
        </w:tc>
        <w:tc>
          <w:tcPr>
            <w:tcW w:w="1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 gains (losses)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(29,545)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w:t>
            </w: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 and Investments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As of February 28, 2025, we had Cash and cash equivalents of $278.5 million and Investments of $8.5 million. Our Cash and cash equivalents consist of cash and highly liquid investments including demand deposits and money market funds and our Investments consist of mutual funds. We are exposed to interest rate risk through fluctuations of interest rates on these investments. As we have a restrictive investment policy, our financial exposure to fluctuations in interest rates is expected to remain low. Refer to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in the Notes to the Consolidated Financial Statements included in Part II, Item 8. of our Annual Report on Form 10-K for more information on our Cash and cash equivalents.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w:t>
      </w:r>
    </w:p>
    <w:p>
      <w:pPr>
        <w:spacing w:after="0" w:line="20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February 28, 2025, our outstanding floating rate debt included $480.0 million under the 2022 Revolving Facility. As of February 28, 2025, the outstanding borrowings under the 2022 Revolving Facility bore interest at a rate equal to the applicable one-month Term SOFR plus a 0.975% spread (comprised of a 0.875% interest rate margin based on a debt leverage pricing grid plus a 0.1% credit spread adjustment).</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 mitigate our exposure to interest rate volatility due to changes in SOFR, we entered into the 2024 Swap Agreement on March 1, 2024, to hedge a portion of our outstanding floating SOFR debt with a fixed interest rate of 5.145%. The 2024 Swap Agreement matured on February 28, 2025.</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Senior Notes have a fixed interest rate and are not subject to interest rate change. As such, our interest rate exposure as of February 28, 2025 is limited to the outstanding $480.0 million floating rate debt under our 2022 Revolving Facility. Assuming our outstanding floating rate debt remained at $480.0 million, a hypothetical 25 basis point change (up or down) in the one-month SOFR would result in an approximate $1 million change to our annual interest expense.</w:t>
      </w:r>
    </w:p>
    <w:p>
      <w:pPr>
        <w:spacing w:after="0" w:line="15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Refer to Note 5, </w:t>
      </w:r>
      <w:r>
        <w:rPr>
          <w:rFonts w:ascii="Times New Roman" w:cs="Times New Roman" w:eastAsia="Times New Roman" w:hAnsi="Times New Roman"/>
          <w:sz w:val="18"/>
          <w:szCs w:val="18"/>
          <w:i w:val="1"/>
          <w:iCs w:val="1"/>
          <w:color w:val="auto"/>
        </w:rPr>
        <w:t>Derivative Instruments</w:t>
      </w:r>
      <w:r>
        <w:rPr>
          <w:rFonts w:ascii="Times New Roman" w:cs="Times New Roman" w:eastAsia="Times New Roman" w:hAnsi="Times New Roman"/>
          <w:sz w:val="18"/>
          <w:szCs w:val="18"/>
          <w:color w:val="auto"/>
        </w:rPr>
        <w:t xml:space="preserve"> and Note 11,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in the Notes to the Consolidated Financial Statements included in Part I, Item 1. of this Quarterly Report on Form 10-Q for more information on our swap agreements and outstanding borrowings as of February 28, 2025, respectively.</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ITEM 4. CONTROLS AND PROCEDURES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management, including our Principal Executive Officer and Principal Financial Officer, have evaluated the effectiveness of our disclosure controls and procedures pursuant to Rules 13a-15(e) and 15d-15(e) under the Securities Exchange Act of 1934, as amended (the "Exchange Act"), as of the end of the period covered by this report. Based on the evaluation of our disclosure controls and procedures, our Principal Executive Officer and Principal Financial Officer have concluded that, as a result of material weaknesses in our internal control over financial reporting identified in connection with the preparation and audit of our Consolidated Financial Statements for the year ended August 31, 2024, our disclosure controls and procedures were not effective as of February 28, 2025.</w:t>
      </w:r>
    </w:p>
    <w:p>
      <w:pPr>
        <w:spacing w:after="0" w:line="14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Notwithstanding the material weakness, management has concluded the Consolidated Financial Statements included in this Quarterly Report on Form 10-Q present fairly, in all material respects, our financial position, results of operations and cash flows for the periods presented in conformity with U.S. GAAP.</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Weakness in Internal Control over Financial Reporting</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included in our Annual Report on Form 10-K for the fiscal year ended August 31, 2024, management identified certain control deficiencies related to the design and operation of our information technology (“IT”) general controls (“ITGCs”) that support our revenues, accounts receivable, and deferred revenues processes which, in the aggregate, rise to a material weakness in internal control over financial reporting. The deficiencies related to program change management and user access in connection with segregation of duties and restriction to appropriate users. As a result, the automated controls and IT dependent manual business process controls that rely upon information from the affected financial applications were also deemed not effective. Management has also concluded the material weakness existed in the prior year. A material weakness is a deficiency, or a combination of deficiencies, in internal control over financial reporting, such that there is a reasonable possibility that a material misstatement of a company’s annual or interim financial statements will not be prevented or detected on a timely basis.</w:t>
      </w:r>
    </w:p>
    <w:p>
      <w:pPr>
        <w:spacing w:after="0" w:line="1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After giving full consideration to the material weakness, and the additional analyses and other procedures we performed to ensure that our Consolidated Financial Statements included in this Quarterly Report on Form 10-Q were prepared in accordance with GAAP, our management has concluded that our Consolidated Financial Statements present fairly, in all material respects, our financial position, results of operations and cash flows for the periods disclosed in conformity with GAAP. We have developed and are implementing a remediation plan for the material weakness, which is described below.</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Remediation Efforts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is committed to remediating the material weakness in a timely manner. We are in the process of implementing and enhancing our internal controls related to the design and operation of our ITGCs that support our revenues, accounts receivable, and deferred revenues processes. As previously disclosed in our Annual Report on Form 10-K for the fiscal year ended August 31, 2024, our remediation plan includes, but is not limited to: (i) increasing timely reviews of IT system changes made;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firstLine="8"/>
        <w:spacing w:after="0" w:line="282" w:lineRule="auto"/>
        <w:tabs>
          <w:tab w:leader="none" w:pos="26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rationalizing access privileges for developer system users; (iii) implementing or modifying controls related to program change management and certain computer operations; and (iv) training of relevant personnel on the design and operation of any new or modified ITGCs.</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These steps are subject to ongoing management review, as well as oversight by the Audit Committee of our Board of Directors. Additional or modified measures may also be required to remediate the material weakness. We believe that these actions, collectively, will remediate the material weakness identified. However, we will not be able to conclude that we have completely remediated the material weakness until the applicable controls are fully implemented and operated for a sufficient period of time and management has concluded, through formal testing, that the remediated controls are operating effectively. We expect to complete these remediation measures as early as practicable in fiscal 2025. We will continue to monitor the design and effectiveness of these and other processes, procedures, and controls and will make any further changes management deems appropriate.</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 system of controls, no matter how well designed and operated, can provide absolute assurance that the objectives of the system of controls will be met, and no evaluation of controls can provide absolute assurance that all control deficiencies or material weaknesses have been or will be detected. There is no assurance that our remediation efforts will be fully effective. If these remediation efforts do not prove effective and control deficiencies and material weaknesses persist or occur in the future, the accuracy and timing of our financial reporting may be adversely affected.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discussed above, we are implementing our remediation plan related to the material weakness. There have been no changes in our internal control over financial reporting (as such term is defined in Rules 13a-15(f) and 15d-15(f) under the Exchange Act) during the three and six months ended February 28, 2025 that have materially affected, or are reasonably likely to materially affect, our internal control over financial reporting.</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PART II – OTHER INFORMATION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 LEGAL PROCEEDINGS</w:t>
      </w:r>
    </w:p>
    <w:p>
      <w:pPr>
        <w:spacing w:after="0" w:line="177"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 xml:space="preserve">The information set forth under "Contingencies" in Note 12,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contained in the Notes to the Consolidated Financial Statements included in Part I, Item 1., to this Quarterly Report on Form 10-Q is incorporated by reference in answer to this Item.</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1A. RISK FACTORS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to the risk factors identified in our Annual Report on Form 10-K for the fiscal year ended August 31,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 UNREGISTERED SALES OF EQUITY SECURITIES AND USE OF PROCEEDS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Items 2(a) and (b) are not applicable as there have been no unregistered sales of equity securities.</w:t>
      </w:r>
    </w:p>
    <w:p>
      <w:pPr>
        <w:spacing w:after="0" w:line="185" w:lineRule="exact"/>
        <w:rPr>
          <w:sz w:val="20"/>
          <w:szCs w:val="20"/>
          <w:color w:val="auto"/>
        </w:rPr>
      </w:pPr>
    </w:p>
    <w:p>
      <w:pPr>
        <w:ind w:left="660" w:hanging="490"/>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Issuer Purchases of Equity Securities</w:t>
      </w:r>
    </w:p>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a month-to-month summary of our share repurchase activity during the three months ended February 28, 2025:</w:t>
      </w:r>
    </w:p>
    <w:p>
      <w:pPr>
        <w:spacing w:after="0" w:line="198"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18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Total number of shares</w:t>
            </w:r>
          </w:p>
        </w:tc>
        <w:tc>
          <w:tcPr>
            <w:tcW w:w="1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8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4780" w:type="dxa"/>
            <w:vAlign w:val="bottom"/>
            <w:gridSpan w:val="3"/>
          </w:tcPr>
          <w:p>
            <w:pPr>
              <w:jc w:val="right"/>
              <w:spacing w:after="0" w:line="176" w:lineRule="exact"/>
              <w:rPr>
                <w:sz w:val="20"/>
                <w:szCs w:val="20"/>
                <w:color w:val="auto"/>
              </w:rPr>
            </w:pPr>
            <w:r>
              <w:rPr>
                <w:rFonts w:ascii="Times New Roman" w:cs="Times New Roman" w:eastAsia="Times New Roman" w:hAnsi="Times New Roman"/>
                <w:sz w:val="18"/>
                <w:szCs w:val="18"/>
                <w:color w:val="auto"/>
              </w:rPr>
              <w:t>purchased as part of publicly Approximate dollar value of shares</w:t>
            </w:r>
          </w:p>
        </w:tc>
        <w:tc>
          <w:tcPr>
            <w:tcW w:w="0" w:type="dxa"/>
            <w:vAlign w:val="bottom"/>
          </w:tcPr>
          <w:p>
            <w:pPr>
              <w:spacing w:after="0"/>
              <w:rPr>
                <w:sz w:val="1"/>
                <w:szCs w:val="1"/>
                <w:color w:val="auto"/>
              </w:rPr>
            </w:pPr>
          </w:p>
        </w:tc>
      </w:tr>
      <w:tr>
        <w:trPr>
          <w:trHeight w:val="189"/>
        </w:trPr>
        <w:tc>
          <w:tcPr>
            <w:tcW w:w="1860" w:type="dxa"/>
            <w:vAlign w:val="bottom"/>
            <w:vMerge w:val="restart"/>
          </w:tcPr>
          <w:p>
            <w:pPr>
              <w:ind w:left="680"/>
              <w:spacing w:after="0"/>
              <w:rPr>
                <w:sz w:val="20"/>
                <w:szCs w:val="20"/>
                <w:color w:val="auto"/>
              </w:rPr>
            </w:pPr>
            <w:r>
              <w:rPr>
                <w:rFonts w:ascii="Times New Roman" w:cs="Times New Roman" w:eastAsia="Times New Roman" w:hAnsi="Times New Roman"/>
                <w:sz w:val="18"/>
                <w:szCs w:val="18"/>
                <w:color w:val="auto"/>
              </w:rPr>
              <w:t>Period</w:t>
            </w:r>
          </w:p>
        </w:tc>
        <w:tc>
          <w:tcPr>
            <w:tcW w:w="1920" w:type="dxa"/>
            <w:vAlign w:val="bottom"/>
          </w:tcPr>
          <w:p>
            <w:pPr>
              <w:jc w:val="right"/>
              <w:ind w:right="290"/>
              <w:spacing w:after="0" w:line="189" w:lineRule="exact"/>
              <w:rPr>
                <w:sz w:val="20"/>
                <w:szCs w:val="20"/>
                <w:color w:val="auto"/>
              </w:rPr>
            </w:pPr>
            <w:r>
              <w:rPr>
                <w:rFonts w:ascii="Times New Roman" w:cs="Times New Roman" w:eastAsia="Times New Roman" w:hAnsi="Times New Roman"/>
                <w:sz w:val="18"/>
                <w:szCs w:val="18"/>
                <w:color w:val="auto"/>
              </w:rPr>
              <w:t>Total number of</w:t>
            </w:r>
          </w:p>
        </w:tc>
        <w:tc>
          <w:tcPr>
            <w:tcW w:w="300" w:type="dxa"/>
            <w:vAlign w:val="bottom"/>
          </w:tcPr>
          <w:p>
            <w:pPr>
              <w:spacing w:after="0"/>
              <w:rPr>
                <w:sz w:val="16"/>
                <w:szCs w:val="16"/>
                <w:color w:val="auto"/>
              </w:rPr>
            </w:pPr>
          </w:p>
        </w:tc>
        <w:tc>
          <w:tcPr>
            <w:tcW w:w="1640" w:type="dxa"/>
            <w:vAlign w:val="bottom"/>
          </w:tcPr>
          <w:p>
            <w:pPr>
              <w:jc w:val="right"/>
              <w:ind w:right="370"/>
              <w:spacing w:after="0" w:line="189" w:lineRule="exact"/>
              <w:rPr>
                <w:sz w:val="20"/>
                <w:szCs w:val="20"/>
                <w:color w:val="auto"/>
              </w:rPr>
            </w:pPr>
            <w:r>
              <w:rPr>
                <w:rFonts w:ascii="Times New Roman" w:cs="Times New Roman" w:eastAsia="Times New Roman" w:hAnsi="Times New Roman"/>
                <w:sz w:val="18"/>
                <w:szCs w:val="18"/>
                <w:color w:val="auto"/>
              </w:rPr>
              <w:t>Average price</w:t>
            </w:r>
          </w:p>
        </w:tc>
        <w:tc>
          <w:tcPr>
            <w:tcW w:w="22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announced plans or</w:t>
            </w:r>
          </w:p>
        </w:tc>
        <w:tc>
          <w:tcPr>
            <w:tcW w:w="120" w:type="dxa"/>
            <w:vAlign w:val="bottom"/>
          </w:tcPr>
          <w:p>
            <w:pPr>
              <w:spacing w:after="0"/>
              <w:rPr>
                <w:sz w:val="16"/>
                <w:szCs w:val="16"/>
                <w:color w:val="auto"/>
              </w:rPr>
            </w:pPr>
          </w:p>
        </w:tc>
        <w:tc>
          <w:tcPr>
            <w:tcW w:w="246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w w:val="99"/>
              </w:rPr>
              <w:t>that may yet be purchased under</w:t>
            </w:r>
          </w:p>
        </w:tc>
        <w:tc>
          <w:tcPr>
            <w:tcW w:w="0" w:type="dxa"/>
            <w:vAlign w:val="bottom"/>
          </w:tcPr>
          <w:p>
            <w:pPr>
              <w:spacing w:after="0"/>
              <w:rPr>
                <w:sz w:val="1"/>
                <w:szCs w:val="1"/>
                <w:color w:val="auto"/>
              </w:rPr>
            </w:pPr>
          </w:p>
        </w:tc>
      </w:tr>
      <w:tr>
        <w:trPr>
          <w:trHeight w:val="230"/>
        </w:trPr>
        <w:tc>
          <w:tcPr>
            <w:tcW w:w="1860" w:type="dxa"/>
            <w:vAlign w:val="bottom"/>
            <w:tcBorders>
              <w:bottom w:val="single" w:sz="8" w:color="auto"/>
            </w:tcBorders>
            <w:vMerge w:val="continue"/>
          </w:tcPr>
          <w:p>
            <w:pPr>
              <w:spacing w:after="0"/>
              <w:rPr>
                <w:sz w:val="19"/>
                <w:szCs w:val="19"/>
                <w:color w:val="auto"/>
              </w:rPr>
            </w:pPr>
          </w:p>
        </w:tc>
        <w:tc>
          <w:tcPr>
            <w:tcW w:w="19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shares purchased</w:t>
            </w:r>
            <w:r>
              <w:rPr>
                <w:rFonts w:ascii="Times New Roman" w:cs="Times New Roman" w:eastAsia="Times New Roman" w:hAnsi="Times New Roman"/>
                <w:sz w:val="10"/>
                <w:szCs w:val="10"/>
                <w:color w:val="auto"/>
              </w:rPr>
              <w:t>(1)</w:t>
            </w:r>
          </w:p>
        </w:tc>
        <w:tc>
          <w:tcPr>
            <w:tcW w:w="3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paid per share</w:t>
            </w:r>
          </w:p>
        </w:tc>
        <w:tc>
          <w:tcPr>
            <w:tcW w:w="2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programs</w:t>
            </w:r>
            <w:r>
              <w:rPr>
                <w:rFonts w:ascii="Times New Roman" w:cs="Times New Roman" w:eastAsia="Times New Roman" w:hAnsi="Times New Roman"/>
                <w:sz w:val="10"/>
                <w:szCs w:val="10"/>
                <w:color w:val="auto"/>
              </w:rPr>
              <w:t>(2)</w:t>
            </w:r>
          </w:p>
        </w:tc>
        <w:tc>
          <w:tcPr>
            <w:tcW w:w="120" w:type="dxa"/>
            <w:vAlign w:val="bottom"/>
            <w:tcBorders>
              <w:bottom w:val="single" w:sz="8" w:color="auto"/>
            </w:tcBorders>
          </w:tcPr>
          <w:p>
            <w:pPr>
              <w:spacing w:after="0"/>
              <w:rPr>
                <w:sz w:val="19"/>
                <w:szCs w:val="19"/>
                <w:color w:val="auto"/>
              </w:rPr>
            </w:pPr>
          </w:p>
        </w:tc>
        <w:tc>
          <w:tcPr>
            <w:tcW w:w="2460" w:type="dxa"/>
            <w:vAlign w:val="bottom"/>
            <w:tcBorders>
              <w:bottom w:val="single" w:sz="8" w:color="auto"/>
            </w:tcBorders>
          </w:tcPr>
          <w:p>
            <w:pPr>
              <w:jc w:val="right"/>
              <w:ind w:right="350"/>
              <w:spacing w:after="0" w:line="230" w:lineRule="exact"/>
              <w:rPr>
                <w:sz w:val="20"/>
                <w:szCs w:val="20"/>
                <w:color w:val="auto"/>
              </w:rPr>
            </w:pPr>
            <w:r>
              <w:rPr>
                <w:rFonts w:ascii="Times New Roman" w:cs="Times New Roman" w:eastAsia="Times New Roman" w:hAnsi="Times New Roman"/>
                <w:sz w:val="18"/>
                <w:szCs w:val="18"/>
                <w:color w:val="auto"/>
              </w:rPr>
              <w:t>the plans or programs</w:t>
            </w:r>
            <w:r>
              <w:rPr>
                <w:rFonts w:ascii="Times New Roman" w:cs="Times New Roman" w:eastAsia="Times New Roman" w:hAnsi="Times New Roman"/>
                <w:sz w:val="21"/>
                <w:szCs w:val="21"/>
                <w:color w:val="auto"/>
                <w:vertAlign w:val="superscript"/>
              </w:rPr>
              <w:t>(2)</w:t>
            </w:r>
          </w:p>
        </w:tc>
        <w:tc>
          <w:tcPr>
            <w:tcW w:w="0" w:type="dxa"/>
            <w:vAlign w:val="bottom"/>
          </w:tcPr>
          <w:p>
            <w:pPr>
              <w:spacing w:after="0"/>
              <w:rPr>
                <w:sz w:val="1"/>
                <w:szCs w:val="1"/>
                <w:color w:val="auto"/>
              </w:rPr>
            </w:pPr>
          </w:p>
        </w:tc>
      </w:tr>
      <w:tr>
        <w:trPr>
          <w:trHeight w:val="223"/>
        </w:trPr>
        <w:tc>
          <w:tcPr>
            <w:tcW w:w="1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2024</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43,100</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485.61</w:t>
            </w: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230,281</w:t>
            </w:r>
          </w:p>
        </w:tc>
        <w:tc>
          <w:tcPr>
            <w:tcW w:w="0" w:type="dxa"/>
            <w:vAlign w:val="bottom"/>
          </w:tcPr>
          <w:p>
            <w:pPr>
              <w:spacing w:after="0"/>
              <w:rPr>
                <w:sz w:val="1"/>
                <w:szCs w:val="1"/>
                <w:color w:val="auto"/>
              </w:rPr>
            </w:pPr>
          </w:p>
        </w:tc>
      </w:tr>
      <w:tr>
        <w:trPr>
          <w:trHeight w:val="230"/>
        </w:trPr>
        <w:tc>
          <w:tcPr>
            <w:tcW w:w="1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January 2025</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47,800</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464.83</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47,800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208,062</w:t>
            </w:r>
          </w:p>
        </w:tc>
        <w:tc>
          <w:tcPr>
            <w:tcW w:w="0" w:type="dxa"/>
            <w:vAlign w:val="bottom"/>
          </w:tcPr>
          <w:p>
            <w:pPr>
              <w:spacing w:after="0"/>
              <w:rPr>
                <w:sz w:val="1"/>
                <w:szCs w:val="1"/>
                <w:color w:val="auto"/>
              </w:rPr>
            </w:pPr>
          </w:p>
        </w:tc>
      </w:tr>
      <w:tr>
        <w:trPr>
          <w:trHeight w:val="229"/>
        </w:trPr>
        <w:tc>
          <w:tcPr>
            <w:tcW w:w="1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2025</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47,591</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463.25</w:t>
            </w:r>
          </w:p>
        </w:tc>
        <w:tc>
          <w:tcPr>
            <w:tcW w:w="2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45,814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186,858</w:t>
            </w:r>
          </w:p>
        </w:tc>
        <w:tc>
          <w:tcPr>
            <w:tcW w:w="0" w:type="dxa"/>
            <w:vAlign w:val="bottom"/>
          </w:tcPr>
          <w:p>
            <w:pPr>
              <w:spacing w:after="0"/>
              <w:rPr>
                <w:sz w:val="1"/>
                <w:szCs w:val="1"/>
                <w:color w:val="auto"/>
              </w:rPr>
            </w:pPr>
          </w:p>
        </w:tc>
      </w:tr>
      <w:tr>
        <w:trPr>
          <w:trHeight w:val="228"/>
        </w:trPr>
        <w:tc>
          <w:tcPr>
            <w:tcW w:w="1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138,491</w:t>
            </w:r>
          </w:p>
        </w:tc>
        <w:tc>
          <w:tcPr>
            <w:tcW w:w="3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136,714</w:t>
            </w:r>
          </w:p>
        </w:tc>
        <w:tc>
          <w:tcPr>
            <w:tcW w:w="12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660" w:hanging="328"/>
        <w:spacing w:after="0" w:line="280" w:lineRule="auto"/>
        <w:tabs>
          <w:tab w:leader="none" w:pos="66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136,714 shares purchased under the stock repurchase program, as well as 1,777 shares repurchased to satisfy withholding tax obligations due upon the vesting of stock-based awards.</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ind w:left="660" w:hanging="328"/>
        <w:spacing w:after="0" w:line="260" w:lineRule="auto"/>
        <w:tabs>
          <w:tab w:leader="none" w:pos="66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On September 17, 2024, our Board of Directors authorized up to $300 million for share repurchases, which are available during fiscal 2025. As of February 28, 2025, $186.9 million remained authorized under our share repurchase program. Repurchases may be made from time-to-time in the open market or via privately negotiated transactions, subject to market conditions. There is no defined number of shares to be repurchased over a specified timeframe through the life of our share repurchase program. It is expected that share repurchases will be paid using existing and future cash generated by operations. Refer to Part I, Item 2. </w:t>
      </w:r>
      <w:r>
        <w:rPr>
          <w:rFonts w:ascii="Times New Roman" w:cs="Times New Roman" w:eastAsia="Times New Roman" w:hAnsi="Times New Roman"/>
          <w:sz w:val="16"/>
          <w:szCs w:val="16"/>
          <w:i w:val="1"/>
          <w:iCs w:val="1"/>
          <w:color w:val="auto"/>
        </w:rPr>
        <w:t xml:space="preserve">Management's Discussion and Analysis of Financial Condition and Results of Operations, Liquidity and Capital Resources, </w:t>
      </w:r>
      <w:r>
        <w:rPr>
          <w:rFonts w:ascii="Times New Roman" w:cs="Times New Roman" w:eastAsia="Times New Roman" w:hAnsi="Times New Roman"/>
          <w:sz w:val="16"/>
          <w:szCs w:val="16"/>
          <w:color w:val="auto"/>
        </w:rPr>
        <w:t>of this Quarterly Report on Form 10-Q for further discussion on our share repurchase program.</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Trading Arrangements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September 26, 2024, we entered into an agreement to adopt a trading arrangement for the repurchase of shares of our common stock in the open market consistent with the provisions of Rule 10b5-1 of the Exchange Act. The arrangement provides for the repurchase of up to $250 million of our common stock during the period from September 27, 2024 through August 28, 2025 pursuant to a written algorithm for determining the amount, price and date for purchase of shares of our common stock.</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3. DEFAULTS UPON SENIOR SECURITIES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4. MINE SAFETY DISCLOSURES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5. OTHER INFORMATION</w:t>
      </w:r>
    </w:p>
    <w:p>
      <w:pPr>
        <w:spacing w:after="0" w:line="1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None of our directors or officers (as defined in Section 16 of the Exchange Act), adopted or terminated a Rule 10b5-1 trading arrangement or a non-Rule 10b5-1 trading arrangement (each as defined in Item 408(a) and (c) of Regulation S-K) during the quarter ended February 28,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6. EXHIBITS</w:t>
      </w:r>
    </w:p>
    <w:p>
      <w:pPr>
        <w:spacing w:after="0" w:line="233"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Incorporated by Reference</w:t>
            </w:r>
          </w:p>
        </w:tc>
        <w:tc>
          <w:tcPr>
            <w:tcW w:w="0" w:type="dxa"/>
            <w:vAlign w:val="bottom"/>
          </w:tcPr>
          <w:p>
            <w:pPr>
              <w:spacing w:after="0"/>
              <w:rPr>
                <w:sz w:val="1"/>
                <w:szCs w:val="1"/>
                <w:color w:val="auto"/>
              </w:rPr>
            </w:pPr>
          </w:p>
        </w:tc>
      </w:tr>
      <w:tr>
        <w:trPr>
          <w:trHeight w:val="180"/>
        </w:trPr>
        <w:tc>
          <w:tcPr>
            <w:tcW w:w="1260" w:type="dxa"/>
            <w:vAlign w:val="bottom"/>
            <w:gridSpan w:val="3"/>
          </w:tcPr>
          <w:p>
            <w:pPr>
              <w:ind w:left="20"/>
              <w:spacing w:after="0" w:line="181" w:lineRule="exact"/>
              <w:rPr>
                <w:sz w:val="20"/>
                <w:szCs w:val="20"/>
                <w:color w:val="auto"/>
              </w:rPr>
            </w:pPr>
            <w:r>
              <w:rPr>
                <w:rFonts w:ascii="Times New Roman" w:cs="Times New Roman" w:eastAsia="Times New Roman" w:hAnsi="Times New Roman"/>
                <w:sz w:val="18"/>
                <w:szCs w:val="18"/>
                <w:color w:val="auto"/>
              </w:rPr>
              <w:t>Exhibit Number</w:t>
            </w:r>
          </w:p>
        </w:tc>
        <w:tc>
          <w:tcPr>
            <w:tcW w:w="5040" w:type="dxa"/>
            <w:vAlign w:val="bottom"/>
          </w:tcPr>
          <w:p>
            <w:pPr>
              <w:ind w:left="80"/>
              <w:spacing w:after="0" w:line="181" w:lineRule="exact"/>
              <w:rPr>
                <w:sz w:val="20"/>
                <w:szCs w:val="20"/>
                <w:color w:val="auto"/>
              </w:rPr>
            </w:pPr>
            <w:r>
              <w:rPr>
                <w:rFonts w:ascii="Times New Roman" w:cs="Times New Roman" w:eastAsia="Times New Roman" w:hAnsi="Times New Roman"/>
                <w:sz w:val="18"/>
                <w:szCs w:val="18"/>
                <w:color w:val="auto"/>
              </w:rPr>
              <w:t>Exhibit</w:t>
            </w:r>
          </w:p>
        </w:tc>
        <w:tc>
          <w:tcPr>
            <w:tcW w:w="640" w:type="dxa"/>
            <w:vAlign w:val="bottom"/>
          </w:tcPr>
          <w:p>
            <w:pPr>
              <w:ind w:left="40"/>
              <w:spacing w:after="0" w:line="181" w:lineRule="exact"/>
              <w:rPr>
                <w:sz w:val="20"/>
                <w:szCs w:val="20"/>
                <w:color w:val="auto"/>
              </w:rPr>
            </w:pPr>
            <w:r>
              <w:rPr>
                <w:rFonts w:ascii="Times New Roman" w:cs="Times New Roman" w:eastAsia="Times New Roman" w:hAnsi="Times New Roman"/>
                <w:sz w:val="18"/>
                <w:szCs w:val="18"/>
                <w:color w:val="auto"/>
              </w:rPr>
              <w:t>Form</w:t>
            </w:r>
          </w:p>
        </w:tc>
        <w:tc>
          <w:tcPr>
            <w:tcW w:w="1060" w:type="dxa"/>
            <w:vAlign w:val="bottom"/>
          </w:tcPr>
          <w:p>
            <w:pPr>
              <w:ind w:left="220"/>
              <w:spacing w:after="0" w:line="181" w:lineRule="exact"/>
              <w:rPr>
                <w:sz w:val="20"/>
                <w:szCs w:val="20"/>
                <w:color w:val="auto"/>
              </w:rPr>
            </w:pPr>
            <w:r>
              <w:rPr>
                <w:rFonts w:ascii="Times New Roman" w:cs="Times New Roman" w:eastAsia="Times New Roman" w:hAnsi="Times New Roman"/>
                <w:sz w:val="18"/>
                <w:szCs w:val="18"/>
                <w:color w:val="auto"/>
              </w:rPr>
              <w:t>File No.</w:t>
            </w:r>
          </w:p>
        </w:tc>
        <w:tc>
          <w:tcPr>
            <w:tcW w:w="3260" w:type="dxa"/>
            <w:vAlign w:val="bottom"/>
          </w:tcPr>
          <w:p>
            <w:pPr>
              <w:ind w:left="240"/>
              <w:spacing w:after="0" w:line="181" w:lineRule="exact"/>
              <w:rPr>
                <w:sz w:val="20"/>
                <w:szCs w:val="20"/>
                <w:color w:val="auto"/>
              </w:rPr>
            </w:pPr>
            <w:r>
              <w:rPr>
                <w:rFonts w:ascii="Times New Roman" w:cs="Times New Roman" w:eastAsia="Times New Roman" w:hAnsi="Times New Roman"/>
                <w:sz w:val="18"/>
                <w:szCs w:val="18"/>
                <w:color w:val="auto"/>
              </w:rPr>
              <w:t>Exhibit No.  Filing Date   Filed</w:t>
            </w:r>
          </w:p>
        </w:tc>
        <w:tc>
          <w:tcPr>
            <w:tcW w:w="0" w:type="dxa"/>
            <w:vAlign w:val="bottom"/>
          </w:tcPr>
          <w:p>
            <w:pPr>
              <w:spacing w:after="0"/>
              <w:rPr>
                <w:sz w:val="1"/>
                <w:szCs w:val="1"/>
                <w:color w:val="auto"/>
              </w:rPr>
            </w:pPr>
          </w:p>
        </w:tc>
      </w:tr>
      <w:tr>
        <w:trPr>
          <w:trHeight w:val="239"/>
        </w:trPr>
        <w:tc>
          <w:tcPr>
            <w:tcW w:w="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50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Description</w:t>
            </w:r>
          </w:p>
        </w:tc>
        <w:tc>
          <w:tcPr>
            <w:tcW w:w="6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tcPr>
          <w:p>
            <w:pPr>
              <w:ind w:left="2280"/>
              <w:spacing w:after="0"/>
              <w:rPr>
                <w:sz w:val="20"/>
                <w:szCs w:val="20"/>
                <w:color w:val="auto"/>
              </w:rPr>
            </w:pPr>
            <w:r>
              <w:rPr>
                <w:rFonts w:ascii="Times New Roman" w:cs="Times New Roman" w:eastAsia="Times New Roman" w:hAnsi="Times New Roman"/>
                <w:sz w:val="18"/>
                <w:szCs w:val="18"/>
                <w:color w:val="auto"/>
              </w:rPr>
              <w:t>Herewith</w:t>
            </w:r>
          </w:p>
        </w:tc>
        <w:tc>
          <w:tcPr>
            <w:tcW w:w="0" w:type="dxa"/>
            <w:vAlign w:val="bottom"/>
          </w:tcPr>
          <w:p>
            <w:pPr>
              <w:spacing w:after="0"/>
              <w:rPr>
                <w:sz w:val="1"/>
                <w:szCs w:val="1"/>
                <w:color w:val="auto"/>
              </w:rPr>
            </w:pPr>
          </w:p>
        </w:tc>
      </w:tr>
      <w:tr>
        <w:trPr>
          <w:trHeight w:val="173"/>
        </w:trPr>
        <w:tc>
          <w:tcPr>
            <w:tcW w:w="1260" w:type="dxa"/>
            <w:vAlign w:val="bottom"/>
            <w:tcBorders>
              <w:left w:val="single" w:sz="8" w:color="auto"/>
            </w:tcBorders>
            <w:gridSpan w:val="3"/>
            <w:vMerge w:val="restart"/>
          </w:tcPr>
          <w:p>
            <w:pPr>
              <w:ind w:left="40"/>
              <w:spacing w:after="0"/>
              <w:rPr>
                <w:sz w:val="20"/>
                <w:szCs w:val="20"/>
                <w:color w:val="auto"/>
              </w:rPr>
            </w:pPr>
            <w:r>
              <w:rPr>
                <w:rFonts w:ascii="Times New Roman" w:cs="Times New Roman" w:eastAsia="Times New Roman" w:hAnsi="Times New Roman"/>
                <w:sz w:val="18"/>
                <w:szCs w:val="18"/>
                <w:color w:val="0000FF"/>
              </w:rPr>
              <w:t>31.1</w:t>
            </w:r>
          </w:p>
        </w:tc>
        <w:tc>
          <w:tcPr>
            <w:tcW w:w="5040" w:type="dxa"/>
            <w:vAlign w:val="bottom"/>
          </w:tcPr>
          <w:p>
            <w:pPr>
              <w:ind w:left="80"/>
              <w:spacing w:after="0" w:line="173" w:lineRule="exact"/>
              <w:rPr>
                <w:sz w:val="20"/>
                <w:szCs w:val="20"/>
                <w:color w:val="auto"/>
              </w:rPr>
            </w:pPr>
            <w:r>
              <w:rPr>
                <w:rFonts w:ascii="Times New Roman" w:cs="Times New Roman" w:eastAsia="Times New Roman" w:hAnsi="Times New Roman"/>
                <w:sz w:val="18"/>
                <w:szCs w:val="18"/>
                <w:color w:val="auto"/>
              </w:rPr>
              <w:t>Certification of the Chief Executive Officer pursuant to Rule 13a-</w:t>
            </w:r>
          </w:p>
        </w:tc>
        <w:tc>
          <w:tcPr>
            <w:tcW w:w="6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60" w:type="dxa"/>
            <w:vAlign w:val="bottom"/>
            <w:tcBorders>
              <w:right w:val="single" w:sz="8" w:color="auto"/>
            </w:tcBorders>
            <w:vMerge w:val="restart"/>
          </w:tcPr>
          <w:p>
            <w:pPr>
              <w:ind w:left="228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89"/>
        </w:trPr>
        <w:tc>
          <w:tcPr>
            <w:tcW w:w="1260" w:type="dxa"/>
            <w:vAlign w:val="bottom"/>
            <w:tcBorders>
              <w:left w:val="single" w:sz="8" w:color="auto"/>
            </w:tcBorders>
            <w:gridSpan w:val="3"/>
            <w:vMerge w:val="continue"/>
          </w:tcPr>
          <w:p>
            <w:pPr>
              <w:spacing w:after="0"/>
              <w:rPr>
                <w:sz w:val="16"/>
                <w:szCs w:val="16"/>
                <w:color w:val="auto"/>
              </w:rPr>
            </w:pPr>
          </w:p>
        </w:tc>
        <w:tc>
          <w:tcPr>
            <w:tcW w:w="5040" w:type="dxa"/>
            <w:vAlign w:val="bottom"/>
          </w:tcPr>
          <w:p>
            <w:pPr>
              <w:ind w:left="80"/>
              <w:spacing w:after="0" w:line="189" w:lineRule="exact"/>
              <w:rPr>
                <w:sz w:val="20"/>
                <w:szCs w:val="20"/>
                <w:color w:val="auto"/>
              </w:rPr>
            </w:pPr>
            <w:r>
              <w:rPr>
                <w:rFonts w:ascii="Times New Roman" w:cs="Times New Roman" w:eastAsia="Times New Roman" w:hAnsi="Times New Roman"/>
                <w:sz w:val="18"/>
                <w:szCs w:val="18"/>
                <w:color w:val="auto"/>
              </w:rPr>
              <w:t>14(a) and Rule 15d-14(a) of the Securities Exchange Act, as</w:t>
            </w:r>
          </w:p>
        </w:tc>
        <w:tc>
          <w:tcPr>
            <w:tcW w:w="6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26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0" w:type="dxa"/>
            <w:vAlign w:val="bottom"/>
            <w:tcBorders>
              <w:left w:val="single" w:sz="8" w:color="auto"/>
              <w:bottom w:val="single" w:sz="8" w:color="auto"/>
            </w:tcBorders>
          </w:tcPr>
          <w:p>
            <w:pPr>
              <w:spacing w:after="0"/>
              <w:rPr>
                <w:sz w:val="18"/>
                <w:szCs w:val="18"/>
                <w:color w:val="auto"/>
              </w:rPr>
            </w:pPr>
          </w:p>
        </w:tc>
        <w:tc>
          <w:tcPr>
            <w:tcW w:w="320" w:type="dxa"/>
            <w:vAlign w:val="bottom"/>
            <w:tcBorders>
              <w:top w:val="single" w:sz="8" w:color="0000FF"/>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50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amended</w:t>
            </w:r>
          </w:p>
        </w:tc>
        <w:tc>
          <w:tcPr>
            <w:tcW w:w="6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32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260" w:type="dxa"/>
            <w:vAlign w:val="bottom"/>
            <w:tcBorders>
              <w:left w:val="single" w:sz="8" w:color="auto"/>
            </w:tcBorders>
            <w:gridSpan w:val="3"/>
            <w:vMerge w:val="restart"/>
          </w:tcPr>
          <w:p>
            <w:pPr>
              <w:ind w:left="40"/>
              <w:spacing w:after="0"/>
              <w:rPr>
                <w:sz w:val="20"/>
                <w:szCs w:val="20"/>
                <w:color w:val="auto"/>
              </w:rPr>
            </w:pPr>
            <w:r>
              <w:rPr>
                <w:rFonts w:ascii="Times New Roman" w:cs="Times New Roman" w:eastAsia="Times New Roman" w:hAnsi="Times New Roman"/>
                <w:sz w:val="18"/>
                <w:szCs w:val="18"/>
                <w:color w:val="0000FF"/>
              </w:rPr>
              <w:t>31.2</w:t>
            </w:r>
          </w:p>
        </w:tc>
        <w:tc>
          <w:tcPr>
            <w:tcW w:w="5040" w:type="dxa"/>
            <w:vAlign w:val="bottom"/>
          </w:tcPr>
          <w:p>
            <w:pPr>
              <w:ind w:left="80"/>
              <w:spacing w:after="0" w:line="169" w:lineRule="exact"/>
              <w:rPr>
                <w:sz w:val="20"/>
                <w:szCs w:val="20"/>
                <w:color w:val="auto"/>
              </w:rPr>
            </w:pPr>
            <w:r>
              <w:rPr>
                <w:rFonts w:ascii="Times New Roman" w:cs="Times New Roman" w:eastAsia="Times New Roman" w:hAnsi="Times New Roman"/>
                <w:sz w:val="18"/>
                <w:szCs w:val="18"/>
                <w:color w:val="auto"/>
              </w:rPr>
              <w:t>Certification of the Chief Financial Officer pursuant to Rule 13a-</w:t>
            </w:r>
          </w:p>
        </w:tc>
        <w:tc>
          <w:tcPr>
            <w:tcW w:w="6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260" w:type="dxa"/>
            <w:vAlign w:val="bottom"/>
            <w:tcBorders>
              <w:right w:val="single" w:sz="8" w:color="auto"/>
            </w:tcBorders>
            <w:vMerge w:val="restart"/>
          </w:tcPr>
          <w:p>
            <w:pPr>
              <w:ind w:left="228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89"/>
        </w:trPr>
        <w:tc>
          <w:tcPr>
            <w:tcW w:w="1260" w:type="dxa"/>
            <w:vAlign w:val="bottom"/>
            <w:tcBorders>
              <w:left w:val="single" w:sz="8" w:color="auto"/>
            </w:tcBorders>
            <w:gridSpan w:val="3"/>
            <w:vMerge w:val="continue"/>
          </w:tcPr>
          <w:p>
            <w:pPr>
              <w:spacing w:after="0"/>
              <w:rPr>
                <w:sz w:val="16"/>
                <w:szCs w:val="16"/>
                <w:color w:val="auto"/>
              </w:rPr>
            </w:pPr>
          </w:p>
        </w:tc>
        <w:tc>
          <w:tcPr>
            <w:tcW w:w="5040" w:type="dxa"/>
            <w:vAlign w:val="bottom"/>
          </w:tcPr>
          <w:p>
            <w:pPr>
              <w:ind w:left="80"/>
              <w:spacing w:after="0" w:line="189" w:lineRule="exact"/>
              <w:rPr>
                <w:sz w:val="20"/>
                <w:szCs w:val="20"/>
                <w:color w:val="auto"/>
              </w:rPr>
            </w:pPr>
            <w:r>
              <w:rPr>
                <w:rFonts w:ascii="Times New Roman" w:cs="Times New Roman" w:eastAsia="Times New Roman" w:hAnsi="Times New Roman"/>
                <w:sz w:val="18"/>
                <w:szCs w:val="18"/>
                <w:color w:val="auto"/>
              </w:rPr>
              <w:t>14(a) and Rule 15d-14(a) of the Securities Exchange Act, as</w:t>
            </w:r>
          </w:p>
        </w:tc>
        <w:tc>
          <w:tcPr>
            <w:tcW w:w="6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26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0" w:type="dxa"/>
            <w:vAlign w:val="bottom"/>
            <w:tcBorders>
              <w:left w:val="single" w:sz="8" w:color="auto"/>
              <w:bottom w:val="single" w:sz="8" w:color="auto"/>
            </w:tcBorders>
          </w:tcPr>
          <w:p>
            <w:pPr>
              <w:spacing w:after="0"/>
              <w:rPr>
                <w:sz w:val="18"/>
                <w:szCs w:val="18"/>
                <w:color w:val="auto"/>
              </w:rPr>
            </w:pPr>
          </w:p>
        </w:tc>
        <w:tc>
          <w:tcPr>
            <w:tcW w:w="320" w:type="dxa"/>
            <w:vAlign w:val="bottom"/>
            <w:tcBorders>
              <w:top w:val="single" w:sz="8" w:color="0000FF"/>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50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amended</w:t>
            </w:r>
          </w:p>
        </w:tc>
        <w:tc>
          <w:tcPr>
            <w:tcW w:w="6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32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260" w:type="dxa"/>
            <w:vAlign w:val="bottom"/>
            <w:tcBorders>
              <w:left w:val="single" w:sz="8" w:color="auto"/>
            </w:tcBorders>
            <w:gridSpan w:val="3"/>
            <w:vMerge w:val="restart"/>
          </w:tcPr>
          <w:p>
            <w:pPr>
              <w:ind w:left="40"/>
              <w:spacing w:after="0"/>
              <w:rPr>
                <w:sz w:val="20"/>
                <w:szCs w:val="20"/>
                <w:color w:val="auto"/>
              </w:rPr>
            </w:pPr>
            <w:r>
              <w:rPr>
                <w:rFonts w:ascii="Times New Roman" w:cs="Times New Roman" w:eastAsia="Times New Roman" w:hAnsi="Times New Roman"/>
                <w:sz w:val="18"/>
                <w:szCs w:val="18"/>
                <w:color w:val="0000FF"/>
              </w:rPr>
              <w:t>32.1</w:t>
            </w:r>
          </w:p>
        </w:tc>
        <w:tc>
          <w:tcPr>
            <w:tcW w:w="5040" w:type="dxa"/>
            <w:vAlign w:val="bottom"/>
          </w:tcPr>
          <w:p>
            <w:pPr>
              <w:ind w:left="80"/>
              <w:spacing w:after="0" w:line="169" w:lineRule="exact"/>
              <w:rPr>
                <w:sz w:val="20"/>
                <w:szCs w:val="20"/>
                <w:color w:val="auto"/>
              </w:rPr>
            </w:pPr>
            <w:r>
              <w:rPr>
                <w:rFonts w:ascii="Times New Roman" w:cs="Times New Roman" w:eastAsia="Times New Roman" w:hAnsi="Times New Roman"/>
                <w:sz w:val="18"/>
                <w:szCs w:val="18"/>
                <w:color w:val="auto"/>
              </w:rPr>
              <w:t>Certification of the Chief Executive Officer pursuant to 18 U.S.C.</w:t>
            </w:r>
          </w:p>
        </w:tc>
        <w:tc>
          <w:tcPr>
            <w:tcW w:w="6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260" w:type="dxa"/>
            <w:vAlign w:val="bottom"/>
            <w:tcBorders>
              <w:right w:val="single" w:sz="8" w:color="auto"/>
            </w:tcBorders>
            <w:vMerge w:val="restart"/>
          </w:tcPr>
          <w:p>
            <w:pPr>
              <w:ind w:left="228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89"/>
        </w:trPr>
        <w:tc>
          <w:tcPr>
            <w:tcW w:w="1260" w:type="dxa"/>
            <w:vAlign w:val="bottom"/>
            <w:tcBorders>
              <w:left w:val="single" w:sz="8" w:color="auto"/>
            </w:tcBorders>
            <w:gridSpan w:val="3"/>
            <w:vMerge w:val="continue"/>
          </w:tcPr>
          <w:p>
            <w:pPr>
              <w:spacing w:after="0"/>
              <w:rPr>
                <w:sz w:val="16"/>
                <w:szCs w:val="16"/>
                <w:color w:val="auto"/>
              </w:rPr>
            </w:pPr>
          </w:p>
        </w:tc>
        <w:tc>
          <w:tcPr>
            <w:tcW w:w="5040" w:type="dxa"/>
            <w:vAlign w:val="bottom"/>
          </w:tcPr>
          <w:p>
            <w:pPr>
              <w:ind w:left="80"/>
              <w:spacing w:after="0" w:line="189" w:lineRule="exact"/>
              <w:rPr>
                <w:sz w:val="20"/>
                <w:szCs w:val="20"/>
                <w:color w:val="auto"/>
              </w:rPr>
            </w:pPr>
            <w:r>
              <w:rPr>
                <w:rFonts w:ascii="Times New Roman" w:cs="Times New Roman" w:eastAsia="Times New Roman" w:hAnsi="Times New Roman"/>
                <w:sz w:val="18"/>
                <w:szCs w:val="18"/>
                <w:color w:val="auto"/>
              </w:rPr>
              <w:t>1350, as adopted pursuant to Section 906 of the Sarbanes-Oxley Act</w:t>
            </w:r>
          </w:p>
        </w:tc>
        <w:tc>
          <w:tcPr>
            <w:tcW w:w="6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26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0" w:type="dxa"/>
            <w:vAlign w:val="bottom"/>
            <w:tcBorders>
              <w:left w:val="single" w:sz="8" w:color="auto"/>
              <w:bottom w:val="single" w:sz="8" w:color="auto"/>
            </w:tcBorders>
          </w:tcPr>
          <w:p>
            <w:pPr>
              <w:spacing w:after="0"/>
              <w:rPr>
                <w:sz w:val="18"/>
                <w:szCs w:val="18"/>
                <w:color w:val="auto"/>
              </w:rPr>
            </w:pPr>
          </w:p>
        </w:tc>
        <w:tc>
          <w:tcPr>
            <w:tcW w:w="320" w:type="dxa"/>
            <w:vAlign w:val="bottom"/>
            <w:tcBorders>
              <w:top w:val="single" w:sz="8" w:color="0000FF"/>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50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of 2002</w:t>
            </w:r>
          </w:p>
        </w:tc>
        <w:tc>
          <w:tcPr>
            <w:tcW w:w="6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32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260" w:type="dxa"/>
            <w:vAlign w:val="bottom"/>
            <w:tcBorders>
              <w:left w:val="single" w:sz="8" w:color="auto"/>
            </w:tcBorders>
            <w:gridSpan w:val="3"/>
            <w:vMerge w:val="restart"/>
          </w:tcPr>
          <w:p>
            <w:pPr>
              <w:ind w:left="40"/>
              <w:spacing w:after="0"/>
              <w:rPr>
                <w:sz w:val="20"/>
                <w:szCs w:val="20"/>
                <w:color w:val="auto"/>
              </w:rPr>
            </w:pPr>
            <w:r>
              <w:rPr>
                <w:rFonts w:ascii="Times New Roman" w:cs="Times New Roman" w:eastAsia="Times New Roman" w:hAnsi="Times New Roman"/>
                <w:sz w:val="18"/>
                <w:szCs w:val="18"/>
                <w:color w:val="0000FF"/>
              </w:rPr>
              <w:t>32.2</w:t>
            </w:r>
          </w:p>
        </w:tc>
        <w:tc>
          <w:tcPr>
            <w:tcW w:w="5040" w:type="dxa"/>
            <w:vAlign w:val="bottom"/>
          </w:tcPr>
          <w:p>
            <w:pPr>
              <w:ind w:left="80"/>
              <w:spacing w:after="0" w:line="169" w:lineRule="exact"/>
              <w:rPr>
                <w:sz w:val="20"/>
                <w:szCs w:val="20"/>
                <w:color w:val="auto"/>
              </w:rPr>
            </w:pPr>
            <w:r>
              <w:rPr>
                <w:rFonts w:ascii="Times New Roman" w:cs="Times New Roman" w:eastAsia="Times New Roman" w:hAnsi="Times New Roman"/>
                <w:sz w:val="18"/>
                <w:szCs w:val="18"/>
                <w:color w:val="auto"/>
              </w:rPr>
              <w:t>Certification of the Chief Financial Officer pursuant to 18 U.S.C.</w:t>
            </w:r>
          </w:p>
        </w:tc>
        <w:tc>
          <w:tcPr>
            <w:tcW w:w="6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260" w:type="dxa"/>
            <w:vAlign w:val="bottom"/>
            <w:tcBorders>
              <w:right w:val="single" w:sz="8" w:color="auto"/>
            </w:tcBorders>
            <w:vMerge w:val="restart"/>
          </w:tcPr>
          <w:p>
            <w:pPr>
              <w:ind w:left="228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89"/>
        </w:trPr>
        <w:tc>
          <w:tcPr>
            <w:tcW w:w="1260" w:type="dxa"/>
            <w:vAlign w:val="bottom"/>
            <w:tcBorders>
              <w:left w:val="single" w:sz="8" w:color="auto"/>
            </w:tcBorders>
            <w:gridSpan w:val="3"/>
            <w:vMerge w:val="continue"/>
          </w:tcPr>
          <w:p>
            <w:pPr>
              <w:spacing w:after="0"/>
              <w:rPr>
                <w:sz w:val="16"/>
                <w:szCs w:val="16"/>
                <w:color w:val="auto"/>
              </w:rPr>
            </w:pPr>
          </w:p>
        </w:tc>
        <w:tc>
          <w:tcPr>
            <w:tcW w:w="5040" w:type="dxa"/>
            <w:vAlign w:val="bottom"/>
          </w:tcPr>
          <w:p>
            <w:pPr>
              <w:ind w:left="80"/>
              <w:spacing w:after="0" w:line="189" w:lineRule="exact"/>
              <w:rPr>
                <w:sz w:val="20"/>
                <w:szCs w:val="20"/>
                <w:color w:val="auto"/>
              </w:rPr>
            </w:pPr>
            <w:r>
              <w:rPr>
                <w:rFonts w:ascii="Times New Roman" w:cs="Times New Roman" w:eastAsia="Times New Roman" w:hAnsi="Times New Roman"/>
                <w:sz w:val="18"/>
                <w:szCs w:val="18"/>
                <w:color w:val="auto"/>
              </w:rPr>
              <w:t>1350, as adopted pursuant to Section 906 of the Sarbanes-Oxley Act</w:t>
            </w:r>
          </w:p>
        </w:tc>
        <w:tc>
          <w:tcPr>
            <w:tcW w:w="6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26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0" w:type="dxa"/>
            <w:vAlign w:val="bottom"/>
            <w:tcBorders>
              <w:left w:val="single" w:sz="8" w:color="auto"/>
              <w:bottom w:val="single" w:sz="8" w:color="auto"/>
            </w:tcBorders>
          </w:tcPr>
          <w:p>
            <w:pPr>
              <w:spacing w:after="0"/>
              <w:rPr>
                <w:sz w:val="18"/>
                <w:szCs w:val="18"/>
                <w:color w:val="auto"/>
              </w:rPr>
            </w:pPr>
          </w:p>
        </w:tc>
        <w:tc>
          <w:tcPr>
            <w:tcW w:w="320" w:type="dxa"/>
            <w:vAlign w:val="bottom"/>
            <w:tcBorders>
              <w:top w:val="single" w:sz="8" w:color="0000FF"/>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50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of 2002</w:t>
            </w:r>
          </w:p>
        </w:tc>
        <w:tc>
          <w:tcPr>
            <w:tcW w:w="6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32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0" w:type="dxa"/>
            <w:vAlign w:val="bottom"/>
            <w:tcBorders>
              <w:lef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040" w:type="dxa"/>
            <w:vAlign w:val="bottom"/>
          </w:tcPr>
          <w:p>
            <w:pPr>
              <w:ind w:left="80"/>
              <w:spacing w:after="0" w:line="205" w:lineRule="exact"/>
              <w:rPr>
                <w:sz w:val="20"/>
                <w:szCs w:val="20"/>
                <w:color w:val="auto"/>
              </w:rPr>
            </w:pPr>
            <w:r>
              <w:rPr>
                <w:rFonts w:ascii="Times New Roman" w:cs="Times New Roman" w:eastAsia="Times New Roman" w:hAnsi="Times New Roman"/>
                <w:sz w:val="18"/>
                <w:szCs w:val="18"/>
                <w:color w:val="212529"/>
              </w:rPr>
              <w:t>XBRL Instance Document - The instance document does not appear</w:t>
            </w:r>
          </w:p>
        </w:tc>
        <w:tc>
          <w:tcPr>
            <w:tcW w:w="6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60" w:type="dxa"/>
            <w:vAlign w:val="bottom"/>
            <w:tcBorders>
              <w:lef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101.INS</w:t>
            </w:r>
          </w:p>
        </w:tc>
        <w:tc>
          <w:tcPr>
            <w:tcW w:w="5040" w:type="dxa"/>
            <w:vAlign w:val="bottom"/>
          </w:tcPr>
          <w:p>
            <w:pPr>
              <w:ind w:left="80"/>
              <w:spacing w:after="0"/>
              <w:rPr>
                <w:sz w:val="20"/>
                <w:szCs w:val="20"/>
                <w:color w:val="auto"/>
              </w:rPr>
            </w:pPr>
            <w:r>
              <w:rPr>
                <w:rFonts w:ascii="Times New Roman" w:cs="Times New Roman" w:eastAsia="Times New Roman" w:hAnsi="Times New Roman"/>
                <w:sz w:val="18"/>
                <w:szCs w:val="18"/>
                <w:color w:val="212529"/>
              </w:rPr>
              <w:t>in the interactive data file because its XBRL tags are embedded</w:t>
            </w:r>
          </w:p>
        </w:tc>
        <w:tc>
          <w:tcPr>
            <w:tcW w:w="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60" w:type="dxa"/>
            <w:vAlign w:val="bottom"/>
            <w:tcBorders>
              <w:right w:val="single" w:sz="8" w:color="auto"/>
            </w:tcBorders>
          </w:tcPr>
          <w:p>
            <w:pPr>
              <w:ind w:left="228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41"/>
        </w:trPr>
        <w:tc>
          <w:tcPr>
            <w:tcW w:w="40" w:type="dxa"/>
            <w:vAlign w:val="bottom"/>
            <w:tcBorders>
              <w:left w:val="single" w:sz="8" w:color="auto"/>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50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212529"/>
              </w:rPr>
              <w:t>within the Inline XBRL document</w:t>
            </w:r>
          </w:p>
        </w:tc>
        <w:tc>
          <w:tcPr>
            <w:tcW w:w="6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32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260" w:type="dxa"/>
            <w:vAlign w:val="bottom"/>
            <w:tcBorders>
              <w:left w:val="single" w:sz="8" w:color="auto"/>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101.SCH</w:t>
            </w:r>
          </w:p>
        </w:tc>
        <w:tc>
          <w:tcPr>
            <w:tcW w:w="50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XBRL Taxonomy Extension Schema</w:t>
            </w:r>
          </w:p>
        </w:tc>
        <w:tc>
          <w:tcPr>
            <w:tcW w:w="6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3260" w:type="dxa"/>
            <w:vAlign w:val="bottom"/>
            <w:tcBorders>
              <w:bottom w:val="single" w:sz="8" w:color="auto"/>
              <w:right w:val="single" w:sz="8" w:color="auto"/>
            </w:tcBorders>
          </w:tcPr>
          <w:p>
            <w:pPr>
              <w:ind w:left="228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23"/>
        </w:trPr>
        <w:tc>
          <w:tcPr>
            <w:tcW w:w="1260" w:type="dxa"/>
            <w:vAlign w:val="bottom"/>
            <w:tcBorders>
              <w:left w:val="single" w:sz="8" w:color="auto"/>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101.CAL</w:t>
            </w:r>
          </w:p>
        </w:tc>
        <w:tc>
          <w:tcPr>
            <w:tcW w:w="50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XBRL Taxonomy Extension Calculation Linkbase</w:t>
            </w:r>
          </w:p>
        </w:tc>
        <w:tc>
          <w:tcPr>
            <w:tcW w:w="6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3260" w:type="dxa"/>
            <w:vAlign w:val="bottom"/>
            <w:tcBorders>
              <w:bottom w:val="single" w:sz="8" w:color="auto"/>
              <w:right w:val="single" w:sz="8" w:color="auto"/>
            </w:tcBorders>
          </w:tcPr>
          <w:p>
            <w:pPr>
              <w:ind w:left="228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23"/>
        </w:trPr>
        <w:tc>
          <w:tcPr>
            <w:tcW w:w="1260" w:type="dxa"/>
            <w:vAlign w:val="bottom"/>
            <w:tcBorders>
              <w:left w:val="single" w:sz="8" w:color="auto"/>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101.DEF</w:t>
            </w:r>
          </w:p>
        </w:tc>
        <w:tc>
          <w:tcPr>
            <w:tcW w:w="50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6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3260" w:type="dxa"/>
            <w:vAlign w:val="bottom"/>
            <w:tcBorders>
              <w:bottom w:val="single" w:sz="8" w:color="auto"/>
              <w:right w:val="single" w:sz="8" w:color="auto"/>
            </w:tcBorders>
          </w:tcPr>
          <w:p>
            <w:pPr>
              <w:ind w:left="228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23"/>
        </w:trPr>
        <w:tc>
          <w:tcPr>
            <w:tcW w:w="1260" w:type="dxa"/>
            <w:vAlign w:val="bottom"/>
            <w:tcBorders>
              <w:left w:val="single" w:sz="8" w:color="auto"/>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101.LAB</w:t>
            </w:r>
          </w:p>
        </w:tc>
        <w:tc>
          <w:tcPr>
            <w:tcW w:w="50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XBRL Taxonomy Extension Label Linkbase</w:t>
            </w:r>
          </w:p>
        </w:tc>
        <w:tc>
          <w:tcPr>
            <w:tcW w:w="6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3260" w:type="dxa"/>
            <w:vAlign w:val="bottom"/>
            <w:tcBorders>
              <w:bottom w:val="single" w:sz="8" w:color="auto"/>
              <w:right w:val="single" w:sz="8" w:color="auto"/>
            </w:tcBorders>
          </w:tcPr>
          <w:p>
            <w:pPr>
              <w:ind w:left="228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23"/>
        </w:trPr>
        <w:tc>
          <w:tcPr>
            <w:tcW w:w="1260" w:type="dxa"/>
            <w:vAlign w:val="bottom"/>
            <w:tcBorders>
              <w:left w:val="single" w:sz="8" w:color="auto"/>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101.PRE</w:t>
            </w:r>
          </w:p>
        </w:tc>
        <w:tc>
          <w:tcPr>
            <w:tcW w:w="50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XBRL Taxonomy Extension Presentation Linkbase</w:t>
            </w:r>
          </w:p>
        </w:tc>
        <w:tc>
          <w:tcPr>
            <w:tcW w:w="6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3260" w:type="dxa"/>
            <w:vAlign w:val="bottom"/>
            <w:tcBorders>
              <w:bottom w:val="single" w:sz="8" w:color="auto"/>
              <w:right w:val="single" w:sz="8" w:color="auto"/>
            </w:tcBorders>
          </w:tcPr>
          <w:p>
            <w:pPr>
              <w:ind w:left="228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69"/>
        </w:trPr>
        <w:tc>
          <w:tcPr>
            <w:tcW w:w="360" w:type="dxa"/>
            <w:vAlign w:val="bottom"/>
            <w:tcBorders>
              <w:left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104</w:t>
            </w:r>
          </w:p>
        </w:tc>
        <w:tc>
          <w:tcPr>
            <w:tcW w:w="900" w:type="dxa"/>
            <w:vAlign w:val="bottom"/>
          </w:tcPr>
          <w:p>
            <w:pPr>
              <w:spacing w:after="0"/>
              <w:rPr>
                <w:sz w:val="14"/>
                <w:szCs w:val="14"/>
                <w:color w:val="auto"/>
              </w:rPr>
            </w:pPr>
          </w:p>
        </w:tc>
        <w:tc>
          <w:tcPr>
            <w:tcW w:w="5040" w:type="dxa"/>
            <w:vAlign w:val="bottom"/>
          </w:tcPr>
          <w:p>
            <w:pPr>
              <w:ind w:left="80"/>
              <w:spacing w:after="0" w:line="169" w:lineRule="exact"/>
              <w:rPr>
                <w:sz w:val="20"/>
                <w:szCs w:val="20"/>
                <w:color w:val="auto"/>
              </w:rPr>
            </w:pPr>
            <w:r>
              <w:rPr>
                <w:rFonts w:ascii="Times New Roman" w:cs="Times New Roman" w:eastAsia="Times New Roman" w:hAnsi="Times New Roman"/>
                <w:sz w:val="18"/>
                <w:szCs w:val="18"/>
                <w:color w:val="auto"/>
              </w:rPr>
              <w:t>Cover page Interactive Data File (formatted as Inline XBRL and</w:t>
            </w:r>
          </w:p>
        </w:tc>
        <w:tc>
          <w:tcPr>
            <w:tcW w:w="6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260" w:type="dxa"/>
            <w:vAlign w:val="bottom"/>
            <w:tcBorders>
              <w:right w:val="single" w:sz="8" w:color="auto"/>
            </w:tcBorders>
            <w:vMerge w:val="restart"/>
          </w:tcPr>
          <w:p>
            <w:pPr>
              <w:ind w:left="228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48"/>
        </w:trPr>
        <w:tc>
          <w:tcPr>
            <w:tcW w:w="360" w:type="dxa"/>
            <w:vAlign w:val="bottom"/>
            <w:tcBorders>
              <w:left w:val="single" w:sz="8" w:color="auto"/>
            </w:tcBorders>
            <w:gridSpan w:val="2"/>
            <w:vMerge w:val="continue"/>
          </w:tcPr>
          <w:p>
            <w:pPr>
              <w:spacing w:after="0"/>
              <w:rPr>
                <w:sz w:val="12"/>
                <w:szCs w:val="12"/>
                <w:color w:val="auto"/>
              </w:rPr>
            </w:pPr>
          </w:p>
        </w:tc>
        <w:tc>
          <w:tcPr>
            <w:tcW w:w="900" w:type="dxa"/>
            <w:vAlign w:val="bottom"/>
          </w:tcPr>
          <w:p>
            <w:pPr>
              <w:spacing w:after="0"/>
              <w:rPr>
                <w:sz w:val="12"/>
                <w:szCs w:val="12"/>
                <w:color w:val="auto"/>
              </w:rPr>
            </w:pPr>
          </w:p>
        </w:tc>
        <w:tc>
          <w:tcPr>
            <w:tcW w:w="50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contained in Exhibit 101)</w:t>
            </w:r>
          </w:p>
        </w:tc>
        <w:tc>
          <w:tcPr>
            <w:tcW w:w="6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26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40" w:type="dxa"/>
            <w:vAlign w:val="bottom"/>
            <w:tcBorders>
              <w:left w:val="single" w:sz="8" w:color="auto"/>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5040" w:type="dxa"/>
            <w:vAlign w:val="bottom"/>
            <w:tcBorders>
              <w:bottom w:val="single" w:sz="8" w:color="auto"/>
            </w:tcBorders>
            <w:vMerge w:val="continue"/>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32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62"/>
        </w:trPr>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40" w:type="dxa"/>
            <w:vAlign w:val="bottom"/>
          </w:tcPr>
          <w:p>
            <w:pPr>
              <w:ind w:left="4280"/>
              <w:spacing w:after="0"/>
              <w:rPr>
                <w:sz w:val="20"/>
                <w:szCs w:val="20"/>
                <w:color w:val="auto"/>
              </w:rPr>
            </w:pPr>
            <w:r>
              <w:rPr>
                <w:rFonts w:ascii="Times New Roman" w:cs="Times New Roman" w:eastAsia="Times New Roman" w:hAnsi="Times New Roman"/>
                <w:sz w:val="18"/>
                <w:szCs w:val="18"/>
                <w:color w:val="auto"/>
              </w:rPr>
              <w:t>57</w:t>
            </w:r>
          </w:p>
        </w:tc>
        <w:tc>
          <w:tcPr>
            <w:tcW w:w="6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504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32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3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220" w:type="dxa"/>
            <w:vAlign w:val="bottom"/>
          </w:tcPr>
          <w:p>
            <w:pPr>
              <w:spacing w:after="0"/>
              <w:rPr>
                <w:sz w:val="17"/>
                <w:szCs w:val="17"/>
                <w:color w:val="auto"/>
              </w:rPr>
            </w:pPr>
          </w:p>
        </w:tc>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FACTSET RESEARCH SYSTEMS INC.</w:t>
            </w:r>
          </w:p>
        </w:tc>
      </w:tr>
      <w:tr>
        <w:trPr>
          <w:trHeight w:val="234"/>
        </w:trPr>
        <w:tc>
          <w:tcPr>
            <w:tcW w:w="5220" w:type="dxa"/>
            <w:vAlign w:val="bottom"/>
          </w:tcPr>
          <w:p>
            <w:pPr>
              <w:spacing w:after="0"/>
              <w:rPr>
                <w:sz w:val="20"/>
                <w:szCs w:val="20"/>
                <w:color w:val="auto"/>
              </w:rPr>
            </w:pPr>
          </w:p>
        </w:tc>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468"/>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Date: April 4, 2025</w:t>
            </w:r>
          </w:p>
        </w:tc>
        <w:tc>
          <w:tcPr>
            <w:tcW w:w="6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HELEN L. SHAN</w:t>
            </w:r>
          </w:p>
        </w:tc>
      </w:tr>
      <w:tr>
        <w:trPr>
          <w:trHeight w:val="218"/>
        </w:trPr>
        <w:tc>
          <w:tcPr>
            <w:tcW w:w="5220" w:type="dxa"/>
            <w:vAlign w:val="bottom"/>
          </w:tcPr>
          <w:p>
            <w:pPr>
              <w:spacing w:after="0"/>
              <w:rPr>
                <w:sz w:val="18"/>
                <w:szCs w:val="18"/>
                <w:color w:val="auto"/>
              </w:rPr>
            </w:pPr>
          </w:p>
        </w:tc>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Helen L. Shan</w:t>
            </w:r>
          </w:p>
        </w:tc>
      </w:tr>
      <w:tr>
        <w:trPr>
          <w:trHeight w:val="229"/>
        </w:trPr>
        <w:tc>
          <w:tcPr>
            <w:tcW w:w="5220" w:type="dxa"/>
            <w:vAlign w:val="bottom"/>
          </w:tcPr>
          <w:p>
            <w:pPr>
              <w:spacing w:after="0"/>
              <w:rPr>
                <w:sz w:val="19"/>
                <w:szCs w:val="19"/>
                <w:color w:val="auto"/>
              </w:rPr>
            </w:pPr>
          </w:p>
        </w:tc>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tc>
      </w:tr>
      <w:tr>
        <w:trPr>
          <w:trHeight w:val="234"/>
        </w:trPr>
        <w:tc>
          <w:tcPr>
            <w:tcW w:w="5220" w:type="dxa"/>
            <w:vAlign w:val="bottom"/>
          </w:tcPr>
          <w:p>
            <w:pPr>
              <w:spacing w:after="0"/>
              <w:rPr>
                <w:sz w:val="20"/>
                <w:szCs w:val="20"/>
                <w:color w:val="auto"/>
              </w:rPr>
            </w:pPr>
          </w:p>
        </w:tc>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486"/>
        </w:trPr>
        <w:tc>
          <w:tcPr>
            <w:tcW w:w="5220" w:type="dxa"/>
            <w:vAlign w:val="bottom"/>
          </w:tcPr>
          <w:p>
            <w:pPr>
              <w:spacing w:after="0"/>
              <w:rPr>
                <w:sz w:val="24"/>
                <w:szCs w:val="24"/>
                <w:color w:val="auto"/>
              </w:rPr>
            </w:pPr>
          </w:p>
        </w:tc>
        <w:tc>
          <w:tcPr>
            <w:tcW w:w="6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GREGORY T. MOSKOFF</w:t>
            </w:r>
          </w:p>
        </w:tc>
      </w:tr>
      <w:tr>
        <w:trPr>
          <w:trHeight w:val="218"/>
        </w:trPr>
        <w:tc>
          <w:tcPr>
            <w:tcW w:w="5220" w:type="dxa"/>
            <w:vAlign w:val="bottom"/>
          </w:tcPr>
          <w:p>
            <w:pPr>
              <w:spacing w:after="0"/>
              <w:rPr>
                <w:sz w:val="18"/>
                <w:szCs w:val="18"/>
                <w:color w:val="auto"/>
              </w:rPr>
            </w:pPr>
          </w:p>
        </w:tc>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Gregory T. Moskoff</w:t>
            </w:r>
          </w:p>
        </w:tc>
      </w:tr>
      <w:tr>
        <w:trPr>
          <w:trHeight w:val="229"/>
        </w:trPr>
        <w:tc>
          <w:tcPr>
            <w:tcW w:w="5220" w:type="dxa"/>
            <w:vAlign w:val="bottom"/>
          </w:tcPr>
          <w:p>
            <w:pPr>
              <w:spacing w:after="0"/>
              <w:rPr>
                <w:sz w:val="19"/>
                <w:szCs w:val="19"/>
                <w:color w:val="auto"/>
              </w:rPr>
            </w:pPr>
          </w:p>
        </w:tc>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Managing Director, Controller and Chief Accounting Officer</w:t>
            </w:r>
          </w:p>
        </w:tc>
      </w:tr>
      <w:tr>
        <w:trPr>
          <w:trHeight w:val="234"/>
        </w:trPr>
        <w:tc>
          <w:tcPr>
            <w:tcW w:w="5220" w:type="dxa"/>
            <w:vAlign w:val="bottom"/>
          </w:tcPr>
          <w:p>
            <w:pPr>
              <w:spacing w:after="0"/>
              <w:rPr>
                <w:sz w:val="20"/>
                <w:szCs w:val="20"/>
                <w:color w:val="auto"/>
              </w:rPr>
            </w:pPr>
          </w:p>
        </w:tc>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240"/>
          </w:cols>
          <w:pgMar w:left="320" w:top="121" w:right="339" w:bottom="1440" w:gutter="0" w:footer="0" w:header="0"/>
        </w:sectPr>
      </w:pPr>
    </w:p>
    <w:bookmarkStart w:id="58" w:name="page59"/>
    <w:bookmarkEnd w:id="58"/>
    <w:p>
      <w:pPr>
        <w:ind w:left="1012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196"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EXCHANGE ACT RULE 13a-14(a)/15d-14(a) AS ADOPTED PURSUANT TO SECTION 302 OF THE SARBANES-OXLEY ACT OF 2002</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F. Philip Snow, certify that:</w:t>
      </w:r>
    </w:p>
    <w:p>
      <w:pPr>
        <w:spacing w:after="0" w:line="185" w:lineRule="exact"/>
        <w:rPr>
          <w:sz w:val="20"/>
          <w:szCs w:val="20"/>
          <w:color w:val="auto"/>
        </w:rPr>
      </w:pPr>
    </w:p>
    <w:p>
      <w:pPr>
        <w:ind w:left="500" w:hanging="492"/>
        <w:spacing w:after="0"/>
        <w:tabs>
          <w:tab w:leader="none" w:pos="5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FactSet Research Systems Inc.;</w:t>
      </w:r>
    </w:p>
    <w:p>
      <w:pPr>
        <w:spacing w:after="0" w:line="184"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71"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68"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980" w:hanging="486"/>
        <w:spacing w:after="0" w:line="282" w:lineRule="auto"/>
        <w:tabs>
          <w:tab w:leader="none" w:pos="971"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ind w:left="980" w:hanging="486"/>
        <w:spacing w:after="0" w:line="282" w:lineRule="auto"/>
        <w:tabs>
          <w:tab w:leader="none" w:pos="968"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34"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71"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68"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any significant role in the registrant’s internal control over financial reporting.</w:t>
      </w:r>
    </w:p>
    <w:p>
      <w:pPr>
        <w:spacing w:after="0" w:line="17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Date: April 4, 2025</w:t>
      </w:r>
    </w:p>
    <w:p>
      <w:pPr>
        <w:spacing w:after="0" w:line="29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 F. PHILIP SNOW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17145</wp:posOffset>
            </wp:positionV>
            <wp:extent cx="344614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46145" cy="8255"/>
                    </a:xfrm>
                    <a:prstGeom prst="rect">
                      <a:avLst/>
                    </a:prstGeom>
                    <a:noFill/>
                  </pic:spPr>
                </pic:pic>
              </a:graphicData>
            </a:graphic>
          </wp:anchor>
        </w:drawing>
      </w:r>
    </w:p>
    <w:p>
      <w:pPr>
        <w:spacing w:after="0" w:line="1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F. Philip Snow</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887" w:right="339" w:bottom="1440" w:gutter="0" w:footer="0" w:header="0"/>
        </w:sectPr>
      </w:pPr>
    </w:p>
    <w:bookmarkStart w:id="59" w:name="page60"/>
    <w:bookmarkEnd w:id="59"/>
    <w:p>
      <w:pPr>
        <w:ind w:left="1012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10"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 EXCHANGE ACT RULE 13a-14(a)/15d-14(a) AS ADOPTED PURSUANT TO SECTION 302 OF THE SARBANES-OXLEY ACT OF 2002</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Helen L. Shan, certify that:</w:t>
      </w:r>
    </w:p>
    <w:p>
      <w:pPr>
        <w:spacing w:after="0" w:line="185" w:lineRule="exact"/>
        <w:rPr>
          <w:sz w:val="20"/>
          <w:szCs w:val="20"/>
          <w:color w:val="auto"/>
        </w:rPr>
      </w:pPr>
    </w:p>
    <w:p>
      <w:pPr>
        <w:ind w:left="500" w:hanging="492"/>
        <w:spacing w:after="0"/>
        <w:tabs>
          <w:tab w:leader="none" w:pos="5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FactSet Research Systems Inc.;</w:t>
      </w:r>
    </w:p>
    <w:p>
      <w:pPr>
        <w:spacing w:after="0" w:line="198"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8"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71"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68"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980" w:hanging="486"/>
        <w:spacing w:after="0" w:line="282" w:lineRule="auto"/>
        <w:tabs>
          <w:tab w:leader="none" w:pos="971"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controls and procedures, as of the end of the period covered by this report based on such evaluation; and</w:t>
      </w:r>
    </w:p>
    <w:p>
      <w:pPr>
        <w:spacing w:after="0" w:line="134" w:lineRule="exact"/>
        <w:rPr>
          <w:rFonts w:ascii="Times New Roman" w:cs="Times New Roman" w:eastAsia="Times New Roman" w:hAnsi="Times New Roman"/>
          <w:sz w:val="18"/>
          <w:szCs w:val="18"/>
          <w:color w:val="auto"/>
        </w:rPr>
      </w:pPr>
    </w:p>
    <w:p>
      <w:pPr>
        <w:ind w:left="980" w:hanging="486"/>
        <w:spacing w:after="0" w:line="282" w:lineRule="auto"/>
        <w:tabs>
          <w:tab w:leader="none" w:pos="968"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21"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71"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68"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any significant role in the registrant’s internal control over financial reporting.</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Date: April 4, 2025</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HELEN L. SHAN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wp:posOffset>
            </wp:positionV>
            <wp:extent cx="344614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46145" cy="8255"/>
                    </a:xfrm>
                    <a:prstGeom prst="rect">
                      <a:avLst/>
                    </a:prstGeom>
                    <a:noFill/>
                  </pic:spPr>
                </pic:pic>
              </a:graphicData>
            </a:graphic>
          </wp:anchor>
        </w:drawing>
      </w:r>
    </w:p>
    <w:p>
      <w:pPr>
        <w:spacing w:after="0" w:line="1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Helen L. Shan</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1062" w:right="33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8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18 U.S.C. SECTION 1350, AS ADOPTED PURSUANT TO SECTION 906 OF THE SARBANES-OXLEY ACT OF 2002</w:t>
      </w:r>
    </w:p>
    <w:p>
      <w:pPr>
        <w:spacing w:after="0" w:line="14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FactSet Research Systems Inc. (the “Company”) on Form 10-Q for the quarter ended February 28, 2025, as filed with the Securities and Exchange Commission on the date hereof (the “Report”), I, F. Philip Snow, do hereby certify, pursuant to 18 U.S.C. §1350, as adopted pursuant to §906 of the Sarbanes-Oxley Act of 2002, that:</w:t>
      </w:r>
    </w:p>
    <w:p>
      <w:pPr>
        <w:spacing w:after="0" w:line="135" w:lineRule="exact"/>
        <w:rPr>
          <w:sz w:val="20"/>
          <w:szCs w:val="20"/>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84" w:lineRule="exact"/>
        <w:rPr>
          <w:rFonts w:ascii="Times New Roman" w:cs="Times New Roman" w:eastAsia="Times New Roman" w:hAnsi="Times New Roman"/>
          <w:sz w:val="18"/>
          <w:szCs w:val="18"/>
          <w:color w:val="auto"/>
        </w:rPr>
      </w:pPr>
    </w:p>
    <w:p>
      <w:pPr>
        <w:ind w:left="980" w:hanging="324"/>
        <w:spacing w:after="0" w:line="282" w:lineRule="auto"/>
        <w:tabs>
          <w:tab w:leader="none" w:pos="97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/s/ F. PHILIP SNOW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17145</wp:posOffset>
            </wp:positionV>
            <wp:extent cx="344614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46145" cy="8255"/>
                    </a:xfrm>
                    <a:prstGeom prst="rect">
                      <a:avLst/>
                    </a:prstGeom>
                    <a:noFill/>
                  </pic:spPr>
                </pic:pic>
              </a:graphicData>
            </a:graphic>
          </wp:anchor>
        </w:drawing>
      </w:r>
    </w:p>
    <w:p>
      <w:pPr>
        <w:spacing w:after="0" w:line="1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F. Philip Snow</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April 4, 2025</w:t>
      </w:r>
    </w:p>
    <w:p>
      <w:pPr>
        <w:sectPr>
          <w:pgSz w:w="11900" w:h="16838" w:orient="portrait"/>
          <w:cols w:equalWidth="0" w:num="1">
            <w:col w:w="11240"/>
          </w:cols>
          <w:pgMar w:left="320" w:top="887" w:right="33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FactSet Research Systems Inc. (the “Company”) on Form 10-Q for the quarter ended February 28, 2025, as filed with the Securities and Exchange Commission on the date hereof (the “Report”), I, Helen L. Shan, do hereby certify, pursuant to 18 U.S.C. §1350, as adopted pursuant to §906 of the Sarbanes-Oxley Act of 2002, that:</w:t>
      </w:r>
    </w:p>
    <w:p>
      <w:pPr>
        <w:spacing w:after="0" w:line="135" w:lineRule="exact"/>
        <w:rPr>
          <w:sz w:val="20"/>
          <w:szCs w:val="20"/>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84" w:lineRule="exact"/>
        <w:rPr>
          <w:rFonts w:ascii="Times New Roman" w:cs="Times New Roman" w:eastAsia="Times New Roman" w:hAnsi="Times New Roman"/>
          <w:sz w:val="18"/>
          <w:szCs w:val="18"/>
          <w:color w:val="auto"/>
        </w:rPr>
      </w:pPr>
    </w:p>
    <w:p>
      <w:pPr>
        <w:ind w:left="980" w:hanging="324"/>
        <w:spacing w:after="0" w:line="282" w:lineRule="auto"/>
        <w:tabs>
          <w:tab w:leader="none" w:pos="97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 HELEN L. SHAN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17145</wp:posOffset>
            </wp:positionV>
            <wp:extent cx="344614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46145"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Helen L. Shan</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April 4, 2025</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F2DBA31"/>
    <w:multiLevelType w:val="hybridMultilevel"/>
    <w:lvl w:ilvl="0">
      <w:lvlJc w:val="left"/>
      <w:lvlText w:val="x"/>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1)"/>
      <w:numFmt w:val="decimal"/>
      <w:start w:val="1"/>
    </w:lvl>
  </w:abstractNum>
  <w:abstractNum w:abstractNumId="3">
    <w:nsid w:val="62BBD95A"/>
    <w:multiLevelType w:val="hybridMultilevel"/>
    <w:lvl w:ilvl="0">
      <w:lvlJc w:val="left"/>
      <w:lvlText w:val="(%1)"/>
      <w:numFmt w:val="decimal"/>
      <w:start w:val="1"/>
    </w:lvl>
  </w:abstractNum>
  <w:abstractNum w:abstractNumId="4">
    <w:nsid w:val="436C6125"/>
    <w:multiLevelType w:val="hybridMultilevel"/>
    <w:lvl w:ilvl="0">
      <w:lvlJc w:val="left"/>
      <w:lvlText w:val="(%1)"/>
      <w:numFmt w:val="decimal"/>
      <w:start w:val="1"/>
    </w:lvl>
  </w:abstractNum>
  <w:abstractNum w:abstractNumId="5">
    <w:nsid w:val="628C895D"/>
    <w:multiLevelType w:val="hybridMultilevel"/>
    <w:lvl w:ilvl="0">
      <w:lvlJc w:val="left"/>
      <w:lvlText w:val="(%1)"/>
      <w:numFmt w:val="decimal"/>
      <w:start w:val="1"/>
    </w:lvl>
  </w:abstractNum>
  <w:abstractNum w:abstractNumId="6">
    <w:nsid w:val="333AB105"/>
    <w:multiLevelType w:val="hybridMultilevel"/>
    <w:lvl w:ilvl="0">
      <w:lvlJc w:val="left"/>
      <w:lvlText w:val="(%1)"/>
      <w:numFmt w:val="decimal"/>
      <w:start w:val="1"/>
    </w:lvl>
  </w:abstractNum>
  <w:abstractNum w:abstractNumId="7">
    <w:nsid w:val="721DA317"/>
    <w:multiLevelType w:val="hybridMultilevel"/>
    <w:lvl w:ilvl="0">
      <w:lvlJc w:val="left"/>
      <w:lvlText w:val="(%1)"/>
      <w:numFmt w:val="decimal"/>
      <w:start w:val="1"/>
    </w:lvl>
  </w:abstractNum>
  <w:abstractNum w:abstractNumId="8">
    <w:nsid w:val="2443A858"/>
    <w:multiLevelType w:val="hybridMultilevel"/>
    <w:lvl w:ilvl="0">
      <w:lvlJc w:val="left"/>
      <w:lvlText w:val="•"/>
      <w:numFmt w:val="bullet"/>
      <w:start w:val="1"/>
    </w:lvl>
  </w:abstractNum>
  <w:abstractNum w:abstractNumId="9">
    <w:nsid w:val="2D1D5AE9"/>
    <w:multiLevelType w:val="hybridMultilevel"/>
    <w:lvl w:ilvl="0">
      <w:lvlJc w:val="left"/>
      <w:lvlText w:val="•"/>
      <w:numFmt w:val="bullet"/>
      <w:start w:val="1"/>
    </w:lvl>
  </w:abstractNum>
  <w:abstractNum w:abstractNumId="10">
    <w:nsid w:val="6763845E"/>
    <w:multiLevelType w:val="hybridMultilevel"/>
    <w:lvl w:ilvl="0">
      <w:lvlJc w:val="left"/>
      <w:lvlText w:val="•"/>
      <w:numFmt w:val="bullet"/>
      <w:start w:val="1"/>
    </w:lvl>
  </w:abstractNum>
  <w:abstractNum w:abstractNumId="11">
    <w:nsid w:val="75A2A8D4"/>
    <w:multiLevelType w:val="hybridMultilevel"/>
    <w:lvl w:ilvl="0">
      <w:lvlJc w:val="left"/>
      <w:lvlText w:val="(%1)"/>
      <w:numFmt w:val="decimal"/>
      <w:start w:val="1"/>
    </w:lvl>
  </w:abstractNum>
  <w:abstractNum w:abstractNumId="12">
    <w:nsid w:val="8EDBDAB"/>
    <w:multiLevelType w:val="hybridMultilevel"/>
    <w:lvl w:ilvl="0">
      <w:lvlJc w:val="left"/>
      <w:lvlText w:val="(%1)"/>
      <w:numFmt w:val="decimal"/>
      <w:start w:val="1"/>
    </w:lvl>
  </w:abstractNum>
  <w:abstractNum w:abstractNumId="13">
    <w:nsid w:val="79838CB2"/>
    <w:multiLevelType w:val="hybridMultilevel"/>
    <w:lvl w:ilvl="0">
      <w:lvlJc w:val="left"/>
      <w:lvlText w:val="(%1)"/>
      <w:numFmt w:val="decimal"/>
      <w:start w:val="2"/>
    </w:lvl>
  </w:abstractNum>
  <w:abstractNum w:abstractNumId="14">
    <w:nsid w:val="4353D0CD"/>
    <w:multiLevelType w:val="hybridMultilevel"/>
    <w:lvl w:ilvl="0">
      <w:lvlJc w:val="left"/>
      <w:lvlText w:val="•"/>
      <w:numFmt w:val="bullet"/>
      <w:start w:val="1"/>
    </w:lvl>
  </w:abstractNum>
  <w:abstractNum w:abstractNumId="15">
    <w:nsid w:val="B03E0C6"/>
    <w:multiLevelType w:val="hybridMultilevel"/>
    <w:lvl w:ilvl="0">
      <w:lvlJc w:val="left"/>
      <w:lvlText w:val="•"/>
      <w:numFmt w:val="bullet"/>
      <w:start w:val="1"/>
    </w:lvl>
  </w:abstractNum>
  <w:abstractNum w:abstractNumId="16">
    <w:nsid w:val="189A769B"/>
    <w:multiLevelType w:val="hybridMultilevel"/>
    <w:lvl w:ilvl="0">
      <w:lvlJc w:val="left"/>
      <w:lvlText w:val="•"/>
      <w:numFmt w:val="bullet"/>
      <w:start w:val="1"/>
    </w:lvl>
  </w:abstractNum>
  <w:abstractNum w:abstractNumId="17">
    <w:nsid w:val="54E49EB4"/>
    <w:multiLevelType w:val="hybridMultilevel"/>
    <w:lvl w:ilvl="0">
      <w:lvlJc w:val="left"/>
      <w:lvlText w:val="•"/>
      <w:numFmt w:val="bullet"/>
      <w:start w:val="1"/>
    </w:lvl>
  </w:abstractNum>
  <w:abstractNum w:abstractNumId="18">
    <w:nsid w:val="71F32454"/>
    <w:multiLevelType w:val="hybridMultilevel"/>
    <w:lvl w:ilvl="0">
      <w:lvlJc w:val="left"/>
      <w:lvlText w:val="\endash "/>
      <w:numFmt w:val="bullet"/>
      <w:start w:val="1"/>
    </w:lvl>
  </w:abstractNum>
  <w:abstractNum w:abstractNumId="19">
    <w:nsid w:val="2CA88611"/>
    <w:multiLevelType w:val="hybridMultilevel"/>
    <w:lvl w:ilvl="0">
      <w:lvlJc w:val="left"/>
      <w:lvlText w:val="(%1)"/>
      <w:numFmt w:val="decimal"/>
      <w:start w:val="1"/>
    </w:lvl>
  </w:abstractNum>
  <w:abstractNum w:abstractNumId="20">
    <w:nsid w:val="836C40E"/>
    <w:multiLevelType w:val="hybridMultilevel"/>
    <w:lvl w:ilvl="0">
      <w:lvlJc w:val="left"/>
      <w:lvlText w:val="(%1)"/>
      <w:numFmt w:val="decimal"/>
      <w:start w:val="1"/>
    </w:lvl>
  </w:abstractNum>
  <w:abstractNum w:abstractNumId="21">
    <w:nsid w:val="2901D82"/>
    <w:multiLevelType w:val="hybridMultilevel"/>
    <w:lvl w:ilvl="0">
      <w:lvlJc w:val="left"/>
      <w:lvlText w:val="•"/>
      <w:numFmt w:val="bullet"/>
      <w:start w:val="1"/>
    </w:lvl>
  </w:abstractNum>
  <w:abstractNum w:abstractNumId="22">
    <w:nsid w:val="3A95F874"/>
    <w:multiLevelType w:val="hybridMultilevel"/>
    <w:lvl w:ilvl="0">
      <w:lvlJc w:val="left"/>
      <w:lvlText w:val="•"/>
      <w:numFmt w:val="bullet"/>
      <w:start w:val="1"/>
    </w:lvl>
  </w:abstractNum>
  <w:abstractNum w:abstractNumId="23">
    <w:nsid w:val="8138641"/>
    <w:multiLevelType w:val="hybridMultilevel"/>
    <w:lvl w:ilvl="0">
      <w:lvlJc w:val="left"/>
      <w:lvlText w:val="•"/>
      <w:numFmt w:val="bullet"/>
      <w:start w:val="1"/>
    </w:lvl>
  </w:abstractNum>
  <w:abstractNum w:abstractNumId="24">
    <w:nsid w:val="1E7FF521"/>
    <w:multiLevelType w:val="hybridMultilevel"/>
    <w:lvl w:ilvl="0">
      <w:lvlJc w:val="left"/>
      <w:lvlText w:val="•"/>
      <w:numFmt w:val="bullet"/>
      <w:start w:val="1"/>
    </w:lvl>
  </w:abstractNum>
  <w:abstractNum w:abstractNumId="25">
    <w:nsid w:val="7C3DBD3D"/>
    <w:multiLevelType w:val="hybridMultilevel"/>
    <w:lvl w:ilvl="0">
      <w:lvlJc w:val="left"/>
      <w:lvlText w:val="•"/>
      <w:numFmt w:val="bullet"/>
      <w:start w:val="1"/>
    </w:lvl>
  </w:abstractNum>
  <w:abstractNum w:abstractNumId="26">
    <w:nsid w:val="737B8DDC"/>
    <w:multiLevelType w:val="hybridMultilevel"/>
    <w:lvl w:ilvl="0">
      <w:lvlJc w:val="left"/>
      <w:lvlText w:val="•"/>
      <w:numFmt w:val="bullet"/>
      <w:start w:val="1"/>
    </w:lvl>
  </w:abstractNum>
  <w:abstractNum w:abstractNumId="27">
    <w:nsid w:val="6CEAF087"/>
    <w:multiLevelType w:val="hybridMultilevel"/>
    <w:lvl w:ilvl="0">
      <w:lvlJc w:val="left"/>
      <w:lvlText w:val="(%1)"/>
      <w:numFmt w:val="decimal"/>
      <w:start w:val="1"/>
    </w:lvl>
  </w:abstractNum>
  <w:abstractNum w:abstractNumId="28">
    <w:nsid w:val="22221A70"/>
    <w:multiLevelType w:val="hybridMultilevel"/>
    <w:lvl w:ilvl="0">
      <w:lvlJc w:val="left"/>
      <w:lvlText w:val="(%1)"/>
      <w:numFmt w:val="lowerRoman"/>
      <w:start w:val="2"/>
    </w:lvl>
  </w:abstractNum>
  <w:abstractNum w:abstractNumId="29">
    <w:nsid w:val="4516DDE9"/>
    <w:multiLevelType w:val="hybridMultilevel"/>
    <w:lvl w:ilvl="0">
      <w:lvlJc w:val="left"/>
      <w:lvlText w:val="(%1)"/>
      <w:numFmt w:val="lowerRoman"/>
      <w:start w:val="1"/>
    </w:lvl>
  </w:abstractNum>
  <w:abstractNum w:abstractNumId="30">
    <w:nsid w:val="3006C83E"/>
    <w:multiLevelType w:val="hybridMultilevel"/>
    <w:lvl w:ilvl="0">
      <w:lvlJc w:val="left"/>
      <w:lvlText w:val="(%1)"/>
      <w:numFmt w:val="decimal"/>
      <w:start w:val="1"/>
    </w:lvl>
  </w:abstractNum>
  <w:abstractNum w:abstractNumId="31">
    <w:nsid w:val="614FD4A1"/>
    <w:multiLevelType w:val="hybridMultilevel"/>
    <w:lvl w:ilvl="0">
      <w:lvlJc w:val="left"/>
      <w:lvlText w:val="(%1)"/>
      <w:numFmt w:val="decimal"/>
      <w:start w:val="2"/>
    </w:lvl>
  </w:abstractNum>
  <w:abstractNum w:abstractNumId="32">
    <w:nsid w:val="419AC241"/>
    <w:multiLevelType w:val="hybridMultilevel"/>
    <w:lvl w:ilvl="0">
      <w:lvlJc w:val="left"/>
      <w:lvlText w:val="%1."/>
      <w:numFmt w:val="decimal"/>
      <w:start w:val="1"/>
    </w:lvl>
    <w:lvl w:ilvl="1">
      <w:lvlJc w:val="left"/>
      <w:lvlText w:val="%2)"/>
      <w:numFmt w:val="lowerLetter"/>
      <w:start w:val="1"/>
    </w:lvl>
  </w:abstractNum>
  <w:abstractNum w:abstractNumId="33">
    <w:nsid w:val="5577F8E1"/>
    <w:multiLevelType w:val="hybridMultilevel"/>
    <w:lvl w:ilvl="0">
      <w:lvlJc w:val="left"/>
      <w:lvlText w:val="%1."/>
      <w:numFmt w:val="decimal"/>
      <w:start w:val="1"/>
    </w:lvl>
    <w:lvl w:ilvl="1">
      <w:lvlJc w:val="left"/>
      <w:lvlText w:val="%2)"/>
      <w:numFmt w:val="lowerLetter"/>
      <w:start w:val="1"/>
    </w:lvl>
  </w:abstractNum>
  <w:abstractNum w:abstractNumId="34">
    <w:nsid w:val="440BADFC"/>
    <w:multiLevelType w:val="hybridMultilevel"/>
    <w:lvl w:ilvl="0">
      <w:lvlJc w:val="left"/>
      <w:lvlText w:val="(%1)"/>
      <w:numFmt w:val="decimal"/>
      <w:start w:val="1"/>
    </w:lvl>
  </w:abstractNum>
  <w:abstractNum w:abstractNumId="35">
    <w:nsid w:val="507236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2025-04-04T05:11:18Z</dcterms:created>
  <dcterms:modified xsi:type="dcterms:W3CDTF">2025-04-04T05:11:18Z</dcterms:modified>
</cp:coreProperties>
</file>