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February 28, 2023</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2"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March 27, 2023 was 38,319,485.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February 28, 2023</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7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Statements of Income for the three and six months ended February 28, 2023 and 2022</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six months ended February 28, 2023 and 2022</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Balance Sheets at February 28, 2023 and August 31, 2022</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Cash Flows for the six months ended February 28, 2023 and 2022</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six months ended February 28, 2023 and 2022</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2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30"/>
        </w:trPr>
        <w:tc>
          <w:tcPr>
            <w:tcW w:w="900" w:type="dxa"/>
            <w:vAlign w:val="bottom"/>
            <w:shd w:val="clear" w:color="auto" w:fill="CCEEFF"/>
          </w:tcPr>
          <w:p>
            <w:pPr>
              <w:spacing w:after="0"/>
              <w:rPr>
                <w:sz w:val="19"/>
                <w:szCs w:val="19"/>
                <w:color w:val="auto"/>
              </w:rPr>
            </w:pPr>
          </w:p>
        </w:tc>
        <w:tc>
          <w:tcPr>
            <w:tcW w:w="9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Part II,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and in other sections of this Quarterly Report on Form 10-Q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2023,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2022, that should be specifically considered.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26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80" w:type="dxa"/>
            <w:vAlign w:val="bottom"/>
          </w:tcPr>
          <w:p>
            <w:pPr>
              <w:spacing w:after="0"/>
              <w:rPr>
                <w:sz w:val="20"/>
                <w:szCs w:val="20"/>
                <w:color w:val="auto"/>
              </w:rPr>
            </w:pPr>
          </w:p>
        </w:tc>
      </w:tr>
      <w:tr>
        <w:trPr>
          <w:trHeight w:val="27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1,019,900</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855,844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240,806</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467,848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406,544</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104,582</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98,066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210,178</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189,304</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13,987</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345,835</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307,771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678,755</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609,835</w:t>
            </w:r>
          </w:p>
        </w:tc>
      </w:tr>
      <w:tr>
        <w:trPr>
          <w:trHeight w:val="270"/>
        </w:trPr>
        <w:tc>
          <w:tcPr>
            <w:tcW w:w="5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169,250</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341,145</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246,009</w:t>
            </w:r>
          </w:p>
        </w:tc>
      </w:tr>
      <w:tr>
        <w:trPr>
          <w:trHeight w:val="270"/>
        </w:trPr>
        <w:tc>
          <w:tcPr>
            <w:tcW w:w="5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156,762</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314,647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241,886</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25,169</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46,256</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109,938</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217,585</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38,981</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38,761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38,947</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38,628</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47"/>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2"/>
        </w:trPr>
        <w:tc>
          <w:tcPr>
            <w:tcW w:w="5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1"/>
                <w:szCs w:val="21"/>
                <w:color w:val="auto"/>
              </w:rPr>
            </w:pPr>
          </w:p>
        </w:tc>
        <w:tc>
          <w:tcPr>
            <w:tcW w:w="24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00" w:type="dxa"/>
            <w:vAlign w:val="bottom"/>
          </w:tcPr>
          <w:p>
            <w:pPr>
              <w:spacing w:after="0"/>
              <w:rPr>
                <w:sz w:val="20"/>
                <w:szCs w:val="20"/>
                <w:color w:val="auto"/>
              </w:rPr>
            </w:pPr>
          </w:p>
        </w:tc>
      </w:tr>
      <w:tr>
        <w:trPr>
          <w:trHeight w:val="27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217,585</w:t>
            </w:r>
          </w:p>
        </w:tc>
      </w:tr>
      <w:tr>
        <w:trPr>
          <w:trHeight w:val="257"/>
        </w:trPr>
        <w:tc>
          <w:tcPr>
            <w:tcW w:w="5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gain (loss) on cash flow hedges*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30"/>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w:t>
            </w:r>
          </w:p>
        </w:tc>
      </w:tr>
      <w:tr>
        <w:trPr>
          <w:trHeight w:val="223"/>
        </w:trPr>
        <w:tc>
          <w:tcPr>
            <w:tcW w:w="56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(16,886)</w:t>
            </w:r>
          </w:p>
        </w:tc>
      </w:tr>
      <w:tr>
        <w:trPr>
          <w:trHeight w:val="24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284,531</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*Presented net of a tax benefit of $779 thousand and a tax expense of $468 thousand for the three months ended February 28, 2023 and February 28, 2022, respectively. Presented net of a tax expense of $1,485 thousand and $469 thousand for the six months ended February 28, 2023 and February 28, 2022,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747"/>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7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2023</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2022</w:t>
            </w:r>
          </w:p>
        </w:tc>
      </w:tr>
      <w:tr>
        <w:trPr>
          <w:trHeight w:val="22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503,273</w:t>
            </w:r>
          </w:p>
        </w:tc>
      </w:tr>
      <w:tr>
        <w:trPr>
          <w:trHeight w:val="23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r>
      <w:tr>
        <w:trPr>
          <w:trHeight w:val="27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$3,120 at February 28, 2023 and $2,776 at August 31, 2022</w:t>
            </w: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257,408</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204,102</w:t>
            </w:r>
          </w:p>
        </w:tc>
      </w:tr>
      <w:tr>
        <w:trPr>
          <w:trHeight w:val="22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38,539</w:t>
            </w:r>
          </w:p>
        </w:tc>
      </w:tr>
      <w:tr>
        <w:trPr>
          <w:trHeight w:val="230"/>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82,293</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91,214</w:t>
            </w:r>
          </w:p>
        </w:tc>
      </w:tr>
      <w:tr>
        <w:trPr>
          <w:trHeight w:val="223"/>
        </w:trPr>
        <w:tc>
          <w:tcPr>
            <w:tcW w:w="7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858,654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870,347</w:t>
            </w: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80,843</w:t>
            </w:r>
          </w:p>
        </w:tc>
      </w:tr>
      <w:tr>
        <w:trPr>
          <w:trHeight w:val="22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977,359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965,848</w:t>
            </w:r>
          </w:p>
        </w:tc>
      </w:tr>
      <w:tr>
        <w:trPr>
          <w:trHeight w:val="22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1,869,774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1,895,909</w:t>
            </w:r>
          </w:p>
        </w:tc>
      </w:tr>
      <w:tr>
        <w:trPr>
          <w:trHeight w:val="23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159,458</w:t>
            </w:r>
          </w:p>
        </w:tc>
      </w:tr>
      <w:tr>
        <w:trPr>
          <w:trHeight w:val="22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57,662</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w:t>
            </w:r>
          </w:p>
        </w:tc>
      </w:tr>
      <w:tr>
        <w:trPr>
          <w:trHeight w:val="223"/>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4,001,075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4,014,305</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108,395</w:t>
            </w:r>
          </w:p>
        </w:tc>
      </w:tr>
      <w:tr>
        <w:trPr>
          <w:trHeight w:val="23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29,185</w:t>
            </w:r>
          </w:p>
        </w:tc>
      </w:tr>
      <w:tr>
        <w:trPr>
          <w:trHeight w:val="22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114,808</w:t>
            </w:r>
          </w:p>
        </w:tc>
      </w:tr>
      <w:tr>
        <w:trPr>
          <w:trHeight w:val="27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164,190</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152,039</w:t>
            </w:r>
          </w:p>
        </w:tc>
      </w:tr>
      <w:tr>
        <w:trPr>
          <w:trHeight w:val="229"/>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34,099</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33,860</w:t>
            </w:r>
          </w:p>
        </w:tc>
      </w:tr>
      <w:tr>
        <w:trPr>
          <w:trHeight w:val="223"/>
        </w:trPr>
        <w:tc>
          <w:tcPr>
            <w:tcW w:w="7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410,805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w:t>
            </w:r>
          </w:p>
        </w:tc>
      </w:tr>
      <w:tr>
        <w:trPr>
          <w:trHeight w:val="229"/>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1,735,609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1,982,424</w:t>
            </w:r>
          </w:p>
        </w:tc>
      </w:tr>
      <w:tr>
        <w:trPr>
          <w:trHeight w:val="23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r>
      <w:tr>
        <w:trPr>
          <w:trHeight w:val="27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w:t>
            </w:r>
          </w:p>
        </w:tc>
      </w:tr>
      <w:tr>
        <w:trPr>
          <w:trHeight w:val="23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34,211</w:t>
            </w: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208,622</w:t>
            </w:r>
          </w:p>
        </w:tc>
      </w:tr>
      <w:tr>
        <w:trPr>
          <w:trHeight w:val="27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23"/>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2,393,921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2,682,897</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2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41,949,883 and 41,653,218 shares</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77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38,313,708 and 38,044,756 shares outstanding at February 28, 2023 and August 31, 2022,</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1,261,452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1,190,350</w:t>
            </w:r>
          </w:p>
        </w:tc>
      </w:tr>
      <w:tr>
        <w:trPr>
          <w:trHeight w:val="175"/>
        </w:trPr>
        <w:tc>
          <w:tcPr>
            <w:tcW w:w="77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3,636,175 and 3,608,462 shares at February 28, 2023 and August 31, 2022,</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(942,496)</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(930,715)</w:t>
            </w:r>
          </w:p>
        </w:tc>
      </w:tr>
      <w:tr>
        <w:trPr>
          <w:trHeight w:val="229"/>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1,380,021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1,179,739</w:t>
            </w:r>
          </w:p>
        </w:tc>
      </w:tr>
      <w:tr>
        <w:trPr>
          <w:trHeight w:val="230"/>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(92,243)</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(108,383)</w:t>
            </w:r>
          </w:p>
        </w:tc>
      </w:tr>
      <w:tr>
        <w:trPr>
          <w:trHeight w:val="223"/>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1,331,408</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4,001,075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4,014,305</w:t>
            </w:r>
          </w:p>
        </w:tc>
      </w:tr>
      <w:tr>
        <w:trPr>
          <w:trHeight w:val="21"/>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52,208</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22,172</w:t>
            </w:r>
          </w:p>
        </w:tc>
        <w:tc>
          <w:tcPr>
            <w:tcW w:w="0" w:type="dxa"/>
            <w:vAlign w:val="bottom"/>
          </w:tcPr>
          <w:p>
            <w:pPr>
              <w:spacing w:after="0"/>
              <w:rPr>
                <w:sz w:val="1"/>
                <w:szCs w:val="1"/>
                <w:color w:val="auto"/>
              </w:rPr>
            </w:pPr>
          </w:p>
        </w:tc>
      </w:tr>
      <w:tr>
        <w:trPr>
          <w:trHeight w:val="229"/>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29"/>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(54,294)</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29"/>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(51,714)</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29"/>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(23,863)</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(12,605)</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271,314</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194,952</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(50,018)</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(46,305)</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(70,814)</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(67,478)</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(61,448)</w:t>
            </w: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43,605</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(285,654)</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0" w:type="dxa"/>
            <w:vAlign w:val="bottom"/>
          </w:tcPr>
          <w:p>
            <w:pPr>
              <w:spacing w:after="0"/>
              <w:rPr>
                <w:sz w:val="1"/>
                <w:szCs w:val="1"/>
                <w:color w:val="auto"/>
              </w:rPr>
            </w:pPr>
          </w:p>
        </w:tc>
      </w:tr>
      <w:tr>
        <w:trPr>
          <w:trHeight w:val="256"/>
        </w:trPr>
        <w:tc>
          <w:tcPr>
            <w:tcW w:w="8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(57,947)</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503,273</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681,865</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445,326</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773,012</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28,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200" w:type="dxa"/>
            <w:vAlign w:val="bottom"/>
          </w:tcPr>
          <w:p>
            <w:pPr>
              <w:spacing w:after="0"/>
              <w:rPr>
                <w:sz w:val="14"/>
                <w:szCs w:val="14"/>
                <w:color w:val="auto"/>
              </w:rPr>
            </w:pPr>
          </w:p>
        </w:tc>
        <w:tc>
          <w:tcPr>
            <w:tcW w:w="1940" w:type="dxa"/>
            <w:vAlign w:val="bottom"/>
            <w:gridSpan w:val="3"/>
          </w:tcPr>
          <w:p>
            <w:pPr>
              <w:jc w:val="right"/>
              <w:ind w:right="51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4"/>
                <w:szCs w:val="14"/>
                <w:color w:val="auto"/>
              </w:rPr>
            </w:pPr>
          </w:p>
        </w:tc>
        <w:tc>
          <w:tcPr>
            <w:tcW w:w="82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Additional</w:t>
            </w:r>
          </w:p>
        </w:tc>
        <w:tc>
          <w:tcPr>
            <w:tcW w:w="1960" w:type="dxa"/>
            <w:vAlign w:val="bottom"/>
            <w:gridSpan w:val="3"/>
          </w:tcPr>
          <w:p>
            <w:pPr>
              <w:jc w:val="right"/>
              <w:ind w:right="537"/>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4"/>
                <w:szCs w:val="14"/>
                <w:color w:val="auto"/>
              </w:rPr>
            </w:pP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rPr>
              <w:t>Retained</w:t>
            </w:r>
          </w:p>
        </w:tc>
        <w:tc>
          <w:tcPr>
            <w:tcW w:w="160" w:type="dxa"/>
            <w:vAlign w:val="bottom"/>
          </w:tcPr>
          <w:p>
            <w:pPr>
              <w:spacing w:after="0"/>
              <w:rPr>
                <w:sz w:val="14"/>
                <w:szCs w:val="14"/>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3"/>
                <w:szCs w:val="13"/>
                <w:color w:val="auto"/>
              </w:rPr>
              <w:t>Accumulated</w:t>
            </w:r>
          </w:p>
        </w:tc>
        <w:tc>
          <w:tcPr>
            <w:tcW w:w="140" w:type="dxa"/>
            <w:vAlign w:val="bottom"/>
          </w:tcPr>
          <w:p>
            <w:pPr>
              <w:spacing w:after="0"/>
              <w:rPr>
                <w:sz w:val="14"/>
                <w:szCs w:val="14"/>
                <w:color w:val="auto"/>
              </w:rPr>
            </w:pPr>
          </w:p>
        </w:tc>
        <w:tc>
          <w:tcPr>
            <w:tcW w:w="960" w:type="dxa"/>
            <w:vAlign w:val="bottom"/>
          </w:tcPr>
          <w:p>
            <w:pPr>
              <w:jc w:val="center"/>
              <w:ind w:right="78"/>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54"/>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right"/>
              <w:ind w:right="239"/>
              <w:spacing w:after="0" w:line="95" w:lineRule="exact"/>
              <w:rPr>
                <w:sz w:val="20"/>
                <w:szCs w:val="20"/>
                <w:color w:val="auto"/>
              </w:rPr>
            </w:pPr>
            <w:r>
              <w:rPr>
                <w:rFonts w:ascii="Times New Roman" w:cs="Times New Roman" w:eastAsia="Times New Roman" w:hAnsi="Times New Roman"/>
                <w:sz w:val="10"/>
                <w:szCs w:val="10"/>
                <w:color w:val="auto"/>
              </w:rPr>
              <w:t>Paid-in</w:t>
            </w: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right"/>
              <w:ind w:right="359"/>
              <w:spacing w:after="0" w:line="95" w:lineRule="exact"/>
              <w:rPr>
                <w:sz w:val="20"/>
                <w:szCs w:val="20"/>
                <w:color w:val="auto"/>
              </w:rPr>
            </w:pPr>
            <w:r>
              <w:rPr>
                <w:rFonts w:ascii="Times New Roman" w:cs="Times New Roman" w:eastAsia="Times New Roman" w:hAnsi="Times New Roman"/>
                <w:sz w:val="10"/>
                <w:szCs w:val="10"/>
                <w:color w:val="auto"/>
              </w:rPr>
              <w:t>Other</w:t>
            </w:r>
          </w:p>
        </w:tc>
        <w:tc>
          <w:tcPr>
            <w:tcW w:w="140" w:type="dxa"/>
            <w:vAlign w:val="bottom"/>
          </w:tcPr>
          <w:p>
            <w:pPr>
              <w:spacing w:after="0"/>
              <w:rPr>
                <w:sz w:val="4"/>
                <w:szCs w:val="4"/>
                <w:color w:val="auto"/>
              </w:rPr>
            </w:pPr>
          </w:p>
        </w:tc>
        <w:tc>
          <w:tcPr>
            <w:tcW w:w="960" w:type="dxa"/>
            <w:vAlign w:val="bottom"/>
            <w:vMerge w:val="restart"/>
          </w:tcPr>
          <w:p>
            <w:pPr>
              <w:jc w:val="center"/>
              <w:ind w:right="78"/>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20"/>
        </w:trPr>
        <w:tc>
          <w:tcPr>
            <w:tcW w:w="3200" w:type="dxa"/>
            <w:vAlign w:val="bottom"/>
            <w:vMerge w:val="continue"/>
          </w:tcPr>
          <w:p>
            <w:pPr>
              <w:spacing w:after="0" w:line="20" w:lineRule="exact"/>
              <w:rPr>
                <w:sz w:val="1"/>
                <w:szCs w:val="1"/>
                <w:color w:val="auto"/>
              </w:rPr>
            </w:pPr>
          </w:p>
        </w:tc>
        <w:tc>
          <w:tcPr>
            <w:tcW w:w="94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Shares</w:t>
            </w: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96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Shares</w:t>
            </w:r>
          </w:p>
        </w:tc>
        <w:tc>
          <w:tcPr>
            <w:tcW w:w="200" w:type="dxa"/>
            <w:vAlign w:val="bottom"/>
          </w:tcPr>
          <w:p>
            <w:pPr>
              <w:spacing w:after="0" w:line="20" w:lineRule="exact"/>
              <w:rPr>
                <w:sz w:val="1"/>
                <w:szCs w:val="1"/>
                <w:color w:val="auto"/>
              </w:rPr>
            </w:pPr>
          </w:p>
        </w:tc>
        <w:tc>
          <w:tcPr>
            <w:tcW w:w="80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color w:val="auto"/>
              </w:rPr>
              <w:t>Capital</w:t>
            </w: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Earnings</w:t>
            </w: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w w:val="98"/>
              </w:rPr>
              <w:t>Comprehensive Loss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November 30,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41,848,430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1,225,947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3,634,322</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(941,705)</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1,282,527</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1,474,128</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131,593</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131,593</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issued for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95,543</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20,180</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20,181</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5,910</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15,325</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15,325</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9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(34,099)</w:t>
            </w: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(34,099)</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as of February 28, 2023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41,949,883</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1,261,452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3,636,175</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(942,496)</w:t>
            </w: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1,380,021</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(92,243)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1,607,154</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Six Months Ended February 28,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940" w:type="dxa"/>
            <w:vAlign w:val="bottom"/>
            <w:gridSpan w:val="3"/>
            <w:vMerge w:val="restart"/>
          </w:tcPr>
          <w:p>
            <w:pPr>
              <w:jc w:val="right"/>
              <w:ind w:right="517"/>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2"/>
                <w:szCs w:val="12"/>
                <w:color w:val="auto"/>
              </w:rPr>
            </w:pPr>
          </w:p>
        </w:tc>
        <w:tc>
          <w:tcPr>
            <w:tcW w:w="82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Additional</w:t>
            </w:r>
          </w:p>
        </w:tc>
        <w:tc>
          <w:tcPr>
            <w:tcW w:w="1960" w:type="dxa"/>
            <w:vAlign w:val="bottom"/>
            <w:gridSpan w:val="3"/>
            <w:vMerge w:val="restart"/>
          </w:tcPr>
          <w:p>
            <w:pPr>
              <w:jc w:val="right"/>
              <w:ind w:right="537"/>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8"/>
              </w:rPr>
              <w:t>Accumulated</w:t>
            </w:r>
          </w:p>
        </w:tc>
        <w:tc>
          <w:tcPr>
            <w:tcW w:w="160" w:type="dxa"/>
            <w:vAlign w:val="bottom"/>
          </w:tcPr>
          <w:p>
            <w:pPr>
              <w:spacing w:after="0"/>
              <w:rPr>
                <w:sz w:val="12"/>
                <w:szCs w:val="12"/>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rPr>
              <w:t>Retained</w:t>
            </w:r>
          </w:p>
        </w:tc>
        <w:tc>
          <w:tcPr>
            <w:tcW w:w="12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color w:val="auto"/>
                <w:w w:val="94"/>
              </w:rPr>
              <w:t>Other</w:t>
            </w:r>
          </w:p>
        </w:tc>
        <w:tc>
          <w:tcPr>
            <w:tcW w:w="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ind w:right="237"/>
              <w:spacing w:after="0" w:line="126" w:lineRule="exact"/>
              <w:rPr>
                <w:sz w:val="20"/>
                <w:szCs w:val="20"/>
                <w:color w:val="auto"/>
              </w:rPr>
            </w:pPr>
            <w:r>
              <w:rPr>
                <w:rFonts w:ascii="Times New Roman" w:cs="Times New Roman" w:eastAsia="Times New Roman" w:hAnsi="Times New Roman"/>
                <w:sz w:val="13"/>
                <w:szCs w:val="13"/>
                <w:color w:val="auto"/>
              </w:rPr>
              <w:t>Paid-in</w:t>
            </w: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restart"/>
          </w:tcPr>
          <w:p>
            <w:pPr>
              <w:jc w:val="center"/>
              <w:ind w:right="37"/>
              <w:spacing w:after="0" w:line="126" w:lineRule="exact"/>
              <w:rPr>
                <w:sz w:val="20"/>
                <w:szCs w:val="20"/>
                <w:color w:val="auto"/>
              </w:rPr>
            </w:pPr>
            <w:r>
              <w:rPr>
                <w:rFonts w:ascii="Times New Roman" w:cs="Times New Roman" w:eastAsia="Times New Roman" w:hAnsi="Times New Roman"/>
                <w:sz w:val="13"/>
                <w:szCs w:val="13"/>
                <w:color w:val="auto"/>
                <w:w w:val="97"/>
              </w:rPr>
              <w:t>Comprehensive</w:t>
            </w:r>
          </w:p>
        </w:tc>
        <w:tc>
          <w:tcPr>
            <w:tcW w:w="160" w:type="dxa"/>
            <w:vAlign w:val="bottom"/>
          </w:tcPr>
          <w:p>
            <w:pPr>
              <w:spacing w:after="0"/>
              <w:rPr>
                <w:sz w:val="2"/>
                <w:szCs w:val="2"/>
                <w:color w:val="auto"/>
              </w:rPr>
            </w:pPr>
          </w:p>
        </w:tc>
        <w:tc>
          <w:tcPr>
            <w:tcW w:w="960" w:type="dxa"/>
            <w:vAlign w:val="bottom"/>
            <w:vMerge w:val="restart"/>
          </w:tcPr>
          <w:p>
            <w:pPr>
              <w:jc w:val="center"/>
              <w:ind w:right="77"/>
              <w:spacing w:after="0" w:line="126"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74"/>
        </w:trPr>
        <w:tc>
          <w:tcPr>
            <w:tcW w:w="3200" w:type="dxa"/>
            <w:vAlign w:val="bottom"/>
            <w:vMerge w:val="continue"/>
          </w:tcPr>
          <w:p>
            <w:pPr>
              <w:spacing w:after="0"/>
              <w:rPr>
                <w:sz w:val="6"/>
                <w:szCs w:val="6"/>
                <w:color w:val="auto"/>
              </w:rPr>
            </w:pPr>
          </w:p>
        </w:tc>
        <w:tc>
          <w:tcPr>
            <w:tcW w:w="94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Shares</w:t>
            </w:r>
          </w:p>
        </w:tc>
        <w:tc>
          <w:tcPr>
            <w:tcW w:w="180" w:type="dxa"/>
            <w:vAlign w:val="bottom"/>
          </w:tcPr>
          <w:p>
            <w:pPr>
              <w:spacing w:after="0"/>
              <w:rPr>
                <w:sz w:val="6"/>
                <w:szCs w:val="6"/>
                <w:color w:val="auto"/>
              </w:rPr>
            </w:pPr>
          </w:p>
        </w:tc>
        <w:tc>
          <w:tcPr>
            <w:tcW w:w="82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96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Shares</w:t>
            </w:r>
          </w:p>
        </w:tc>
        <w:tc>
          <w:tcPr>
            <w:tcW w:w="200" w:type="dxa"/>
            <w:vAlign w:val="bottom"/>
          </w:tcPr>
          <w:p>
            <w:pPr>
              <w:spacing w:after="0"/>
              <w:rPr>
                <w:sz w:val="6"/>
                <w:szCs w:val="6"/>
                <w:color w:val="auto"/>
              </w:rPr>
            </w:pPr>
          </w:p>
        </w:tc>
        <w:tc>
          <w:tcPr>
            <w:tcW w:w="80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2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Capital</w:t>
            </w: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rPr>
              <w:t>Earnings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color w:val="auto"/>
                <w:w w:val="97"/>
              </w:rPr>
              <w:t>Loss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August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41,653,218</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1,190,350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3,608,462</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(930,715)</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1,179,739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1,331,408</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268,391</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268,391</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16,140</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16,140</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issued for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226,966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43,602</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43,438</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69,699</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27,303</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(11,615)</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(11,614)</w:t>
            </w:r>
          </w:p>
        </w:tc>
        <w:tc>
          <w:tcPr>
            <w:tcW w:w="0" w:type="dxa"/>
            <w:vAlign w:val="bottom"/>
          </w:tcPr>
          <w:p>
            <w:pPr>
              <w:spacing w:after="0"/>
              <w:rPr>
                <w:sz w:val="1"/>
                <w:szCs w:val="1"/>
                <w:color w:val="auto"/>
              </w:rPr>
            </w:pPr>
          </w:p>
        </w:tc>
      </w:tr>
      <w:tr>
        <w:trPr>
          <w:trHeight w:val="170"/>
        </w:trPr>
        <w:tc>
          <w:tcPr>
            <w:tcW w:w="3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27,500</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27,500</w:t>
            </w:r>
          </w:p>
        </w:tc>
        <w:tc>
          <w:tcPr>
            <w:tcW w:w="0" w:type="dxa"/>
            <w:vAlign w:val="bottom"/>
          </w:tcPr>
          <w:p>
            <w:pPr>
              <w:spacing w:after="0"/>
              <w:rPr>
                <w:sz w:val="1"/>
                <w:szCs w:val="1"/>
                <w:color w:val="auto"/>
              </w:rPr>
            </w:pPr>
          </w:p>
        </w:tc>
      </w:tr>
      <w:tr>
        <w:trPr>
          <w:trHeight w:val="181"/>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9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(68,109)</w:t>
            </w: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(68,109)</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as of February 28, 2023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41,949,883</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1,261,452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3,636,175</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(942,496)</w:t>
            </w: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1,380,021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(92,243)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1,607,154</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28,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auto"/>
                <w:w w:val="95"/>
              </w:rPr>
              <w:t>Accumulated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497"/>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Pr>
          <w:p>
            <w:pPr>
              <w:spacing w:after="0"/>
              <w:rPr>
                <w:sz w:val="14"/>
                <w:szCs w:val="14"/>
                <w:color w:val="auto"/>
              </w:rPr>
            </w:pPr>
          </w:p>
        </w:tc>
        <w:tc>
          <w:tcPr>
            <w:tcW w:w="82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7"/>
              </w:rPr>
              <w:t>Additional</w:t>
            </w:r>
          </w:p>
        </w:tc>
        <w:tc>
          <w:tcPr>
            <w:tcW w:w="1940" w:type="dxa"/>
            <w:vAlign w:val="bottom"/>
            <w:gridSpan w:val="3"/>
          </w:tcPr>
          <w:p>
            <w:pPr>
              <w:jc w:val="right"/>
              <w:ind w:right="517"/>
              <w:spacing w:after="0"/>
              <w:rPr>
                <w:sz w:val="20"/>
                <w:szCs w:val="20"/>
                <w:color w:val="auto"/>
              </w:rPr>
            </w:pPr>
            <w:r>
              <w:rPr>
                <w:rFonts w:ascii="Times New Roman" w:cs="Times New Roman" w:eastAsia="Times New Roman" w:hAnsi="Times New Roman"/>
                <w:sz w:val="13"/>
                <w:szCs w:val="13"/>
                <w:color w:val="auto"/>
              </w:rPr>
              <w:t>Treasury Stock</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center"/>
              <w:ind w:right="78"/>
              <w:spacing w:after="0" w:line="95" w:lineRule="exact"/>
              <w:rPr>
                <w:sz w:val="20"/>
                <w:szCs w:val="20"/>
                <w:color w:val="auto"/>
              </w:rPr>
            </w:pPr>
            <w:r>
              <w:rPr>
                <w:rFonts w:ascii="Times New Roman" w:cs="Times New Roman" w:eastAsia="Times New Roman" w:hAnsi="Times New Roman"/>
                <w:sz w:val="10"/>
                <w:szCs w:val="10"/>
                <w:color w:val="auto"/>
              </w:rPr>
              <w:t>Paid-in</w:t>
            </w: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restart"/>
          </w:tcPr>
          <w:p>
            <w:pPr>
              <w:jc w:val="right"/>
              <w:ind w:right="198"/>
              <w:spacing w:after="0" w:line="95" w:lineRule="exact"/>
              <w:rPr>
                <w:sz w:val="20"/>
                <w:szCs w:val="20"/>
                <w:color w:val="auto"/>
              </w:rPr>
            </w:pPr>
            <w:r>
              <w:rPr>
                <w:rFonts w:ascii="Times New Roman" w:cs="Times New Roman" w:eastAsia="Times New Roman" w:hAnsi="Times New Roman"/>
                <w:sz w:val="10"/>
                <w:szCs w:val="10"/>
                <w:color w:val="auto"/>
              </w:rPr>
              <w:t>Retained</w:t>
            </w:r>
          </w:p>
        </w:tc>
        <w:tc>
          <w:tcPr>
            <w:tcW w:w="120" w:type="dxa"/>
            <w:vAlign w:val="bottom"/>
          </w:tcPr>
          <w:p>
            <w:pPr>
              <w:spacing w:after="0"/>
              <w:rPr>
                <w:sz w:val="4"/>
                <w:szCs w:val="4"/>
                <w:color w:val="auto"/>
              </w:rPr>
            </w:pPr>
          </w:p>
        </w:tc>
        <w:tc>
          <w:tcPr>
            <w:tcW w:w="1040" w:type="dxa"/>
            <w:vAlign w:val="bottom"/>
            <w:vMerge w:val="restart"/>
          </w:tcPr>
          <w:p>
            <w:pPr>
              <w:jc w:val="center"/>
              <w:ind w:right="118"/>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7"/>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74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Shares</w:t>
            </w:r>
          </w:p>
        </w:tc>
        <w:tc>
          <w:tcPr>
            <w:tcW w:w="180" w:type="dxa"/>
            <w:vAlign w:val="bottom"/>
          </w:tcPr>
          <w:p>
            <w:pPr>
              <w:spacing w:after="0" w:line="20" w:lineRule="exact"/>
              <w:rPr>
                <w:sz w:val="1"/>
                <w:szCs w:val="1"/>
                <w:color w:val="auto"/>
              </w:rPr>
            </w:pPr>
          </w:p>
        </w:tc>
        <w:tc>
          <w:tcPr>
            <w:tcW w:w="80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Par Value</w:t>
            </w:r>
          </w:p>
        </w:tc>
        <w:tc>
          <w:tcPr>
            <w:tcW w:w="16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96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Shares</w:t>
            </w:r>
          </w:p>
        </w:tc>
        <w:tc>
          <w:tcPr>
            <w:tcW w:w="200" w:type="dxa"/>
            <w:vAlign w:val="bottom"/>
          </w:tcPr>
          <w:p>
            <w:pPr>
              <w:spacing w:after="0" w:line="20" w:lineRule="exact"/>
              <w:rPr>
                <w:sz w:val="1"/>
                <w:szCs w:val="1"/>
                <w:color w:val="auto"/>
              </w:rPr>
            </w:pPr>
          </w:p>
        </w:tc>
        <w:tc>
          <w:tcPr>
            <w:tcW w:w="78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auto"/>
              </w:rPr>
              <w:t>Amount</w:t>
            </w:r>
          </w:p>
        </w:tc>
        <w:tc>
          <w:tcPr>
            <w:tcW w:w="1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5"/>
              </w:rPr>
              <w:t>Capital</w:t>
            </w: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3"/>
                <w:szCs w:val="13"/>
                <w:color w:val="auto"/>
              </w:rPr>
              <w:t>Earnings</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November 30, 2021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41,372,890</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1,094,467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3,600,720</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(927,505)</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989,189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(57,670)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1,098,895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109,938</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109,938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1,822</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Common stock issued for employee stock 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111,360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21,163</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15,536</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(31,065)</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February 28, 2022</w:t>
            </w: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41,485,261</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1,131,166</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3,601,395</w:t>
            </w: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(927,814)</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1,068,062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(55,848)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1,215,981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For the Six Months Ended February 28, 2022</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vMerge w:val="restart"/>
          </w:tcPr>
          <w:p>
            <w:pPr>
              <w:jc w:val="right"/>
              <w:ind w:right="497"/>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Pr>
          <w:p>
            <w:pPr>
              <w:spacing w:after="0"/>
              <w:rPr>
                <w:sz w:val="24"/>
                <w:szCs w:val="24"/>
                <w:color w:val="auto"/>
              </w:rPr>
            </w:pPr>
          </w:p>
        </w:tc>
        <w:tc>
          <w:tcPr>
            <w:tcW w:w="820" w:type="dxa"/>
            <w:vAlign w:val="bottom"/>
            <w:vMerge w:val="restart"/>
          </w:tcPr>
          <w:p>
            <w:pPr>
              <w:jc w:val="center"/>
              <w:ind w:right="98"/>
              <w:spacing w:after="0"/>
              <w:rPr>
                <w:sz w:val="20"/>
                <w:szCs w:val="20"/>
                <w:color w:val="auto"/>
              </w:rPr>
            </w:pPr>
            <w:r>
              <w:rPr>
                <w:rFonts w:ascii="Times New Roman" w:cs="Times New Roman" w:eastAsia="Times New Roman" w:hAnsi="Times New Roman"/>
                <w:sz w:val="13"/>
                <w:szCs w:val="13"/>
                <w:color w:val="auto"/>
                <w:w w:val="97"/>
              </w:rPr>
              <w:t>Additional</w:t>
            </w:r>
          </w:p>
        </w:tc>
        <w:tc>
          <w:tcPr>
            <w:tcW w:w="1940" w:type="dxa"/>
            <w:vAlign w:val="bottom"/>
            <w:gridSpan w:val="3"/>
            <w:vMerge w:val="restart"/>
          </w:tcPr>
          <w:p>
            <w:pPr>
              <w:jc w:val="right"/>
              <w:ind w:right="517"/>
              <w:spacing w:after="0"/>
              <w:rPr>
                <w:sz w:val="20"/>
                <w:szCs w:val="20"/>
                <w:color w:val="auto"/>
              </w:rPr>
            </w:pPr>
            <w:r>
              <w:rPr>
                <w:rFonts w:ascii="Times New Roman" w:cs="Times New Roman" w:eastAsia="Times New Roman" w:hAnsi="Times New Roman"/>
                <w:sz w:val="13"/>
                <w:szCs w:val="13"/>
                <w:color w:val="auto"/>
              </w:rPr>
              <w:t>Treasury Stock</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3"/>
                <w:szCs w:val="13"/>
                <w:color w:val="auto"/>
                <w:w w:val="95"/>
              </w:rPr>
              <w:t>Accumulated</w:t>
            </w:r>
          </w:p>
        </w:tc>
        <w:tc>
          <w:tcPr>
            <w:tcW w:w="200" w:type="dxa"/>
            <w:vAlign w:val="bottom"/>
          </w:tcPr>
          <w:p>
            <w:pPr>
              <w:spacing w:after="0"/>
              <w:rPr>
                <w:sz w:val="24"/>
                <w:szCs w:val="24"/>
                <w:color w:val="auto"/>
              </w:rPr>
            </w:pPr>
          </w:p>
        </w:tc>
        <w:tc>
          <w:tcPr>
            <w:tcW w:w="96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118"/>
              <w:spacing w:after="0" w:line="122" w:lineRule="exact"/>
              <w:rPr>
                <w:sz w:val="20"/>
                <w:szCs w:val="20"/>
                <w:color w:val="auto"/>
              </w:rPr>
            </w:pPr>
            <w:r>
              <w:rPr>
                <w:rFonts w:ascii="Times New Roman" w:cs="Times New Roman" w:eastAsia="Times New Roman" w:hAnsi="Times New Roman"/>
                <w:sz w:val="13"/>
                <w:szCs w:val="13"/>
                <w:color w:val="auto"/>
              </w:rPr>
              <w:t>Other</w:t>
            </w:r>
          </w:p>
        </w:tc>
        <w:tc>
          <w:tcPr>
            <w:tcW w:w="2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restart"/>
          </w:tcPr>
          <w:p>
            <w:pPr>
              <w:jc w:val="center"/>
              <w:ind w:right="78"/>
              <w:spacing w:after="0" w:line="135" w:lineRule="exact"/>
              <w:rPr>
                <w:sz w:val="20"/>
                <w:szCs w:val="20"/>
                <w:color w:val="auto"/>
              </w:rPr>
            </w:pPr>
            <w:r>
              <w:rPr>
                <w:rFonts w:ascii="Times New Roman" w:cs="Times New Roman" w:eastAsia="Times New Roman" w:hAnsi="Times New Roman"/>
                <w:sz w:val="13"/>
                <w:szCs w:val="13"/>
                <w:color w:val="auto"/>
                <w:w w:val="95"/>
              </w:rPr>
              <w:t>Paid-in</w:t>
            </w: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restart"/>
          </w:tcPr>
          <w:p>
            <w:pPr>
              <w:jc w:val="right"/>
              <w:ind w:right="198"/>
              <w:spacing w:after="0" w:line="135" w:lineRule="exact"/>
              <w:rPr>
                <w:sz w:val="20"/>
                <w:szCs w:val="20"/>
                <w:color w:val="auto"/>
              </w:rPr>
            </w:pPr>
            <w:r>
              <w:rPr>
                <w:rFonts w:ascii="Times New Roman" w:cs="Times New Roman" w:eastAsia="Times New Roman" w:hAnsi="Times New Roman"/>
                <w:sz w:val="13"/>
                <w:szCs w:val="13"/>
                <w:color w:val="auto"/>
              </w:rPr>
              <w:t>Retained</w:t>
            </w:r>
          </w:p>
        </w:tc>
        <w:tc>
          <w:tcPr>
            <w:tcW w:w="120" w:type="dxa"/>
            <w:vAlign w:val="bottom"/>
          </w:tcPr>
          <w:p>
            <w:pPr>
              <w:spacing w:after="0"/>
              <w:rPr>
                <w:sz w:val="3"/>
                <w:szCs w:val="3"/>
                <w:color w:val="auto"/>
              </w:rPr>
            </w:pPr>
          </w:p>
        </w:tc>
        <w:tc>
          <w:tcPr>
            <w:tcW w:w="1040" w:type="dxa"/>
            <w:vAlign w:val="bottom"/>
            <w:vMerge w:val="restart"/>
          </w:tcPr>
          <w:p>
            <w:pPr>
              <w:jc w:val="center"/>
              <w:ind w:right="118"/>
              <w:spacing w:after="0" w:line="135" w:lineRule="exact"/>
              <w:rPr>
                <w:sz w:val="20"/>
                <w:szCs w:val="20"/>
                <w:color w:val="auto"/>
              </w:rPr>
            </w:pPr>
            <w:r>
              <w:rPr>
                <w:rFonts w:ascii="Times New Roman" w:cs="Times New Roman" w:eastAsia="Times New Roman" w:hAnsi="Times New Roman"/>
                <w:sz w:val="13"/>
                <w:szCs w:val="13"/>
                <w:color w:val="auto"/>
                <w:w w:val="95"/>
              </w:rPr>
              <w:t>Comprehensive</w:t>
            </w:r>
          </w:p>
        </w:tc>
        <w:tc>
          <w:tcPr>
            <w:tcW w:w="200" w:type="dxa"/>
            <w:vAlign w:val="bottom"/>
          </w:tcPr>
          <w:p>
            <w:pPr>
              <w:spacing w:after="0"/>
              <w:rPr>
                <w:sz w:val="3"/>
                <w:szCs w:val="3"/>
                <w:color w:val="auto"/>
              </w:rPr>
            </w:pPr>
          </w:p>
        </w:tc>
        <w:tc>
          <w:tcPr>
            <w:tcW w:w="960" w:type="dxa"/>
            <w:vAlign w:val="bottom"/>
            <w:vMerge w:val="restart"/>
          </w:tcPr>
          <w:p>
            <w:pPr>
              <w:jc w:val="center"/>
              <w:ind w:right="77"/>
              <w:spacing w:after="0" w:line="135"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74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Shares</w:t>
            </w:r>
          </w:p>
        </w:tc>
        <w:tc>
          <w:tcPr>
            <w:tcW w:w="180" w:type="dxa"/>
            <w:vAlign w:val="bottom"/>
          </w:tcPr>
          <w:p>
            <w:pPr>
              <w:spacing w:after="0"/>
              <w:rPr>
                <w:sz w:val="6"/>
                <w:szCs w:val="6"/>
                <w:color w:val="auto"/>
              </w:rPr>
            </w:pPr>
          </w:p>
        </w:tc>
        <w:tc>
          <w:tcPr>
            <w:tcW w:w="80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Par Value</w:t>
            </w: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960" w:type="dxa"/>
            <w:vAlign w:val="bottom"/>
            <w:vMerge w:val="restart"/>
          </w:tcPr>
          <w:p>
            <w:pPr>
              <w:jc w:val="right"/>
              <w:ind w:right="237"/>
              <w:spacing w:after="0"/>
              <w:rPr>
                <w:sz w:val="20"/>
                <w:szCs w:val="20"/>
                <w:color w:val="auto"/>
              </w:rPr>
            </w:pPr>
            <w:r>
              <w:rPr>
                <w:rFonts w:ascii="Times New Roman" w:cs="Times New Roman" w:eastAsia="Times New Roman" w:hAnsi="Times New Roman"/>
                <w:sz w:val="13"/>
                <w:szCs w:val="13"/>
                <w:color w:val="auto"/>
              </w:rPr>
              <w:t>Shares</w:t>
            </w:r>
          </w:p>
        </w:tc>
        <w:tc>
          <w:tcPr>
            <w:tcW w:w="200" w:type="dxa"/>
            <w:vAlign w:val="bottom"/>
          </w:tcPr>
          <w:p>
            <w:pPr>
              <w:spacing w:after="0"/>
              <w:rPr>
                <w:sz w:val="6"/>
                <w:szCs w:val="6"/>
                <w:color w:val="auto"/>
              </w:rPr>
            </w:pPr>
          </w:p>
        </w:tc>
        <w:tc>
          <w:tcPr>
            <w:tcW w:w="78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auto"/>
              </w:rPr>
              <w:t>Amount</w:t>
            </w: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5"/>
              </w:rPr>
              <w:t>Capital</w:t>
            </w:r>
          </w:p>
        </w:tc>
        <w:tc>
          <w:tcPr>
            <w:tcW w:w="9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3"/>
                <w:szCs w:val="13"/>
                <w:color w:val="auto"/>
              </w:rPr>
              <w:t>Earnings</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August 31, 2021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41,163,192</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1,048,305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3,547,773</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(905,917)</w:t>
            </w: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912,515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(38,962)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1,016,353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217,585</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217,585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(16,886)</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Common stock issued for employee stock 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303,709</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56,924</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56,799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18,360</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7,162</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(3,130)</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46,200</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25,937</w:t>
            </w: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Dividends declared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(62,038)</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(62,038)</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February 28, 2022</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41,485,261</w:t>
            </w: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1,131,166</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3,601,395</w:t>
            </w: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(927,814)</w:t>
            </w: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1,068,062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(55,848)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1,215,981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9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9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16</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r>
      <w:tr>
        <w:trPr>
          <w:trHeight w:val="885"/>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Borders>
              <w:top w:val="single" w:sz="8" w:color="0000FF"/>
            </w:tcBorders>
            <w:gridSpan w:val="10"/>
          </w:tcPr>
          <w:p>
            <w:pPr>
              <w:spacing w:after="0"/>
              <w:rPr>
                <w:sz w:val="24"/>
                <w:szCs w:val="24"/>
                <w:color w:val="auto"/>
              </w:rPr>
            </w:pPr>
          </w:p>
        </w:tc>
        <w:tc>
          <w:tcPr>
            <w:tcW w:w="168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47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solutions that drive the investment community to see more, think bigger and do its best work. Our strategy is to build the leading open content and analytics platform that delivers a differentiated advantage for our clients’ success.</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Fiscal 2023 marks the 45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year our platform has delivered expansive data, sophisticated analytics and flexible technology used by global financial professionals to power their critical investment workflows. As of February 28, 2023, we had more than 7,700 clients comprised of approximately 186,000 investment professionals, including asset managers, bankers, wealth managers, asset owners, channel partners, hedge funds, corporate users, private equity and venture capital professionals. Our on- and off-platform solutions span the investment lifecycle including investment research, portfolio construction and analysis, trade execution, performance measurement, risk management and reporting.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to analyze, monitor and manage their portfolios. We combine dedicated client service with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 office functions.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them with an open digital platform, connected and reliable data, next-generation workflow solutions and highly committed service specialists.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discussion. For each of our segments, we execute our strategy through three workflow solutions: Research &amp; Advisory; Analytics &amp; Trading; and Content &amp; Technology Solutions ("CTS").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2022. The accompanying unaudited Consolidated Financial Statements include our accounts and those of our wholly-owned subsidiaries; all intercompany activity and balances have been eliminated.</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Consolidated Statements of Income, we reclassified comparative figures for the three and six months ended February 28, 2022 from both Selling, general and administrative and Cost of services to Asset impairments, primarily related to the impairment of our lease right-of-use ("ROU") assets and property, equipment and leasehold improvements, to conform to the current year's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contingent assets and liabilities at the date of the financial statements and the reported amounts of revenues and expenses during the reporting period. Significant estimates may have been made in areas that include income taxes, stock-based compensation, goodwill and intangible assets, business combinations, long-lived assets, contingencies and impairment assessments.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We are exposed to credit risk for cash and cash equivalents held in financial institutions in the event of a default, to the extent that such amounts are in excess of applicable insurance limits. We have not experienced any losses from maintaining cash accounts in excess of such limits. We do not believe our concentration of cash and cash equivalents presents a significant credit risk as the counterparties to the instruments consist of multiple high-quality, credit-worthy financial institutions.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however, this risk is generally limited due to our large and geographically dispersed client base. No single client represented more than 3% of our total subscription revenues in any period presented. The receivable reserve was $3.1 million and $2.8 million as of February 28, 2023 and August 31, 2022, respectively. We do not require collateral from our clients.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credit-worthy financial institutions and use several institutions to reduce concentration risk. We do not expect any losses as a result of default by our counterparties.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which our clients access to perform their analyses. As certain data sources have a limited number of suppliers, we make every effort to assure that, where reasonable, alternative sources are available. We are not dependent on any individual third-party data supplier in order to meet the needs of our clients, with only two data suppliers each representing more than 10% of our total data costs for the six months ended February 28,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the three and six months ended February 28, 2023 that had a material impact on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issued or effective as of February 28, 2023 that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providing client access to our multi-asset class solutions, powered by our content refinery, over the associated contractual term (referred to as the "Hosted Platform"). The Hosted Platform is a subscription-based service that provides client access to various combinations of products and services including workstations, portfolio analytics and enterprise solutions. In addition, through our CGS platform, we provide subscription access to a database of universally recognized identifiers, enabling differentiating characteristics for issuers and their financial instruments (referred to as the "Identifier Platform").</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determined that the majority of each of our Hosted Platform and Identifier Platform services represents a single performance obligation covering a series of distinct products and services that are substantially the same and that have the same pattern of transfer to the client. We also determined the primary nature of the promise to the client is to provide daily access to each of these data and analytics platforms. These platforms provide integrated financial information, analytical applications and industry-leading service for the investment community. Based on the nature of the services and products offered by these platforms, we apply an output time-based measure of progress as the client is simultaneously receiving and consuming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benefits of the platform. We recognize revenue for the majority of these platforms in accordance with the 'as invoiced' practical expedient as the amount of consideration that we have the right to invoice corresponds directly with the value of our performance to date.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consider payment terms as a performance obligation for clients with contractual terms that are one year or less and we have elected the practical expedient.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with clients can include certain fulfillment costs, comprised of up-front costs to allow for the delivery of products and services, which are recoverable. Fulfillment costs are recognized as an asset, with the current portion recorded in Prepaid expenses and other current assets and the non-current portion recorded in Other assets in the Consolidated Balance Sheets, based on the term of the license period. The fulfillment costs are amortized consistent with the associated revenues for providing the services. There are no significant judgments that would impact the timing of revenue recognition.</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performance obligations completed to date, and therefore, we do not disclose the value of the remaining unsatisfied performance obligations.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disaggregate revenues from contracts with clients by our segments which consist of the Americas, EMEA and Asia Pacific. We believe these segments are reflective of how we manage our business and the markets in which we serve and best depict the nature, amount, timing and uncertainty of revenues and cash flows related to contracts with clients. Segment revenues reflect sales to our clients based on their respective geographic locations.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this disaggregation by segment: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2"/>
        </w:trPr>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24"/>
                <w:szCs w:val="24"/>
                <w:color w:val="auto"/>
              </w:rPr>
            </w:pPr>
          </w:p>
        </w:tc>
        <w:tc>
          <w:tcPr>
            <w:tcW w:w="26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00" w:type="dxa"/>
            <w:vAlign w:val="bottom"/>
          </w:tcPr>
          <w:p>
            <w:pPr>
              <w:spacing w:after="0"/>
              <w:rPr>
                <w:sz w:val="20"/>
                <w:szCs w:val="20"/>
                <w:color w:val="auto"/>
              </w:rPr>
            </w:pPr>
          </w:p>
        </w:tc>
      </w:tr>
      <w:tr>
        <w:trPr>
          <w:trHeight w:val="270"/>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331,121</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273,659</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654,488</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540,572</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132,508</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114,591</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263,246</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229,594</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51,456</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42,869</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102,166</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85,678</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431,119</w:t>
            </w:r>
          </w:p>
        </w:tc>
        <w:tc>
          <w:tcPr>
            <w:tcW w:w="3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1,019,900</w:t>
            </w:r>
          </w:p>
        </w:tc>
        <w:tc>
          <w:tcPr>
            <w:tcW w:w="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855,844</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We consider the principal or most advantageous market in which we would transact and consider assumptions that market participants would use when pricing the asset or liability.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Our assessment of the significance of a particular input to the fair value measurement requires judgment and may affect its placement within the fair value hierarchy levels. We have categorized our cash equivalents, investments and derivatives within the fair value hierarchy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February 28, 2023 and August 31, 2022. We did not have any transfers between levels of fair value measurements during the periods presented below. We held no Level 3 assets or liabilities measured at fair value on a recurring basis as of February 28, 2023 and August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8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color w:val="auto"/>
                <w:w w:val="99"/>
              </w:rPr>
              <w:t>Fair Value Measurements at February 28, 2023</w:t>
            </w:r>
          </w:p>
        </w:tc>
      </w:tr>
      <w:tr>
        <w:trPr>
          <w:trHeight w:val="270"/>
        </w:trPr>
        <w:tc>
          <w:tcPr>
            <w:tcW w:w="20" w:type="dxa"/>
            <w:vAlign w:val="bottom"/>
            <w:tcBorders>
              <w:bottom w:val="single" w:sz="8" w:color="auto"/>
            </w:tcBorders>
          </w:tcPr>
          <w:p>
            <w:pPr>
              <w:spacing w:after="0"/>
              <w:rPr>
                <w:sz w:val="23"/>
                <w:szCs w:val="23"/>
                <w:color w:val="auto"/>
              </w:rPr>
            </w:pPr>
          </w:p>
        </w:tc>
        <w:tc>
          <w:tcPr>
            <w:tcW w:w="6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2</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616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money market funds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3"/>
                <w:szCs w:val="23"/>
                <w:i w:val="1"/>
                <w:iCs w:val="1"/>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163,032</w:t>
            </w:r>
          </w:p>
        </w:tc>
      </w:tr>
      <w:tr>
        <w:trPr>
          <w:trHeight w:val="270"/>
        </w:trPr>
        <w:tc>
          <w:tcPr>
            <w:tcW w:w="20" w:type="dxa"/>
            <w:vAlign w:val="bottom"/>
            <w:shd w:val="clear" w:color="auto" w:fill="CCEEFF"/>
          </w:tcPr>
          <w:p>
            <w:pPr>
              <w:spacing w:after="0"/>
              <w:rPr>
                <w:sz w:val="23"/>
                <w:szCs w:val="23"/>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3"/>
                <w:szCs w:val="23"/>
                <w:i w:val="1"/>
                <w:iCs w:val="1"/>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32,022</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32,022</w:t>
            </w:r>
          </w:p>
        </w:tc>
      </w:tr>
      <w:tr>
        <w:trPr>
          <w:trHeight w:val="270"/>
        </w:trPr>
        <w:tc>
          <w:tcPr>
            <w:tcW w:w="20" w:type="dxa"/>
            <w:vAlign w:val="bottom"/>
            <w:tcBorders>
              <w:bottom w:val="single" w:sz="8" w:color="CCEEFF"/>
            </w:tcBorders>
          </w:tcPr>
          <w:p>
            <w:pPr>
              <w:spacing w:after="0"/>
              <w:rPr>
                <w:sz w:val="23"/>
                <w:szCs w:val="23"/>
                <w:color w:val="auto"/>
              </w:rPr>
            </w:pPr>
          </w:p>
        </w:tc>
        <w:tc>
          <w:tcPr>
            <w:tcW w:w="6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3"/>
                <w:szCs w:val="23"/>
                <w:i w:val="1"/>
                <w:iCs w:val="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163,032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43,605</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206,637</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5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i w:val="1"/>
                <w:iCs w:val="1"/>
                <w:color w:val="auto"/>
                <w:vertAlign w:val="superscript"/>
              </w:rPr>
              <w:t>(3)</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35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gridSpan w:val="5"/>
          </w:tcPr>
          <w:p>
            <w:pPr>
              <w:jc w:val="center"/>
              <w:ind w:right="210"/>
              <w:spacing w:after="0"/>
              <w:rPr>
                <w:sz w:val="20"/>
                <w:szCs w:val="20"/>
                <w:color w:val="auto"/>
              </w:rPr>
            </w:pPr>
            <w:r>
              <w:rPr>
                <w:rFonts w:ascii="Times New Roman" w:cs="Times New Roman" w:eastAsia="Times New Roman" w:hAnsi="Times New Roman"/>
                <w:sz w:val="18"/>
                <w:szCs w:val="18"/>
                <w:color w:val="auto"/>
                <w:w w:val="99"/>
              </w:rPr>
              <w:t>Fair Value Measurements at August 31, 2022</w:t>
            </w:r>
          </w:p>
        </w:tc>
      </w:tr>
      <w:tr>
        <w:trPr>
          <w:trHeight w:val="270"/>
        </w:trPr>
        <w:tc>
          <w:tcPr>
            <w:tcW w:w="20" w:type="dxa"/>
            <w:vAlign w:val="bottom"/>
            <w:tcBorders>
              <w:bottom w:val="single" w:sz="8" w:color="auto"/>
            </w:tcBorders>
          </w:tcPr>
          <w:p>
            <w:pPr>
              <w:spacing w:after="0"/>
              <w:rPr>
                <w:sz w:val="23"/>
                <w:szCs w:val="23"/>
                <w:color w:val="auto"/>
              </w:rPr>
            </w:pPr>
          </w:p>
        </w:tc>
        <w:tc>
          <w:tcPr>
            <w:tcW w:w="6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2</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616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money market funds</w:t>
            </w:r>
            <w:r>
              <w:rPr>
                <w:rFonts w:ascii="Times New Roman" w:cs="Times New Roman" w:eastAsia="Times New Roman" w:hAnsi="Times New Roman"/>
                <w:sz w:val="23"/>
                <w:szCs w:val="23"/>
                <w:i w:val="1"/>
                <w:iCs w:val="1"/>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179,330</w:t>
            </w:r>
          </w:p>
        </w:tc>
      </w:tr>
      <w:tr>
        <w:trPr>
          <w:trHeight w:val="270"/>
        </w:trPr>
        <w:tc>
          <w:tcPr>
            <w:tcW w:w="20" w:type="dxa"/>
            <w:vAlign w:val="bottom"/>
            <w:shd w:val="clear" w:color="auto" w:fill="CCEEFF"/>
          </w:tcPr>
          <w:p>
            <w:pPr>
              <w:spacing w:after="0"/>
              <w:rPr>
                <w:sz w:val="23"/>
                <w:szCs w:val="23"/>
                <w:color w:val="auto"/>
              </w:rPr>
            </w:pPr>
          </w:p>
        </w:tc>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i w:val="1"/>
                <w:iCs w:val="1"/>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w:t>
            </w:r>
          </w:p>
        </w:tc>
      </w:tr>
      <w:tr>
        <w:trPr>
          <w:trHeight w:val="270"/>
        </w:trPr>
        <w:tc>
          <w:tcPr>
            <w:tcW w:w="20" w:type="dxa"/>
            <w:vAlign w:val="bottom"/>
            <w:tcBorders>
              <w:bottom w:val="single" w:sz="8" w:color="CCEEFF"/>
            </w:tcBorders>
          </w:tcPr>
          <w:p>
            <w:pPr>
              <w:spacing w:after="0"/>
              <w:rPr>
                <w:sz w:val="23"/>
                <w:szCs w:val="23"/>
                <w:color w:val="auto"/>
              </w:rPr>
            </w:pPr>
          </w:p>
        </w:tc>
        <w:tc>
          <w:tcPr>
            <w:tcW w:w="6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i w:val="1"/>
                <w:iCs w:val="1"/>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45,631</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224,961</w:t>
            </w: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5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6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i w:val="1"/>
                <w:iCs w:val="1"/>
                <w:color w:val="auto"/>
                <w:vertAlign w:val="superscript"/>
              </w:rPr>
              <w:t>(3)</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r>
    </w:tbl>
    <w:p>
      <w:pPr>
        <w:spacing w:after="0" w:line="187" w:lineRule="exact"/>
        <w:rPr>
          <w:sz w:val="20"/>
          <w:szCs w:val="20"/>
          <w:color w:val="auto"/>
        </w:rPr>
      </w:pPr>
    </w:p>
    <w:p>
      <w:pPr>
        <w:ind w:left="260" w:hanging="252"/>
        <w:spacing w:after="0" w:line="283" w:lineRule="auto"/>
        <w:tabs>
          <w:tab w:leader="none" w:pos="246"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corporate money market funds are readily convertible into cash and the net asset value of each fund on the last day of the quarter is used to determine its fair value. Our corporate money market funds are included in Cash and cash equivalents within the Consolidated Balance Sheets.</w:t>
      </w:r>
    </w:p>
    <w:p>
      <w:pPr>
        <w:spacing w:after="0" w:line="52" w:lineRule="exact"/>
        <w:rPr>
          <w:rFonts w:ascii="Times New Roman" w:cs="Times New Roman" w:eastAsia="Times New Roman" w:hAnsi="Times New Roman"/>
          <w:sz w:val="16"/>
          <w:szCs w:val="16"/>
          <w:i w:val="1"/>
          <w:iCs w:val="1"/>
          <w:color w:val="auto"/>
        </w:rPr>
      </w:pPr>
    </w:p>
    <w:p>
      <w:pPr>
        <w:jc w:val="both"/>
        <w:ind w:left="260" w:hanging="252"/>
        <w:spacing w:after="0" w:line="273" w:lineRule="auto"/>
        <w:tabs>
          <w:tab w:leader="none" w:pos="257"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mutual funds' fair value is based on the fair value of the underlying investments held by the mutual funds, allocated to each share of the mutual fund using a net asset value approach. The fair value of the underlying investments is based on observable inputs. Our mutual funds are included in Investments (short-term) within the Consolidated Balance Sheets.</w:t>
      </w:r>
    </w:p>
    <w:p>
      <w:pPr>
        <w:spacing w:after="0" w:line="74" w:lineRule="exact"/>
        <w:rPr>
          <w:rFonts w:ascii="Times New Roman" w:cs="Times New Roman" w:eastAsia="Times New Roman" w:hAnsi="Times New Roman"/>
          <w:sz w:val="16"/>
          <w:szCs w:val="16"/>
          <w:i w:val="1"/>
          <w:iCs w:val="1"/>
          <w:color w:val="auto"/>
        </w:rPr>
      </w:pPr>
    </w:p>
    <w:p>
      <w:pPr>
        <w:jc w:val="both"/>
        <w:ind w:left="260" w:hanging="252"/>
        <w:spacing w:after="0" w:line="260" w:lineRule="auto"/>
        <w:tabs>
          <w:tab w:leader="none" w:pos="25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agreements, we utilize a present value of future cash flows, leveraging a model-derived valuation that uses observable inputs such as interest rate yield curves. Refer to Note 5</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Derivative Instruments, for more information on our derivative instruments and their classification within the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non-recurring basis relate primarily to our tangible fixed assets, lease ROU assets, goodwill and intangible assets. The fair values of these non-financial assets and liabilities are determined based on valuation techniques using the best information available, and may include quoted market prices, market comparable information and discounted cash flow projections. These non-financial assets are required to be assessed for impairment whenever events or circumstances indicate their carrying value may not be fully recoverable, and at least annually for goodwill.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 impairments incurred during the three and six months ended February 28, 2022 were $10.3 million and $14.0 million, respectively, with no similar level of impairment recorded during the three and six ended February 28, 2023. The asset impairments recognized during the three and six months ended February 28, 2022 included a respective $9.7 million and $13.4 million charge related to our lease ROU assets and property, equipment and leasehold improvements associated with vacating certain leased office space. For those locations we anticipated subleasing, we estimated the fair value of the lease ROU assets as of the cease use date, using a market approach, based on expected future cash flows from sublease income. To complete this assessment we relied on certain assumptions, which included estimates of the rental rate, period of vacancy, incentives and annual rent increases. We fully impaired the lease ROU assets for locations we will not sublease and substantially all the property, equipment and leasehold improvements associated with the related vacated leased office space as there are no expected cash flows related to these items. Due to the subjective nature of the unobservable inputs used, the fair value measurement for the asset impairments are classified within Level 3 of the fair value hierarchy.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Long-term debt is net of related unamortized discount and debt issuance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our Senior Notes is estimated based on quoted prices in active markets as of the reporting date, given that the Senior Notes are publicly traded,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these terms and more information on the Senior Notes and 2022 Credit Facilities.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February 28, 2023 and August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February 28, 2023</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2022</w:t>
            </w:r>
          </w:p>
        </w:tc>
        <w:tc>
          <w:tcPr>
            <w:tcW w:w="0" w:type="dxa"/>
            <w:vAlign w:val="bottom"/>
          </w:tcPr>
          <w:p>
            <w:pPr>
              <w:spacing w:after="0"/>
              <w:rPr>
                <w:sz w:val="1"/>
                <w:szCs w:val="1"/>
                <w:color w:val="auto"/>
              </w:rPr>
            </w:pPr>
          </w:p>
        </w:tc>
      </w:tr>
      <w:tr>
        <w:trPr>
          <w:trHeight w:val="180"/>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auto"/>
            </w:tcBorders>
            <w:gridSpan w:val="2"/>
            <w:vMerge w:val="continue"/>
          </w:tcPr>
          <w:p>
            <w:pPr>
              <w:spacing w:after="0"/>
              <w:rPr>
                <w:sz w:val="21"/>
                <w:szCs w:val="21"/>
                <w:color w:val="auto"/>
              </w:rPr>
            </w:pP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Hierarchy</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419,705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438,205</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503,125</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750,975</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820" w:type="dxa"/>
            <w:vAlign w:val="bottom"/>
            <w:tcBorders>
              <w:bottom w:val="single" w:sz="8" w:color="CCEEFF"/>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248,438</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249,075</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8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1,908,780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1,735,609</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1,982,424</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DERIVATIVE INSTRUMENTS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to, and the availability, effectiveness and cost of derivative instruments. Derivative instruments are only utilized for risk management purposes and are not used for speculative or trading purposes. We limit counterparties to credit-worthy financial institutions. Refer to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leverage foreign currency forward contracts and interest rate swaps to mitigate certain operational exposures from the impact of changes in foreign currency exchange rates and to manage our interest rate exposure. We have designated and accounted for these derivatives as cash flow hedges with the unrealized gains or losses recorded in Accumulated Other Comprehensive Loss ("AOCL"), net of tax, in the Consolidated Balance Sheets. Realized gains or losses resulting from settlement of our forward contracts and swap agreements are subsequently reclassified into Selling, general and administrative ("SG&amp;A") and Interest expense, net, respectively, in the Consolidated Statements of Income when the hedges are settled.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conduct business outside the U.S. in several currencies, we are exposed to movements in foreign currency exchange rates. The gains and losses on foreign currency forward contracts offset the variability in operating expenses associated with currency movements. As of February 28, 2023, we maintained a series of foreign currency forward contracts to hedge a portion of our exposures related to our primary currencies of the British Pound Sterling, Indian Rupee, Euro and Philippine Peso. We entered into these contracts to mitigate our currency exposure ranging from 25% to 75%, over their respective hedged periods, which are set to mature at various points between the third quarter of fiscal 2023 through the second quarter of fiscal 2024.</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notional value of foreign currency forward contracts to purchase British Pound Sterling, Euros, Indian Rupees and Philippine Pesos with U.S. dollars as of February 28, 2023 and August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 2023</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August 31, 2022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Local Currency</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USD</w:t>
            </w: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Local Currency</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USD</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55,491</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55,567</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39,877</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2,987,143</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2,667,928</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1,767,455</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1,462,060</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163,168</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Foreign Currency Transaction Risk</w:t>
      </w:r>
      <w:r>
        <w:rPr>
          <w:rFonts w:ascii="Times New Roman" w:cs="Times New Roman" w:eastAsia="Times New Roman" w:hAnsi="Times New Roman"/>
          <w:sz w:val="18"/>
          <w:szCs w:val="18"/>
          <w:color w:val="auto"/>
        </w:rPr>
        <w:t xml:space="preserve"> in Item 3. Quantitative and Qualitative Disclosures About Market Risk of this Quarterly Report on Form 10-Q for further discussion of our exposure to foreign exchange rate fluctuations.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7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to hedge a portion of our outstanding floating Secured Overnight Financing Rate ("SOFR") rate debt with a fixed interest rate of 1.162%. The notional amount of the 2022 Swap Agreement declines by $100.0 million on a quarterly basis as of May 31, 2022 and is maturing on February 28, 2024. Effective December 30, 2022, we partially novated our 2022 Swap Agreement to equally apportion the then outstanding notional amount of the interest rate swap between two counterparties. No other terms of the 2022 Swap Agreement were amended, terminated, or otherwise modified. As of February 28, 2023, the notional amount of the 2022 Swap Agreement was $400.0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Swap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2020, we entered into an interest rate swap agreement ("2020 Swap Agreement") with a notional amount of $287.5 million. The 2020 Swap Agreement hedged a portion of our then outstanding floating LIBOR rate debt with a fixed interest rate of 0.7995% to mitigate our interest rate exposure. On March 1, 2022, we terminated the 2020 Swap Agreement, which resulted in a one-time benefit of $3.5 million recognized in Interest expense, net in the Consolidated Statements of Income during the third quarter of fiscal 2022, based on its fair market value.</w:t>
      </w:r>
    </w:p>
    <w:p>
      <w:pPr>
        <w:spacing w:after="0" w:line="13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our outstanding floating SOFR rate debt. Refer to </w:t>
      </w: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xml:space="preserve"> in Part I, Item 3. Quantitative and Qualitative Disclosures About Market Risk of this Quarterly Report on Form 10-Q for further discussion of our exposure to interest rate risk on our long-term debt outstanding.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Notional Value and Fair Value of Derivative Instruments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the derivative instruments:</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Gross Notional Value</w:t>
            </w:r>
          </w:p>
        </w:tc>
        <w:tc>
          <w:tcPr>
            <w:tcW w:w="0" w:type="dxa"/>
            <w:vAlign w:val="bottom"/>
          </w:tcPr>
          <w:p>
            <w:pPr>
              <w:spacing w:after="0"/>
              <w:rPr>
                <w:sz w:val="1"/>
                <w:szCs w:val="1"/>
                <w:color w:val="auto"/>
              </w:rPr>
            </w:pPr>
          </w:p>
        </w:tc>
      </w:tr>
      <w:tr>
        <w:trPr>
          <w:trHeight w:val="2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7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February 28, 2023</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31, 2022</w:t>
            </w:r>
          </w:p>
        </w:tc>
        <w:tc>
          <w:tcPr>
            <w:tcW w:w="0" w:type="dxa"/>
            <w:vAlign w:val="bottom"/>
          </w:tcPr>
          <w:p>
            <w:pPr>
              <w:spacing w:after="0"/>
              <w:rPr>
                <w:sz w:val="1"/>
                <w:szCs w:val="1"/>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756,846</w:t>
            </w:r>
          </w:p>
        </w:tc>
        <w:tc>
          <w:tcPr>
            <w:tcW w:w="0" w:type="dxa"/>
            <w:vAlign w:val="bottom"/>
          </w:tcPr>
          <w:p>
            <w:pPr>
              <w:spacing w:after="0"/>
              <w:rPr>
                <w:sz w:val="1"/>
                <w:szCs w:val="1"/>
                <w:color w:val="auto"/>
              </w:rPr>
            </w:pPr>
          </w:p>
        </w:tc>
      </w:tr>
      <w:tr>
        <w:trPr>
          <w:trHeight w:val="22"/>
        </w:trPr>
        <w:tc>
          <w:tcPr>
            <w:tcW w:w="7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our derivative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4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w w:val="98"/>
              </w:rPr>
              <w:t>Derivative Assets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69"/>
        </w:trPr>
        <w:tc>
          <w:tcPr>
            <w:tcW w:w="24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Derivatives designated as</w:t>
            </w:r>
          </w:p>
        </w:tc>
        <w:tc>
          <w:tcPr>
            <w:tcW w:w="15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August 31,</w:t>
            </w:r>
          </w:p>
        </w:tc>
      </w:tr>
      <w:tr>
        <w:trPr>
          <w:trHeight w:val="243"/>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Classification</w:t>
            </w:r>
          </w:p>
        </w:tc>
        <w:tc>
          <w:tcPr>
            <w:tcW w:w="20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February 28, 2023 August 31, 2022</w:t>
            </w: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28, 2023</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currency forward</w:t>
            </w:r>
          </w:p>
        </w:tc>
        <w:tc>
          <w:tcPr>
            <w:tcW w:w="1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Accounts payable and</w:t>
            </w: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r>
      <w:tr>
        <w:trPr>
          <w:trHeight w:val="391"/>
        </w:trPr>
        <w:tc>
          <w:tcPr>
            <w:tcW w:w="24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Accounts payable and</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24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derivatives were designated as hedging instruments as of February 28, 2023 and August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Recognition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three months ended February 28, 2023 and February 28, 2022,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Gain (Loss) Recognized in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 (Loss) Reclassified from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AOCL on Derivatives</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140" w:type="dxa"/>
            <w:vAlign w:val="bottom"/>
          </w:tcPr>
          <w:p>
            <w:pPr>
              <w:spacing w:after="0"/>
              <w:rPr>
                <w:sz w:val="24"/>
                <w:szCs w:val="24"/>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Reclassified from AOCL into</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633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right="300"/>
        <w:spacing w:after="0" w:line="237" w:lineRule="auto"/>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six months ended February 28, 2023 and February 28, 2022,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Gain (Loss) Reclassified in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 (Loss) Reclassified from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AOCL on Derivatives</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86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February 28,</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140" w:type="dxa"/>
            <w:vAlign w:val="bottom"/>
          </w:tcPr>
          <w:p>
            <w:pPr>
              <w:spacing w:after="0"/>
              <w:rPr>
                <w:sz w:val="23"/>
                <w:szCs w:val="23"/>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0" w:type="dxa"/>
            <w:vAlign w:val="bottom"/>
          </w:tcPr>
          <w:p>
            <w:pPr>
              <w:spacing w:after="0"/>
              <w:rPr>
                <w:sz w:val="1"/>
                <w:szCs w:val="1"/>
                <w:color w:val="auto"/>
              </w:rPr>
            </w:pPr>
          </w:p>
        </w:tc>
      </w:tr>
      <w:tr>
        <w:trPr>
          <w:trHeight w:val="180"/>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80" w:type="dxa"/>
            <w:vAlign w:val="bottom"/>
          </w:tcPr>
          <w:p>
            <w:pPr>
              <w:spacing w:after="0"/>
              <w:rPr>
                <w:sz w:val="15"/>
                <w:szCs w:val="15"/>
                <w:color w:val="auto"/>
              </w:rPr>
            </w:pPr>
          </w:p>
        </w:tc>
        <w:tc>
          <w:tcPr>
            <w:tcW w:w="106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5"/>
                <w:szCs w:val="15"/>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Reclassified from AOCL into</w:t>
            </w:r>
          </w:p>
        </w:tc>
        <w:tc>
          <w:tcPr>
            <w:tcW w:w="140" w:type="dxa"/>
            <w:vAlign w:val="bottom"/>
          </w:tcPr>
          <w:p>
            <w:pPr>
              <w:spacing w:after="0"/>
              <w:rPr>
                <w:sz w:val="15"/>
                <w:szCs w:val="15"/>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15"/>
                <w:szCs w:val="15"/>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3,108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(3,576)</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(5,244)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4,276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6,378</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8"/>
              </w:rPr>
              <w:t>6,842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7,384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2,802</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1,598</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February 28, 2023, we estimate that net pre-tax derivative gains of $9.9 million included in AOCL will be reclassified into earnings within the next 12 months. As of February 28, 2023, our cash flow hedges were highly effective with no amount of ineffectiveness recorded in the Consolidated Statements of Income for these designated cash flow hedges and all components of each derivative’s gain or loss were included in the assessment of hedge effectiveness. There was no discontinuance of our cash flow hedges during the six months ended February 28, 2023 or February 28, 2022, and as such, no corresponding gains or losses related to changes in the value of our contracts were reclassified into earnings prior to settlement.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February 28, 2023 and August 31, 2022, there were no material amounts recorded net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2022, we completed acquisitions of CUSIP Global Services ("CGS") and Cobalt Software, Inc. ("Cobalt").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Global Services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American Bankers Association ("ABA"), is the provider of Committee on Uniform Security Identification Procedures ("CUSIP") and CUSIP International Number System ("CINS") identifiers globally and also acts as the official numbering agency for International Securities Identification Number ("ISIN") identifiers in the United States and as a substitute number agency for more than 35 other countries. We believe that the CGS acquisition will significantly expand our critical role in the global capital markets. The CGS purchase price was in excess of the fair value of net assets acquired, resulting in the recognition of goodwill. We finalized the purchase accounting for the CGS acquisition during the fourth quarter of fiscal 2022 and did not record any material changes to the preliminary purchase price allocation.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Acquisition Date Fair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5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5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i w:val="1"/>
                <w:iCs w:val="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2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ABA business process</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Acquired databases</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214,970</w:t>
            </w:r>
          </w:p>
        </w:tc>
        <w:tc>
          <w:tcPr>
            <w:tcW w:w="2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i w:val="1"/>
                <w:iCs w:val="1"/>
                <w:color w:val="auto"/>
                <w:vertAlign w:val="superscript"/>
              </w:rPr>
              <w:t>(2)</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(104,691)</w:t>
            </w:r>
          </w:p>
        </w:tc>
        <w:tc>
          <w:tcPr>
            <w:tcW w:w="2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revenues, long-term</w:t>
            </w: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1,931,526</w:t>
            </w:r>
          </w:p>
        </w:tc>
        <w:tc>
          <w:tcPr>
            <w:tcW w:w="2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an accounts receivable balance of $29.5 million.</w:t>
      </w:r>
    </w:p>
    <w:p>
      <w:pPr>
        <w:spacing w:after="0" w:line="126" w:lineRule="exact"/>
        <w:rPr>
          <w:rFonts w:ascii="Times New Roman" w:cs="Times New Roman" w:eastAsia="Times New Roman" w:hAnsi="Times New Roman"/>
          <w:sz w:val="16"/>
          <w:szCs w:val="16"/>
          <w:i w:val="1"/>
          <w:iCs w:val="1"/>
          <w:color w:val="auto"/>
        </w:rPr>
      </w:pPr>
    </w:p>
    <w:p>
      <w:pPr>
        <w:ind w:left="260" w:hanging="252"/>
        <w:spacing w:after="0" w:line="265" w:lineRule="auto"/>
        <w:tabs>
          <w:tab w:leader="none" w:pos="246"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a deferred revenues balance of $99.4 million. The CGS acquisition was accounted for in accordance with our adoption of ASU No. 2021-08; as such, the deferred revenues did not include a fair value adjustment. Refer to Note 2, Significant Accounting Policies in the Notes included in Item 8. of our Annual Report on Form 10-K for the fiscal year ended August 31, 2022 for more information on ASU No. 2021-08.</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totaling $215.0 million represents the excess of the CGS purchase price over the fair value of net assets acquired and considers future economic benefits that we expect to achieve as a result of the acquisition. The goodwill is included in the Americas segment and is deductible for income tax purposes. The majority of the net assets acquired relate to an ABA business process intangible which is a renewable license agreement with the ABA to manage the issuance, maintenance and access to the CUSIP numbering system and related database of CUSIP identifiers. This intangible asset's valuation and associated useful life considers the nature of the business relationship, multi-year term of the current agreement and the likelihood of long-term renewals. The useful life assigned to the Client relationships intangible asset considers the strong historical client retention and client renewals as a basis for expected future retention. The useful life assigned to Acquired databases considers the historical period of data collection and the limited changes to the data on an annual basis.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CGS's operations have been included in our Consolidated Financial Statements, within the Americas, EMEA and Asia Pacific segments, beginning with the closing of the acquisition on March 1, 2022. CGS functions as part of CTS. Pro forma information has not been presented because the effect of the CGS acquisition was not material to our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Cobalt Software, Inc.</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for a purchase price of $50.0 million, net of cash acquired, and inclusive of working capital adjustments. Cobalt is a leading portfolio monitoring solutions provider for the private capital industry. This acquisition aligned with our strategy to scale our data and workflow solutions through targeted investments as part of our multi-year investment plan and expands our private markets offering. The Cobalt purchase price was in excess of the fair value of net assets acquired, resulting in the recognition of goodwill. We finalized the purchase accounting for the Cobalt acquisition during the fourth quarter of fiscal 2022 and did not record any material changes to the preliminary purchase price allocation.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Pr>
          <w:p>
            <w:pPr>
              <w:spacing w:after="0"/>
              <w:rPr>
                <w:sz w:val="19"/>
                <w:szCs w:val="19"/>
                <w:color w:val="auto"/>
              </w:rPr>
            </w:pPr>
          </w:p>
        </w:tc>
        <w:tc>
          <w:tcPr>
            <w:tcW w:w="2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Acquisition Date Fair Value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Acquisition Date Useful Life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 Method</w:t>
            </w:r>
          </w:p>
        </w:tc>
      </w:tr>
      <w:tr>
        <w:trPr>
          <w:trHeight w:val="236"/>
        </w:trPr>
        <w:tc>
          <w:tcPr>
            <w:tcW w:w="5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660" w:type="dxa"/>
            <w:vAlign w:val="bottom"/>
            <w:tcBorders>
              <w:bottom w:val="single" w:sz="8" w:color="auto"/>
            </w:tcBorders>
          </w:tcPr>
          <w:p>
            <w:pPr>
              <w:spacing w:after="0"/>
              <w:rPr>
                <w:sz w:val="20"/>
                <w:szCs w:val="20"/>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41,338</w:t>
            </w:r>
          </w:p>
        </w:tc>
        <w:tc>
          <w:tcPr>
            <w:tcW w:w="2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2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4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50,018</w:t>
            </w:r>
          </w:p>
        </w:tc>
        <w:tc>
          <w:tcPr>
            <w:tcW w:w="2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$41.3 million represents the excess of the Cobalt purchase price over the fair value of net assets acquired and is included in the Americas and EMEA segments. Goodwill generated from the Cobalt acquisition is not deductible for income tax purposes. The useful life assigned to the Client relationships intangible asset considers the historical client retention as a basis for expected future retention. The useful life assigned to Software technology considers our historical experience and anticipated technological changes.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Cobalt's operations have been included in our Consolidated Financial Statements, within the Americas and EMEA segments, beginning with its acquisition on October 12, 2021. Pro forma information has not been presented because the effect of the Cobalt acquisition was not material to our Consolidated Financial Statements.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GOODWILL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for the six months ended February 28, 2023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686,412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965,848</w:t>
            </w:r>
          </w:p>
        </w:tc>
      </w:tr>
      <w:tr>
        <w:trPr>
          <w:trHeight w:val="230"/>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February 28, 2023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686,412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977,359</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At least annually, we are required to test goodwill at the reporting unit level, which is consistent with our segments, for potential impairment, and, if impaired, we write down our goodwill to fair value based on the present value of discounted cash flows. We performed our annual goodwill impairment test during the fourth quarter of fiscal 2022 utilizing a qualitative analysis, consistent with the timing and methodology of previous years. We concluded it was more likely than not that the fair value of each of our segments was not less than its respective carrying value and no impairment charge was required.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INTANGIBLE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 line basis over their estimated useful lives. The estimated useful life, gross carrying amounts and accumulated amortization totals related to our identifiable intangible assets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Estimated</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28, 2023</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August 31, 2022</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w:t>
            </w:r>
          </w:p>
        </w:tc>
        <w:tc>
          <w:tcPr>
            <w:tcW w:w="1240" w:type="dxa"/>
            <w:vAlign w:val="bottom"/>
            <w:vMerge w:val="continue"/>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3"/>
                <w:szCs w:val="13"/>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Net Carrying</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40" w:type="dxa"/>
            <w:vAlign w:val="bottom"/>
          </w:tcPr>
          <w:p>
            <w:pPr>
              <w:spacing w:after="0"/>
              <w:rPr>
                <w:sz w:val="13"/>
                <w:szCs w:val="13"/>
                <w:color w:val="auto"/>
              </w:rPr>
            </w:pP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3"/>
                <w:szCs w:val="13"/>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6"/>
        </w:trPr>
        <w:tc>
          <w:tcPr>
            <w:tcW w:w="2260" w:type="dxa"/>
            <w:vAlign w:val="bottom"/>
            <w:vMerge w:val="continue"/>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Useful Life</w:t>
            </w: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lives)</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1,539,028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1,561,014</w:t>
            </w: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263,825</w:t>
            </w:r>
          </w:p>
        </w:tc>
        <w:tc>
          <w:tcPr>
            <w:tcW w:w="1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62,102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201,723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207,758</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to 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123,463</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101,985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96,567</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25,796</w:t>
            </w: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96,981</w:t>
            </w:r>
          </w:p>
        </w:tc>
        <w:tc>
          <w:tcPr>
            <w:tcW w:w="1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41,654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55,327</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80,956</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47,280</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databases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44,467</w:t>
            </w: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16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4,395</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28"/>
        </w:trPr>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283,879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1,869,774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2,134,480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1,895,909</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weighted average useful life of our intangible assets at February 28, 2023 was 32.8 years. As described in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we acquired several intangible assets as part of the CGS acquisition. The weighted average useful life of our intangible assets at February 28, 2023, excluding those acquired from CGS, was 9.3 years. We assess intangible assets for indicators of impairment on a quarterly basis, including an evaluation of our useful lives to determine if events and circumstances warrant a revision to the remaining period of amortization. If indicators of impairment are present, amortizable intangible assets are tested for impairment by comparing the carrying value to undiscounted cash flows and, if impaired, written down to fair value based on discounted cash flows. We have not identified a material impairment nor a material change to the estimated remaining useful lives of our intangible assets for the six months ended February 28, 2023 and February 28, 2022. The intangible assets have no assigned residual values.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recorded for intangible assets for the three months ended February 28, 2023 and February 28, 2022 was $21.7 million and $9.1 million, respectively. Amortization expense for intangible assets for the six months ended February 28, 2023 and February 28, 2022 was $43.4 million and $19.2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2023, estimated intangible asset amortization expense for each of the next five years and thereafter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10"/>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six months)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46,853</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85,169</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78,644</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70,020</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63,279</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1,525,809</w:t>
            </w:r>
          </w:p>
        </w:tc>
      </w:tr>
      <w:tr>
        <w:trPr>
          <w:trHeight w:val="223"/>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1,869,774</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INCOME TAXES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 Provision and Effective Tax Rate</w:t>
            </w:r>
          </w:p>
        </w:tc>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provision for income taxes and effective tax rate are as follows: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Pr>
          <w:p>
            <w:pPr>
              <w:spacing w:after="0"/>
              <w:rPr>
                <w:sz w:val="19"/>
                <w:szCs w:val="19"/>
                <w:color w:val="auto"/>
              </w:rPr>
            </w:pPr>
          </w:p>
        </w:tc>
        <w:tc>
          <w:tcPr>
            <w:tcW w:w="23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February 28,</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99"/>
              </w:rPr>
              <w:t>2022</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156,762</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121,956</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314,647</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241,886</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25,169</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12,018</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46,256</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24,301</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 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February 28, 2023, the effective tax rate was 16.1% compared to 9.9% for the same period a year ago. For the six months ended February 28, 2023, the effective tax rate was 14.7% compared to 10.0% for the same period a year ago. For all periods presented, our effective tax rate was lower than the applicable U.S. corporate income tax rate, mainly due to research and development ("R&amp;D") tax credits, a foreign derived intangible income ("FDII") deduction, and a tax benefit from the exercise of stock options.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during the three and six months ended February 28, 2023 was higher than the rate during the respective prior year periods, due mainly to a decrease in the impact of tax attributes on the effective tax rate as a result of an increase in income, a lower tax benefit from the exercise of stock options and an increase in the U.K.'s enacted tax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The IRA contains several revisions to the Internal Revenue Code effective for taxable years beginning after December 31, 2022, including a 15% minimum income tax on certain large corporations. The IRA also includes a 1% excise tax on corporate stock repurchases made by publicly traded U.S. corporations after December 31, 2022. We do not expect the IRA to have a material impact on our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LEASES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lease portfolio is primarily related to our office space, </w:t>
      </w:r>
      <w:r>
        <w:rPr>
          <w:rFonts w:ascii="Times New Roman" w:cs="Times New Roman" w:eastAsia="Times New Roman" w:hAnsi="Times New Roman"/>
          <w:sz w:val="18"/>
          <w:szCs w:val="18"/>
          <w:color w:val="212529"/>
        </w:rPr>
        <w:t>under various operating lease agreements.</w:t>
      </w:r>
      <w:r>
        <w:rPr>
          <w:rFonts w:ascii="Times New Roman" w:cs="Times New Roman" w:eastAsia="Times New Roman" w:hAnsi="Times New Roman"/>
          <w:sz w:val="18"/>
          <w:szCs w:val="18"/>
          <w:color w:val="auto"/>
        </w:rPr>
        <w:t xml:space="preserve">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IBR. </w:t>
      </w:r>
      <w:r>
        <w:rPr>
          <w:rFonts w:ascii="Times New Roman" w:cs="Times New Roman" w:eastAsia="Times New Roman" w:hAnsi="Times New Roman"/>
          <w:sz w:val="18"/>
          <w:szCs w:val="18"/>
          <w:color w:val="000000"/>
        </w:rPr>
        <w:t>Certain adjustments to calculate our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ROU assets may be required due to prepayments, lease incentives received and initial direct costs incurred. We account for the lease and non-lease components as a single lease component, which we recognize over the expected term on a straight-line expense basis in occupancy costs (a component of SG&amp;A expense) in our Consolidated Statements of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As of </w:t>
      </w:r>
      <w:r>
        <w:rPr>
          <w:rFonts w:ascii="Times New Roman" w:cs="Times New Roman" w:eastAsia="Times New Roman" w:hAnsi="Times New Roman"/>
          <w:sz w:val="18"/>
          <w:szCs w:val="18"/>
          <w:color w:val="000000"/>
        </w:rPr>
        <w:t xml:space="preserve">February 28, 2023, we recognized $150.2 million of Lease right-of-use assets, net and $225.2 million of combined Current lease liabilities and Long-term lease liabilities in the Consolidated Balance Sheets. Such leases </w:t>
      </w:r>
      <w:r>
        <w:rPr>
          <w:rFonts w:ascii="Times New Roman" w:cs="Times New Roman" w:eastAsia="Times New Roman" w:hAnsi="Times New Roman"/>
          <w:sz w:val="18"/>
          <w:szCs w:val="18"/>
          <w:color w:val="212529"/>
        </w:rPr>
        <w:t>have a remaining lease term ranging from</w:t>
      </w:r>
      <w:r>
        <w:rPr>
          <w:rFonts w:ascii="Times New Roman" w:cs="Times New Roman" w:eastAsia="Times New Roman" w:hAnsi="Times New Roman"/>
          <w:sz w:val="18"/>
          <w:szCs w:val="18"/>
          <w:color w:val="000000"/>
        </w:rPr>
        <w:t xml:space="preserve"> less than one year to just under 13 years and did not include any renewal or termination options that were not yet reasonably certain to be exercised.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212529"/>
        </w:rPr>
        <w:t xml:space="preserve">The following table reconciles our future undiscounted cash flows related to our operating leases and the reconciliation to the combined </w:t>
      </w:r>
      <w:r>
        <w:rPr>
          <w:rFonts w:ascii="Times New Roman" w:cs="Times New Roman" w:eastAsia="Times New Roman" w:hAnsi="Times New Roman"/>
          <w:sz w:val="18"/>
          <w:szCs w:val="18"/>
          <w:color w:val="000000"/>
        </w:rPr>
        <w:t>Current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000000"/>
        </w:rPr>
        <w:t xml:space="preserve"> February 28, 2023</w:t>
      </w:r>
      <w:r>
        <w:rPr>
          <w:rFonts w:ascii="Times New Roman" w:cs="Times New Roman" w:eastAsia="Times New Roman" w:hAnsi="Times New Roman"/>
          <w:sz w:val="18"/>
          <w:szCs w:val="18"/>
          <w:color w:val="212529"/>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Minimum Lease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2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2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six months)</w:t>
            </w:r>
          </w:p>
        </w:tc>
        <w:tc>
          <w:tcPr>
            <w:tcW w:w="2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19,171</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31,777</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114,427</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268,234</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3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42,992</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gridSpan w:val="4"/>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includes the components of our occupancy costs in our Consolidated Statements of Income:</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3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1"/>
                <w:szCs w:val="21"/>
                <w:color w:val="auto"/>
              </w:rPr>
            </w:pPr>
          </w:p>
        </w:tc>
        <w:tc>
          <w:tcPr>
            <w:tcW w:w="22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80" w:type="dxa"/>
            <w:vAlign w:val="bottom"/>
          </w:tcPr>
          <w:p>
            <w:pPr>
              <w:spacing w:after="0"/>
              <w:rPr>
                <w:sz w:val="19"/>
                <w:szCs w:val="19"/>
                <w:color w:val="auto"/>
              </w:rPr>
            </w:pPr>
          </w:p>
        </w:tc>
        <w:tc>
          <w:tcPr>
            <w:tcW w:w="20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19"/>
                <w:szCs w:val="19"/>
                <w:color w:val="auto"/>
              </w:rPr>
            </w:pPr>
          </w:p>
        </w:tc>
        <w:tc>
          <w:tcPr>
            <w:tcW w:w="224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i w:val="1"/>
                <w:iCs w:val="1"/>
                <w:color w:val="auto"/>
                <w:vertAlign w:val="superscript"/>
              </w:rPr>
              <w:t>(1)</w:t>
            </w:r>
          </w:p>
        </w:tc>
        <w:tc>
          <w:tcPr>
            <w:tcW w:w="2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12529"/>
              </w:rPr>
              <w:t>$</w:t>
            </w: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212529"/>
              </w:rPr>
              <w:t>8,156</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0" w:type="dxa"/>
            <w:vAlign w:val="bottom"/>
          </w:tcPr>
          <w:p>
            <w:pPr>
              <w:spacing w:after="0"/>
              <w:rPr>
                <w:sz w:val="1"/>
                <w:szCs w:val="1"/>
                <w:color w:val="auto"/>
              </w:rPr>
            </w:pPr>
          </w:p>
        </w:tc>
      </w:tr>
      <w:tr>
        <w:trPr>
          <w:trHeight w:val="312"/>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i w:val="1"/>
                <w:iCs w:val="1"/>
                <w:color w:val="auto"/>
                <w:vertAlign w:val="superscript"/>
              </w:rPr>
              <w:t>(2)</w:t>
            </w:r>
          </w:p>
        </w:tc>
        <w:tc>
          <w:tcPr>
            <w:tcW w:w="2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3,834</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hanging="252"/>
        <w:spacing w:after="0" w:line="283" w:lineRule="auto"/>
        <w:tabs>
          <w:tab w:leader="none" w:pos="368"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Operating lease costs include costs associated with fixed lease payments and index-based variable payments that qualified for lease accounting under ASC 842, Leases and complied with the practical expedients and exceptions elected by us.</w:t>
      </w:r>
    </w:p>
    <w:p>
      <w:pPr>
        <w:spacing w:after="0" w:line="65" w:lineRule="exact"/>
        <w:rPr>
          <w:rFonts w:ascii="Times New Roman" w:cs="Times New Roman" w:eastAsia="Times New Roman" w:hAnsi="Times New Roman"/>
          <w:sz w:val="16"/>
          <w:szCs w:val="16"/>
          <w:i w:val="1"/>
          <w:iCs w:val="1"/>
          <w:color w:val="auto"/>
        </w:rPr>
      </w:pPr>
    </w:p>
    <w:p>
      <w:pPr>
        <w:jc w:val="both"/>
        <w:ind w:left="260" w:hanging="252"/>
        <w:spacing w:after="0" w:line="273" w:lineRule="auto"/>
        <w:tabs>
          <w:tab w:leader="none" w:pos="384"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Variable lease costs include costs that were not fixed at the lease commencement date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lease term and discount rate assumptions related to the operating leases recorded on the Consolidated Balance Sheets: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As of February 28, 2023</w:t>
            </w:r>
          </w:p>
        </w:tc>
        <w:tc>
          <w:tcPr>
            <w:tcW w:w="2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As of August 31, 2022</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126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22,172</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i w:val="1"/>
                <w:iCs w:val="1"/>
                <w:color w:val="auto"/>
                <w:vertAlign w:val="superscript"/>
              </w:rPr>
              <w:t>(1)</w:t>
            </w:r>
          </w:p>
        </w:tc>
        <w:tc>
          <w:tcPr>
            <w:tcW w:w="2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i w:val="1"/>
                <w:iCs w:val="1"/>
                <w:color w:val="auto"/>
                <w:vertAlign w:val="superscript"/>
              </w:rPr>
              <w:t>(2)</w:t>
            </w:r>
          </w:p>
        </w:tc>
        <w:tc>
          <w:tcPr>
            <w:tcW w:w="2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Primarily includes new lease arrangements entered into during the period and contract modifications that extend our lease terms and/or provide additional rights.</w:t>
      </w:r>
    </w:p>
    <w:p>
      <w:pPr>
        <w:spacing w:after="0" w:line="113" w:lineRule="exact"/>
        <w:rPr>
          <w:rFonts w:ascii="Times New Roman" w:cs="Times New Roman" w:eastAsia="Times New Roman" w:hAnsi="Times New Roman"/>
          <w:sz w:val="16"/>
          <w:szCs w:val="16"/>
          <w:i w:val="1"/>
          <w:iCs w:val="1"/>
          <w:color w:val="auto"/>
        </w:rPr>
      </w:pPr>
    </w:p>
    <w:p>
      <w:pPr>
        <w:ind w:left="260" w:hanging="252"/>
        <w:spacing w:after="0" w:line="283" w:lineRule="auto"/>
        <w:tabs>
          <w:tab w:leader="none" w:pos="26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Primarily relates to lease term reassessments based on contractual options to early terminate, resulting in a reduction to the lease liability and the corresponding lease ROU asset.</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three and six months ended February 28, 2022, we incurred an impairment charge of $5.8 million and $7.2 million, respectively, related to our lease ROU assets associated with vacating certain leased office space. Refer to </w:t>
      </w:r>
      <w:r>
        <w:rPr>
          <w:rFonts w:ascii="Times New Roman" w:cs="Times New Roman" w:eastAsia="Times New Roman" w:hAnsi="Times New Roman"/>
          <w:sz w:val="18"/>
          <w:szCs w:val="18"/>
          <w:i w:val="1"/>
          <w:iCs w:val="1"/>
          <w:color w:val="auto"/>
        </w:rPr>
        <w:t>Note 4, Fair Value Measures</w:t>
      </w:r>
      <w:r>
        <w:rPr>
          <w:rFonts w:ascii="Times New Roman" w:cs="Times New Roman" w:eastAsia="Times New Roman" w:hAnsi="Times New Roman"/>
          <w:sz w:val="18"/>
          <w:szCs w:val="18"/>
          <w:color w:val="auto"/>
        </w:rPr>
        <w:t xml:space="preserve"> for more information on the lease ROU assets impairment methodology. The were no similar lease ROU asset impairments recorded during the three and six months ended February 28,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DEBT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debt is net of related unamortized discount and debt issuance costs. Our total debt obligations as of February 28, 2023 and August 31, 2022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Contractual</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Issuance Date</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Maturity Date</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28, 2023</w:t>
            </w: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August 31, 2022</w:t>
            </w:r>
          </w:p>
        </w:tc>
      </w:tr>
      <w:tr>
        <w:trPr>
          <w:trHeight w:val="216"/>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Credit Agreement</w:t>
            </w: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2022</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2022</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02"/>
        </w:trPr>
        <w:tc>
          <w:tcPr>
            <w:tcW w:w="60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2027</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2032</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3"/>
        </w:trPr>
        <w:tc>
          <w:tcPr>
            <w:tcW w:w="60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w:t>
            </w:r>
          </w:p>
        </w:tc>
      </w:tr>
      <w:tr>
        <w:trPr>
          <w:trHeight w:val="270"/>
        </w:trPr>
        <w:tc>
          <w:tcPr>
            <w:tcW w:w="6060" w:type="dxa"/>
            <w:vAlign w:val="bottom"/>
            <w:tcBorders>
              <w:bottom w:val="single" w:sz="8" w:color="CCEEFF"/>
            </w:tcBorders>
            <w:gridSpan w:val="2"/>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48"/>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1,735,609</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1,982,424</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2023, annual maturities on our total debt obligations, based on contract maturity,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0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six months)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2022 Revolving Facility using a pricing grid based on our senior unsecured non-credit enhanced long-term debt rating and our total leverage ratio. The commitment fee remained consistent at 0.125% from the borrowing date through February 28, 2023.</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borrowings under the 2019 Credit Agreement (as defined below) and to pay related transaction fees, costs and expenses.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we incurred approximately $9.5 million in debt issuance costs related to the 2022 Credit Facilities. Debt issuance costs are presented in the Consolidated Balance Sheets as a direct deduction from the carrying amount of the debt liability. Debt issuance costs are amortized to Interest expense, net in the Consolidated Statements of Income on a straight-line basis over the contractual term of the debt, which approximates the effective interest method.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and six months ended February 28, 2023, we repaid $125.0 million and $250.0 million, respectively, under the 2022 Term Facility, inclusive of voluntary prepayments of $112.5 million and $225.0 million, respectively. Since loan inception on March 1, 2022, we have repaid $500.0 million under the 2022 Term Facility, inclusive of voluntary prepayments of $462.5 million.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28, 2023, the outstanding borrowings under the 2022 Credit Facilities bore interest at a rate equal to the applicable one-month Term SOFR rate plus a 1.1% spread (comprised of a 1.0% interest rate margin based on a debt leverage pricing grid plus a 0.1% credit spread adjustment). The spread remained consistent from the borrowing date through February 28, 2023. Interest on the 2022 Credit Facilities is currently payable on the last business day of each month, in arrears.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4.00 to 1.00 as of February 28, 2023. We were in compliance with all covenants and requirements of the 2022 Credit Agreement as of February 28,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March 5, 2020, we entered into the 2020 Swap Agreement to hedge a portion of our then outstanding floating LIBOR rate debt with a fixed interest rate of 0.7995%. On March 1, 2022, we terminated the 2020 Swap Agreement and concurrently entered into the 2022 Swap Agreement to hedge a portion of our outstanding floating SOFR rate debt with a fixed interest rate of 1.162%. Effective December 30, 2022, we apportioned the then outstanding notional amount of the 2022 Swap Agreement between two counterparties.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2020 Swap Agreement and 2022 Swap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during fiscal 2022 and we incurred approximately $9.1 million in debt issuance costs. Debt discounts and debt issuance costs are presented in the Consolidated Balance Sheets as a net direct deduction from the carrying amount of the debt liability. The debt discounts and debt issuance costs are amortized to Interest expense, net in the Consolidated Statements of Income over the contractual term of the debt, leveraging the effective interest method.</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 with the first payment made on September 1, 2022.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2019, we entered into a credit agreement with PNC Bank, National Association (the "2019 Credit Agreement") and borrowed $575.0 million of the available $750.0 million provided by the revolving credit facility thereunder (the "2019 Revolving Credit Facility"). 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 We incurred approximately $0.9 million in debt issuance costs related to the 2019 Credit Agreement.</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terminated the 2019 Credit Agreement and amortized the remaining related $0.4 million of capitalized debt issuance costs into Interest expense, net in the Consolidated Statements of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the 2019 Revolving Credit Facility and 2020 Swap Agreement were both terminated and concurrently replaced with the 2022 Credit Facilities, Senior Notes and 2022 Swap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included in Interest expense, net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9"/>
                <w:szCs w:val="19"/>
                <w:color w:val="auto"/>
              </w:rPr>
            </w:pPr>
          </w:p>
        </w:tc>
        <w:tc>
          <w:tcPr>
            <w:tcW w:w="21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29"/>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00" w:type="dxa"/>
            <w:vAlign w:val="bottom"/>
          </w:tcPr>
          <w:p>
            <w:pPr>
              <w:spacing w:after="0"/>
              <w:rPr>
                <w:sz w:val="19"/>
                <w:szCs w:val="19"/>
                <w:color w:val="auto"/>
              </w:rPr>
            </w:pPr>
          </w:p>
        </w:tc>
        <w:tc>
          <w:tcPr>
            <w:tcW w:w="20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February 28,</w:t>
            </w:r>
          </w:p>
        </w:tc>
        <w:tc>
          <w:tcPr>
            <w:tcW w:w="300" w:type="dxa"/>
            <w:vAlign w:val="bottom"/>
          </w:tcPr>
          <w:p>
            <w:pPr>
              <w:spacing w:after="0"/>
              <w:rPr>
                <w:sz w:val="19"/>
                <w:szCs w:val="19"/>
                <w:color w:val="auto"/>
              </w:rPr>
            </w:pPr>
          </w:p>
        </w:tc>
        <w:tc>
          <w:tcPr>
            <w:tcW w:w="21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February 28,</w:t>
            </w:r>
          </w:p>
        </w:tc>
        <w:tc>
          <w:tcPr>
            <w:tcW w:w="0" w:type="dxa"/>
            <w:vAlign w:val="bottom"/>
          </w:tcPr>
          <w:p>
            <w:pPr>
              <w:spacing w:after="0"/>
              <w:rPr>
                <w:sz w:val="1"/>
                <w:szCs w:val="1"/>
                <w:color w:val="auto"/>
              </w:rPr>
            </w:pPr>
          </w:p>
        </w:tc>
      </w:tr>
      <w:tr>
        <w:trPr>
          <w:trHeight w:val="234"/>
        </w:trPr>
        <w:tc>
          <w:tcPr>
            <w:tcW w:w="4640" w:type="dxa"/>
            <w:vAlign w:val="bottom"/>
            <w:tcBorders>
              <w:bottom w:val="single" w:sz="8" w:color="auto"/>
            </w:tcBorders>
            <w:vMerge w:val="continue"/>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i w:val="1"/>
                <w:iCs w:val="1"/>
                <w:color w:val="auto"/>
                <w:vertAlign w:val="superscript"/>
              </w:rPr>
              <w:t>(1)</w:t>
            </w:r>
          </w:p>
        </w:tc>
        <w:tc>
          <w:tcPr>
            <w:tcW w:w="2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12529"/>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rPr>
              <w:t xml:space="preserve">16,728 </w:t>
            </w:r>
            <w:r>
              <w:rPr>
                <w:rFonts w:ascii="Times New Roman" w:cs="Times New Roman" w:eastAsia="Times New Roman" w:hAnsi="Times New Roman"/>
                <w:sz w:val="18"/>
                <w:szCs w:val="18"/>
                <w:color w:val="00000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33,256 $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line="283" w:lineRule="auto"/>
        <w:tabs>
          <w:tab w:leader="none" w:pos="384" w:val="left"/>
        </w:tabs>
        <w:numPr>
          <w:ilvl w:val="0"/>
          <w:numId w:val="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Interest expense on our outstanding debt includes the related amortization of debt issuance costs and debt discounts, net of the effects of the related interest rate swap agreements.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Including the related amortization of debt issuance costs and debt discounts, net of the effects of the related interest rate swap agreement, the year-to-date weighted average interest rate on amounts outstanding under our outstanding debt was 3.26% and 2.02% as of February 28, 2023 and August 31, 2022, respectively.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2020 Swap Agreement and 2022 Swap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COMMITMENTS AND CONTINGENCIES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when the goods or services are received).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accrue non-income-tax liabilities for contingencies when we believe that a loss is probable, and the amount can be reasonably estimated. Judgment is required to determine both probability and the estimated amount of loss. If the reasonable estimate of a probable loss is a range, we record the most probable estimate of the loss or the minimum amount when no amount within the range is a better estimate than any other amount. We review accruals on a quarterly basis and adjust, as necessary, to reflect the impact of negotiations, settlements, rulings, advice of legal counsel and other current information. Contingent gains are recognized only when realized.</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Uncertain income tax positions are accounted for in accordance with applicable accounting guidance,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included in Item 8 of our Annual Report on Form 10-K for the fiscal year ended August 31, 2022 for further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Our total purchase obligations as of August 31, 2022 primarily related to hosting services and acquisition of data, and, to a lesser extent, third-party software providers. Hosting services support our technology investments related to our transition to a hybrid cloud strategy, the majority of which rely on third-party hosting providers. Data is an integral component of the value we provide to our clients and our commitments to third-party software providers mainly include internal-use software licenses.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31, 2022, we had total purchase obligations with suppliers of $373.9 million. During the second quarter of fiscal 2023, we amended a contract with a data supplier that resulted in an incremental commitment to purchase data of approximately $26 million.</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2023 and August 31, 2022, we had outstanding capital commitments related to an investment of $0.8 million and $1.1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As of both February 28, 2023 and August 31, 2022, we had $0.5 million of standby letters of credit outstanding. No liabilities related to these arrangements are reflected in the Company's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engaged in various legal proceedings, claims and litigation that have arisen in the ordinary course of business. The outcome of all the matters against us are subject to future resolution, including the uncertainties of litigation. Based on information available at February 28, 2023,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under audit by tax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results of operations nor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8, 2019, we received a Notice of Intent to Assess (the "First Notice") additional sales taxes, interest and underpayment penalties (the “Sales Taxes”) from the Commonwealth of Massachusetts Department of Revenue (the "Commonwealth") relating to the tax periods from January 1, 2006 through December 31, 2013. On July 20, 2021, we received a Notice of Intent to Assess (the "Second Notice") additional Sales Taxes from the Commonwealth relating to the tax periods from January 1, 2014 through December 31, 2018. On December 29, 2022, we received a Notice of Intent to Assess (the “Third Notice"; cumulatively with the First and Second Notices, the “Notices”) additional Sales Taxes from the Commonwealth relating to the tax periods from January 1, 2019 through June 30, 2021. We have filed an appeal with respect to the Notices to contest all Sales Taxes that may be assessed. We continue to cooperate with the Commonwealth's inquiry with respect to the Notices.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concluded that a payment to the Commonwealth is probable. We have recorded an accrual which is not material to our consolidated financial statements. While we believe that the assumptions and estimates used to determine the accrual are reasonable, future developments could result in adjustments being made to this accrual. If we are presented with a formal assessment for any of these matters, we believe that we will ultimately prevail; however, if we do not prevail, the amount of any assessment could have a material impact on our consolidated financial position, results of operations and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any criminal action or proceeding, had no reasonable cause to believe his or her conduct was unlawful. It is not 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 future amounts paid. We do not believe, based on historical experience and information currently available, that it is probable that any material amounts will be required to be paid under such indemnification obligations.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STOCKHOLDERS'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spacing w:after="0"/>
              <w:rPr>
                <w:sz w:val="19"/>
                <w:szCs w:val="19"/>
                <w:color w:val="auto"/>
              </w:rPr>
            </w:pPr>
          </w:p>
        </w:tc>
        <w:tc>
          <w:tcPr>
            <w:tcW w:w="274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February 28,</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w:t>
            </w:r>
          </w:p>
        </w:tc>
        <w:tc>
          <w:tcPr>
            <w:tcW w:w="840" w:type="dxa"/>
            <w:vAlign w:val="bottom"/>
          </w:tcPr>
          <w:p>
            <w:pPr>
              <w:spacing w:after="0"/>
              <w:rPr>
                <w:sz w:val="20"/>
                <w:szCs w:val="20"/>
                <w:color w:val="auto"/>
              </w:rPr>
            </w:pPr>
          </w:p>
        </w:tc>
      </w:tr>
      <w:tr>
        <w:trPr>
          <w:trHeight w:val="27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5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Repurchases of common stock under the share repurchase program</w:t>
            </w:r>
            <w:r>
              <w:rPr>
                <w:rFonts w:ascii="Times New Roman" w:cs="Times New Roman" w:eastAsia="Times New Roman" w:hAnsi="Times New Roman"/>
                <w:sz w:val="23"/>
                <w:szCs w:val="23"/>
                <w:i w:val="1"/>
                <w:iCs w:val="1"/>
                <w:color w:val="auto"/>
                <w:vertAlign w:val="superscript"/>
              </w:rPr>
              <w:t>(1)</w:t>
            </w:r>
          </w:p>
        </w:tc>
        <w:tc>
          <w:tcPr>
            <w:tcW w:w="1340" w:type="dxa"/>
            <w:vAlign w:val="bottom"/>
            <w:shd w:val="clear" w:color="auto" w:fill="CCEEFF"/>
          </w:tcPr>
          <w:p>
            <w:pPr>
              <w:spacing w:after="0"/>
              <w:rPr>
                <w:sz w:val="19"/>
                <w:szCs w:val="19"/>
                <w:color w:val="auto"/>
              </w:rPr>
            </w:pPr>
          </w:p>
        </w:tc>
        <w:tc>
          <w:tcPr>
            <w:tcW w:w="1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46,200</w:t>
            </w:r>
          </w:p>
        </w:tc>
      </w:tr>
      <w:tr>
        <w:trPr>
          <w:trHeight w:val="30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 repurchased</w:t>
            </w:r>
            <w:r>
              <w:rPr>
                <w:rFonts w:ascii="Times New Roman" w:cs="Times New Roman" w:eastAsia="Times New Roman" w:hAnsi="Times New Roman"/>
                <w:sz w:val="23"/>
                <w:szCs w:val="23"/>
                <w:i w:val="1"/>
                <w:iCs w:val="1"/>
                <w:color w:val="auto"/>
                <w:vertAlign w:val="superscript"/>
              </w:rPr>
              <w:t>(1)</w:t>
            </w: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18,639</w:t>
            </w:r>
          </w:p>
        </w:tc>
      </w:tr>
    </w:tbl>
    <w:p>
      <w:pPr>
        <w:spacing w:after="0" w:line="108" w:lineRule="exact"/>
        <w:rPr>
          <w:sz w:val="20"/>
          <w:szCs w:val="20"/>
          <w:color w:val="auto"/>
        </w:rPr>
      </w:pPr>
    </w:p>
    <w:p>
      <w:pPr>
        <w:jc w:val="both"/>
        <w:ind w:left="260" w:hanging="252"/>
        <w:spacing w:after="0" w:line="264" w:lineRule="auto"/>
        <w:tabs>
          <w:tab w:leader="none" w:pos="263"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Amounts do not include 1,853 shares and 675 shares surrendered by grantees to satisfy withholding tax obligations due upon the vesting or exercise of stock-based awards valued at $0.8 million and $0.3 million during the three months ended February 28, 2023 and February 28, 2022, respectively. Amounts do not include 27,713 shares and 7,422 shares surrendered by grantees to satisfy withholding tax obligations due upon the vesting or exercise of stock-based awards valued at $11.8 million and $3.3 million during the six months ended February 28, 2023 and February 28, 2022, respectively.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did not repurchase any shares of our common stock during the three months ended February 28, 2023 and February 28, 2022. We also did not repurchase any shares during the six months ended February 28, 2023 compared with 46,200 shares repurchased for $18.6 million during the same period in the prior fiscal year. Beginning in the second quarter of fiscal 2022, we suspended our share repurchase program until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allowed us to prioritize the repayment of debt under the 2022 Credit Facilities. We anticipate resuming the existing share repurchase program for the third and fourth quarters of fiscal 2023.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 2022 Credit Facilities.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2023, a total of $181.3 million remained authorized for future share repurchases under this program. There is no defined number of shares to be repurchased over a specified timeframe through the life of the share repurchase program. We may repurchase shares of our common stock under the program from time-to-time in the open market and privately negotiated transactions, subject to market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8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three and six months ended February 28, 2023 and February 28, 2022.</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center"/>
        <w:ind w:right="1500"/>
        <w:spacing w:after="0" w:line="262" w:lineRule="auto"/>
        <w:rPr>
          <w:sz w:val="20"/>
          <w:szCs w:val="20"/>
          <w:color w:val="auto"/>
        </w:rPr>
      </w:pPr>
      <w:r>
        <w:rPr>
          <w:rFonts w:ascii="Times New Roman" w:cs="Times New Roman" w:eastAsia="Times New Roman" w:hAnsi="Times New Roman"/>
          <w:sz w:val="18"/>
          <w:szCs w:val="18"/>
          <w:color w:val="auto"/>
        </w:rPr>
        <w:t>Our Board of Directors declared dividends during the three and six months ended February 28, 2023 and February 28, 2022 as follows: Dividends per</w:t>
      </w:r>
    </w:p>
    <w:tbl>
      <w:tblPr>
        <w:tblLayout w:type="fixed"/>
        <w:tblInd w:w="0" w:type="dxa"/>
        <w:tblCellMar>
          <w:top w:w="0" w:type="dxa"/>
          <w:left w:w="0" w:type="dxa"/>
          <w:bottom w:w="0" w:type="dxa"/>
          <w:right w:w="0" w:type="dxa"/>
        </w:tblCellMar>
      </w:tblPr>
      <w:tr>
        <w:trPr>
          <w:trHeight w:val="174"/>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640" w:type="dxa"/>
            <w:vAlign w:val="bottom"/>
          </w:tcPr>
          <w:p>
            <w:pPr>
              <w:spacing w:after="0"/>
              <w:rPr>
                <w:sz w:val="15"/>
                <w:szCs w:val="15"/>
                <w:color w:val="auto"/>
              </w:rPr>
            </w:pPr>
          </w:p>
        </w:tc>
        <w:tc>
          <w:tcPr>
            <w:tcW w:w="1340" w:type="dxa"/>
            <w:vAlign w:val="bottom"/>
          </w:tcPr>
          <w:p>
            <w:pPr>
              <w:jc w:val="right"/>
              <w:ind w:right="330"/>
              <w:spacing w:after="0" w:line="174" w:lineRule="exact"/>
              <w:rPr>
                <w:sz w:val="20"/>
                <w:szCs w:val="20"/>
                <w:color w:val="auto"/>
              </w:rPr>
            </w:pPr>
            <w:r>
              <w:rPr>
                <w:rFonts w:ascii="Times New Roman" w:cs="Times New Roman" w:eastAsia="Times New Roman" w:hAnsi="Times New Roman"/>
                <w:sz w:val="18"/>
                <w:szCs w:val="18"/>
                <w:color w:val="auto"/>
              </w:rPr>
              <w:t>Share of</w:t>
            </w:r>
          </w:p>
        </w:tc>
        <w:tc>
          <w:tcPr>
            <w:tcW w:w="17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Record Date</w:t>
            </w:r>
          </w:p>
        </w:tc>
        <w:tc>
          <w:tcPr>
            <w:tcW w:w="400" w:type="dxa"/>
            <w:vAlign w:val="bottom"/>
          </w:tcPr>
          <w:p>
            <w:pPr>
              <w:spacing w:after="0"/>
              <w:rPr>
                <w:sz w:val="15"/>
                <w:szCs w:val="15"/>
                <w:color w:val="auto"/>
              </w:rPr>
            </w:pPr>
          </w:p>
        </w:tc>
        <w:tc>
          <w:tcPr>
            <w:tcW w:w="1340" w:type="dxa"/>
            <w:vAlign w:val="bottom"/>
          </w:tcPr>
          <w:p>
            <w:pPr>
              <w:jc w:val="right"/>
              <w:ind w:right="70"/>
              <w:spacing w:after="0" w:line="174" w:lineRule="exact"/>
              <w:rPr>
                <w:sz w:val="20"/>
                <w:szCs w:val="20"/>
                <w:color w:val="auto"/>
              </w:rPr>
            </w:pPr>
            <w:r>
              <w:rPr>
                <w:rFonts w:ascii="Times New Roman" w:cs="Times New Roman" w:eastAsia="Times New Roman" w:hAnsi="Times New Roman"/>
                <w:sz w:val="18"/>
                <w:szCs w:val="18"/>
                <w:color w:val="auto"/>
              </w:rPr>
              <w:t>Total $ Amount</w:t>
            </w:r>
          </w:p>
        </w:tc>
        <w:tc>
          <w:tcPr>
            <w:tcW w:w="20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November 30, 2022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34,010</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December 15, 2022</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February 28, 2023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34,099</w:t>
            </w: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November 30, 2021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30,973</w:t>
            </w:r>
          </w:p>
        </w:tc>
        <w:tc>
          <w:tcPr>
            <w:tcW w:w="2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December 16, 2021</w:t>
            </w:r>
          </w:p>
        </w:tc>
        <w:tc>
          <w:tcPr>
            <w:tcW w:w="0" w:type="dxa"/>
            <w:vAlign w:val="bottom"/>
          </w:tcPr>
          <w:p>
            <w:pPr>
              <w:spacing w:after="0"/>
              <w:rPr>
                <w:sz w:val="1"/>
                <w:szCs w:val="1"/>
                <w:color w:val="auto"/>
              </w:rPr>
            </w:pPr>
          </w:p>
        </w:tc>
      </w:tr>
      <w:tr>
        <w:trPr>
          <w:trHeight w:val="234"/>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 28, 2022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2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17, 2022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2022, our Board of Directors approved an 8.5% increase in the regular quarterly dividend from $0.82 to $0.89 per share. Future cash dividend payments will depend on our earnings, capital requirements, financial condition and other factors considered relevant by us and are subject to final determination by our Board of Directors.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are as follows: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7"/>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2023</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(99,693)</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(111,532)</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(108,383)</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EARNINGS PER SHARE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("Basic EPS") is computed by dividing net income by the number of weighted average common shares outstanding during the period. Diluted earnings per share ("Diluted EPS") is computed using the treasury stock method, by dividing net income by the cumulative weighted average common shares that are outstanding or are issuable upon the exercise of outstanding stock-based compensation awards during the period. Stock-based compensation awards that are out-of-the-money and performance share units ("PSUs") in which the performance criteria have not been met as of the end of the respective reporting period are omitted from the calculation of Diluted EPS.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reconciliation of the weighted average shares outstanding used in the Basic and Diluted EPS computation is as follows:</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440" w:type="dxa"/>
            <w:vAlign w:val="bottom"/>
          </w:tcPr>
          <w:p>
            <w:pPr>
              <w:spacing w:after="0"/>
              <w:rPr>
                <w:sz w:val="19"/>
                <w:szCs w:val="19"/>
                <w:color w:val="auto"/>
              </w:rPr>
            </w:pPr>
          </w:p>
        </w:tc>
        <w:tc>
          <w:tcPr>
            <w:tcW w:w="26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February 28,</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February 28,</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EPS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12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109,938</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268,391</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217,585</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0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common shares used in the</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calculation of Basic EPS</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37,837</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0" w:type="dxa"/>
            <w:vAlign w:val="bottom"/>
          </w:tcPr>
          <w:p>
            <w:pPr>
              <w:spacing w:after="0"/>
              <w:rPr>
                <w:sz w:val="1"/>
                <w:szCs w:val="1"/>
                <w:color w:val="auto"/>
              </w:rPr>
            </w:pPr>
          </w:p>
        </w:tc>
      </w:tr>
      <w:tr>
        <w:trPr>
          <w:trHeight w:val="181"/>
        </w:trPr>
        <w:tc>
          <w:tcPr>
            <w:tcW w:w="40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Common stock equivalents associated with stock-based</w:t>
            </w:r>
          </w:p>
        </w:tc>
        <w:tc>
          <w:tcPr>
            <w:tcW w:w="4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compensation plan</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6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38,761</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38,628</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w:t>
            </w:r>
          </w:p>
        </w:tc>
        <w:tc>
          <w:tcPr>
            <w:tcW w:w="1200" w:type="dxa"/>
            <w:vAlign w:val="bottom"/>
            <w:tcBorders>
              <w:bottom w:val="single" w:sz="8" w:color="auto"/>
            </w:tcBorders>
          </w:tcPr>
          <w:p>
            <w:pPr>
              <w:jc w:val="right"/>
              <w:ind w:right="9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w:t>
            </w:r>
          </w:p>
        </w:tc>
        <w:tc>
          <w:tcPr>
            <w:tcW w:w="1040" w:type="dxa"/>
            <w:vAlign w:val="bottom"/>
            <w:tcBorders>
              <w:bottom w:val="single" w:sz="8" w:color="auto"/>
            </w:tcBorders>
          </w:tcPr>
          <w:p>
            <w:pPr>
              <w:jc w:val="right"/>
              <w:ind w:right="8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w:t>
            </w:r>
          </w:p>
        </w:tc>
        <w:tc>
          <w:tcPr>
            <w:tcW w:w="680" w:type="dxa"/>
            <w:vAlign w:val="bottom"/>
            <w:tcBorders>
              <w:bottom w:val="single" w:sz="8" w:color="auto"/>
            </w:tcBorders>
          </w:tcPr>
          <w:p>
            <w:pPr>
              <w:jc w:val="right"/>
              <w:ind w:right="4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60" w:hanging="328"/>
        <w:spacing w:after="0" w:line="270" w:lineRule="auto"/>
        <w:tabs>
          <w:tab w:leader="none" w:pos="660" w:val="left"/>
        </w:tabs>
        <w:numPr>
          <w:ilvl w:val="1"/>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Dilutive potential common shares consist of stock options and unvested PSUs. As of February 28, 2023 we excluded 543,082 common stock equivalents related to stock options and as of February 28, 2022, we did not exclude any common stock equivalents related to stock options from our calculation of Diluted EPS. As of February 28, 2023 and February 28, 2022, we excluded a respective 93,308 and 95,865 common stock equivalents related to PSUs from our calculation of Diluted EPS.</w:t>
      </w:r>
    </w:p>
    <w:p>
      <w:pPr>
        <w:spacing w:after="0" w:line="276"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STOCK-BASED COMPENSATION</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compensation expense based on the grant date fair value for all stock-based awards made to our employees and to our non-employee directors ("non-employees") using the Black-Scholes model or the lattice-binomial option-pricing model ("binomial model").</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the Black-Scholes model for grants of non-employee stock options and non-employee restricted stock units ("RSUs"), and common stock acquired under the FactSet Research Systems Inc. Employee Stock Purchase Plan, as Amended and Restated ("ESPP"). We use the binomial model for grants of employee stock options and employee RSUs and PSUs. We refer to RSUs and PSUs, collectively, as "Restricted Stock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models involve certain estimates and assumptions such as:</w:t>
      </w:r>
    </w:p>
    <w:p>
      <w:pPr>
        <w:spacing w:after="0" w:line="181" w:lineRule="exact"/>
        <w:rPr>
          <w:sz w:val="20"/>
          <w:szCs w:val="20"/>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10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useful life and the weighted average implied volatility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option contracts traded in the 90 days preceding the stock-based award's valuation date.</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binomial model incorporates market conditions, vesting restrictions and exercise patterns.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Restricted Stock Awards, the grant date fair value is measured by reducing the grant date price of our common stock by the present value of the dividends expected to be paid on the underlying stock during the requisite service period, discounted at the appropriate risk-free interest rate.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stock-based awards, we use the straight-line method to recognize compensation expense over the requisite service period. The amount of compensation expense that is recognized on any date is at least equal to the vested portion of the award on that date. Compensation expense for PSUs is recognized if the achievement of the performance condition is determined to be probable. We review the PSU performance conditions quarterly to ensure the compensation expense appropriately reflects the Company's expected achievement, as these awards are subject to upward or downward adjustment depending on whether the actual financial performance is above or below target levels, with the PSU payout ranging from </w:t>
      </w:r>
      <w:r>
        <w:rPr>
          <w:rFonts w:ascii="Times New Roman" w:cs="Times New Roman" w:eastAsia="Times New Roman" w:hAnsi="Times New Roman"/>
          <w:sz w:val="16"/>
          <w:szCs w:val="16"/>
          <w:color w:val="auto"/>
        </w:rPr>
        <w:t>0%</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6"/>
          <w:szCs w:val="16"/>
          <w:color w:val="auto"/>
        </w:rPr>
        <w:t>150%</w:t>
      </w:r>
      <w:r>
        <w:rPr>
          <w:rFonts w:ascii="Times New Roman" w:cs="Times New Roman" w:eastAsia="Times New Roman" w:hAnsi="Times New Roman"/>
          <w:sz w:val="18"/>
          <w:szCs w:val="18"/>
          <w:color w:val="auto"/>
        </w:rPr>
        <w:t xml:space="preserve"> of the number of target shares. Compensation expense for stock-based awards is recorded net of estimated forfeitures, which are based on historical forfeiture rates and are revised if actual forfeitures differ from those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total stock-based compensation expense of $15.3 million and $15.5 million during the three months ended February 28, 2023 and February 28, 2022, respectively. During the six months ended February 28, 2023 and February 28, 2022, we recognized total stock-based compensation expense of $27.5 million and $25.9 million,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2023, $139.7 million of total unrecognized compensation expense related to non-vested awards is expected to be recognized over a weighted average period of 3.2 years. There was no stock-based compensation capitalized as of February 28, 2023 and February 28, 2022.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2023, we had 4.2 million employee stock-based awards available for grant under the FactSet Research Systems Inc. Stock Option and Award Plan, as Amended and Restated (the "LTIP"). As of February 28, 2023, we had 0.2 million non-employee stock-based awards available for grant under the FactSet Research Systems Inc. Non-Employee Directors’ Stock Option and Award Plan as Amended and Restated (the “Director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LTIP, we granted the following stock options for the six months ended February 28, 2023 and February 28, 2022, which are valued using the lattice-binomial option-pricing model. The majority of the stock options granted relate to the November 1, 2022 and November 1, 2021 annual employee grants.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February 28,</w:t>
            </w:r>
          </w:p>
        </w:tc>
        <w:tc>
          <w:tcPr>
            <w:tcW w:w="118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i w:val="1"/>
                <w:iCs w:val="1"/>
                <w:color w:val="auto"/>
                <w:vertAlign w:val="superscript"/>
              </w:rPr>
              <w:t>(1)</w:t>
            </w:r>
          </w:p>
        </w:tc>
        <w:tc>
          <w:tcPr>
            <w:tcW w:w="3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267,641</w:t>
            </w: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302,493</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5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w:t>
            </w:r>
          </w:p>
        </w:tc>
        <w:tc>
          <w:tcPr>
            <w:tcW w:w="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60" w:right="20" w:hanging="252"/>
        <w:spacing w:after="0" w:line="301" w:lineRule="auto"/>
        <w:tabs>
          <w:tab w:leader="none" w:pos="247" w:val="left"/>
        </w:tabs>
        <w:numPr>
          <w:ilvl w:val="0"/>
          <w:numId w:val="1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the annual employee grant on November 1, 2022 and November 1, 2021 of 266,051 and 292,377 stock options, respectively. These annual employee grants both vest 20% annually on the anniversary date of the grant and are fully vested after five years, expiring ten years from the date of grant.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November 1, 2022 annual employee grant, the estimated fair value of this grant leveraged the following assumptions: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2022 Annual Employee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- 4.51%</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Stock Option Grant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17, 2023, we granted 5,462 stock options under the Director Plan to our non-employee directors, which vest 100% on the first anniversary of the grant date and expire seven years from the date the options were granted, using the Black-Scholes option-pricing model with the following assumptions:</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17, 2023 Non-Employee Director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0.84 %</w:t>
            </w: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5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w:t>
            </w:r>
          </w:p>
        </w:tc>
      </w:tr>
      <w:tr>
        <w:trPr>
          <w:trHeight w:val="23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$428.70</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Awards granted to employees, under the LTIP, entitle the holders to shares of common stock as the Restricted Stock Awards vest over time, but not to dividends declared on the underlying shares, while the stock subject to the Restricted Stock Awards is unvested. The Restricted Stock Awards are subject to continued employment over a specified period. Vesting of the shares underlying the PSUs are also subject to achieving certain specified performance levels during the measurement period subsequent to the date of grant.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LTIP, we granted the following Restricted Stock Awards with the associated weighted average grant date fair value, assuming a target payout for PSUs, for the six months ended February 28, 2023 and February 28,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February 28,</w:t>
            </w:r>
          </w:p>
        </w:tc>
        <w:tc>
          <w:tcPr>
            <w:tcW w:w="118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47,371</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59,738</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30,704</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81,853</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90,442</w:t>
            </w:r>
          </w:p>
        </w:tc>
        <w:tc>
          <w:tcPr>
            <w:tcW w:w="0" w:type="dxa"/>
            <w:vAlign w:val="bottom"/>
          </w:tcPr>
          <w:p>
            <w:pPr>
              <w:spacing w:after="0"/>
              <w:rPr>
                <w:sz w:val="1"/>
                <w:szCs w:val="1"/>
                <w:color w:val="auto"/>
              </w:rPr>
            </w:pPr>
          </w:p>
        </w:tc>
      </w:t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weighted average grant date fair value</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415.33</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422.34</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60" w:hanging="252"/>
        <w:spacing w:after="0" w:line="301" w:lineRule="auto"/>
        <w:tabs>
          <w:tab w:leader="none" w:pos="248"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majority of the RSUs granted relate to the November 1, 2022 and November 1, 2021 annual employee grants that both vest 20% annually on the anniversary date of grant and are fully vested after five years.</w:t>
      </w:r>
    </w:p>
    <w:p>
      <w:pPr>
        <w:spacing w:after="0" w:line="38" w:lineRule="exact"/>
        <w:rPr>
          <w:rFonts w:ascii="Times New Roman" w:cs="Times New Roman" w:eastAsia="Times New Roman" w:hAnsi="Times New Roman"/>
          <w:sz w:val="16"/>
          <w:szCs w:val="16"/>
          <w:i w:val="1"/>
          <w:iCs w:val="1"/>
          <w:color w:val="auto"/>
        </w:rPr>
      </w:pPr>
    </w:p>
    <w:p>
      <w:pPr>
        <w:jc w:val="both"/>
        <w:ind w:left="260" w:hanging="252"/>
        <w:spacing w:after="0" w:line="273" w:lineRule="auto"/>
        <w:tabs>
          <w:tab w:leader="none" w:pos="248"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majority of the PSUs granted relate to the November 1, 2022 and November 1, 2021 annual employee grants that both cliff vest on the third anniversary of the grant date, subject to the achievement of certain performance metrics. The ultimate number of common shares that may be earned pursuant to these PSU awards range from 0% to 150% of the number of target shares, depending on the level of the Company's achievement of stated financial performance objectives.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Restricted Stock Units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 Plan provides for the grant of stock-based awards, including RSUs, to non-employee directors of FactSet. On January 17, 2023, we granted 1,653 RSUs to our directors that vest 100% on the first anniversary of the grant date. The RSUs granted to our directors on January 17, 2023 had a grant date fair value of $425.06.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FactSet common stock may be purchased by eligible employees under our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during an offering period. Shares purchased through our ESPP cannot be sold or otherwise transferred for 18 months after purchase. Dividends paid on shares held in our ESPP are used to purchase additional ESPP shares at the market price on the dividend payment date.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our ESPP was $0.6 million for the three months ended February 28, 2023 and $0.5 million for the three months ended February 28, 2022. Stock-based compensation expense related to our ESPP was $1.3 million for the six months ended February 28, 2023 and $1.1 million for the six months ended February 28, 2022. As of February 28, 2023, our ESPP had 84,576 shares reserved for future issuance.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SEGMENT INFORMATION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Chief Executive Officer functions as our CODM.</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segments are consistent with our reportable segments and how we, including our CODM, manage our business and the geographic markets in which we serve. Our internal financial reporting structure is based on three segments: the Americas; EMEA; and Asia Pacific.</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Americas segment serves our clients throughout North, Central, and South America. The EMEA segment serves our clients in Europe, the Middle East, and Africa. The Asia Pacific segment serves our clients in Asia and Australia. Segment revenues reflect sales to our clients based on their respective geographic locations.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content collection centers, located in India, the Philippines and Latvia, benefit all our segments, and the expenses incurred at these locations are allocated to each segment based on a percentage of revenues.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 as of February 28, 2023 and February 28,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28, 2023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331,121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515,085</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169,250</w:t>
            </w:r>
          </w:p>
        </w:tc>
      </w:tr>
      <w:tr>
        <w:trPr>
          <w:trHeight w:val="308"/>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i w:val="1"/>
                <w:iCs w:val="1"/>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17,456</w:t>
            </w:r>
          </w:p>
        </w:tc>
      </w:tr>
      <w:tr>
        <w:trPr>
          <w:trHeight w:val="421"/>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28, 2022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273,659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431,119</w:t>
            </w:r>
          </w:p>
        </w:tc>
      </w:tr>
      <w:tr>
        <w:trPr>
          <w:trHeight w:val="230"/>
        </w:trPr>
        <w:tc>
          <w:tcPr>
            <w:tcW w:w="59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i w:val="1"/>
                <w:iCs w:val="1"/>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123,348</w:t>
            </w:r>
          </w:p>
        </w:tc>
      </w:tr>
      <w:tr>
        <w:trPr>
          <w:trHeight w:val="308"/>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i w:val="1"/>
                <w:iCs w:val="1"/>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11,963</w:t>
            </w:r>
          </w:p>
        </w:tc>
      </w:tr>
      <w:tr>
        <w:trPr>
          <w:trHeight w:val="421"/>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28, 2023</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654,488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1,019,900</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341,145</w:t>
            </w:r>
          </w:p>
        </w:tc>
      </w:tr>
      <w:tr>
        <w:trPr>
          <w:trHeight w:val="308"/>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i w:val="1"/>
                <w:iCs w:val="1"/>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w:t>
            </w:r>
          </w:p>
        </w:tc>
      </w:tr>
      <w:tr>
        <w:trPr>
          <w:trHeight w:val="421"/>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28, 2022</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540,572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855,844</w:t>
            </w:r>
          </w:p>
        </w:tc>
      </w:tr>
      <w:tr>
        <w:trPr>
          <w:trHeight w:val="229"/>
        </w:trPr>
        <w:tc>
          <w:tcPr>
            <w:tcW w:w="59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i w:val="1"/>
                <w:iCs w:val="1"/>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246,009</w:t>
            </w:r>
          </w:p>
        </w:tc>
      </w:tr>
      <w:tr>
        <w:trPr>
          <w:trHeight w:val="308"/>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i w:val="1"/>
                <w:iCs w:val="1"/>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w:t>
            </w:r>
          </w:p>
        </w:tc>
      </w:tr>
    </w:tbl>
    <w:p>
      <w:pPr>
        <w:spacing w:after="0" w:line="135" w:lineRule="exact"/>
        <w:rPr>
          <w:sz w:val="20"/>
          <w:szCs w:val="20"/>
          <w:color w:val="auto"/>
        </w:rPr>
      </w:pPr>
    </w:p>
    <w:p>
      <w:pPr>
        <w:ind w:left="900" w:hanging="568"/>
        <w:spacing w:after="0"/>
        <w:tabs>
          <w:tab w:leader="none" w:pos="90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Capital expenditures includes purchases of property, equipment, leasehold improvements and capitalized internal-use software.</w:t>
      </w:r>
    </w:p>
    <w:p>
      <w:pPr>
        <w:spacing w:after="0" w:line="113" w:lineRule="exact"/>
        <w:rPr>
          <w:rFonts w:ascii="Times New Roman" w:cs="Times New Roman" w:eastAsia="Times New Roman" w:hAnsi="Times New Roman"/>
          <w:sz w:val="16"/>
          <w:szCs w:val="16"/>
          <w:i w:val="1"/>
          <w:iCs w:val="1"/>
          <w:color w:val="auto"/>
        </w:rPr>
      </w:pPr>
    </w:p>
    <w:p>
      <w:pPr>
        <w:jc w:val="both"/>
        <w:ind w:left="900" w:hanging="568"/>
        <w:spacing w:after="0" w:line="270" w:lineRule="auto"/>
        <w:tabs>
          <w:tab w:leader="none" w:pos="90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Asset impairments incurred during the three and six months ended February 28, 2022 were $10.3 million ($10.2 million recognized in the Americas) and $14.0 million ($13.9 million recognized in the Americas), respectively. This impairment primarily related to vacating certain leased office space resulting in an impairment to our lease ROU assets and associated property, equipment and leasehold improvements. Refer to Note 4, Fair Value Measures and Note 10, Leases for more information on the impairment.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Total Assets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98"/>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February 28, 2023</w:t>
            </w: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2022</w:t>
            </w:r>
          </w:p>
        </w:tc>
      </w:tr>
      <w:tr>
        <w:trPr>
          <w:trHeight w:val="223"/>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3,189,973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3,191,313</w:t>
            </w:r>
          </w:p>
        </w:tc>
      </w:tr>
      <w:tr>
        <w:trPr>
          <w:trHeight w:val="230"/>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561,294</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580,450</w:t>
            </w:r>
          </w:p>
        </w:tc>
      </w:tr>
      <w:tr>
        <w:trPr>
          <w:trHeight w:val="230"/>
        </w:trPr>
        <w:tc>
          <w:tcPr>
            <w:tcW w:w="7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249,808</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242,542</w:t>
            </w:r>
          </w:p>
        </w:tc>
      </w:tr>
      <w:tr>
        <w:trPr>
          <w:trHeight w:val="223"/>
        </w:trPr>
        <w:tc>
          <w:tcPr>
            <w:tcW w:w="7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4,001,075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2022,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year ended August 31, 2022.</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solutions that drive the investment community to see more, think bigger and do its best work. Our strategy is to build the leading open content and analytics platform that delivers a differentiated advantage for our clients’ success.</w:t>
      </w:r>
    </w:p>
    <w:p>
      <w:pPr>
        <w:spacing w:after="0" w:line="118"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Fiscal 2023 marks the 45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year our platform has delivered expansive data, sophisticated analytics, and flexible technology used by global financial professionals to power their critical investment workflows. As of February 28, 2023, we had more than 7,700 clients comprised of approximately 186,000 investment professionals, including asset managers, bankers, wealth managers, asset owners, channel partners, hedge funds, corporate users, private equity and venture capital professionals. Our on- and off-platform solutions span the investment lifecycle including investment research, portfolio construction and analysis, trade execution, performance measurement, risk management and reporting.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5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provide financial data and market intelligence on securities, companies, industries and people to enable our clients to research investment ideas, as well as to analyze, monitor and manage their portfolios. We combine dedicated client service with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 office functions.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them with an open digital platform, connected and reliable data, next-generation workflow solutions and highly committed service specialists.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of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for further discussion. For each of our segments, we execute our strategy through our three workflow solutions: Research</w:t>
      </w:r>
    </w:p>
    <w:p>
      <w:pPr>
        <w:spacing w:after="0" w:line="9" w:lineRule="exact"/>
        <w:rPr>
          <w:sz w:val="20"/>
          <w:szCs w:val="20"/>
          <w:color w:val="auto"/>
        </w:rPr>
      </w:pPr>
    </w:p>
    <w:p>
      <w:pPr>
        <w:ind w:left="5540" w:right="5340" w:hanging="5532"/>
        <w:spacing w:after="0" w:line="604" w:lineRule="auto"/>
        <w:tabs>
          <w:tab w:leader="none" w:pos="19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Analytics &amp; Trading; and Content &amp; Technology Solutions ("CTS").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the needs of our clients evolve, they seek personalized and connected data, tools for multi-asset class investing and increased efficiencies. Clients are also seeking cloud-based solutions, open and flexible systems and increased efficiencies to support their digital transformations.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strategy is to build the leading open content and analytics platform to deliver differentiated advantages for our clients’ success. To execute this strategy, we plan on:</w:t>
      </w:r>
    </w:p>
    <w:p>
      <w:pPr>
        <w:spacing w:after="0" w:line="117" w:lineRule="exact"/>
        <w:rPr>
          <w:sz w:val="20"/>
          <w:szCs w:val="20"/>
          <w:color w:val="auto"/>
        </w:rPr>
      </w:pPr>
    </w:p>
    <w:p>
      <w:pPr>
        <w:jc w:val="both"/>
        <w:ind w:left="66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Growing our digital platform</w:t>
      </w:r>
      <w:r>
        <w:rPr>
          <w:rFonts w:ascii="Times New Roman" w:cs="Times New Roman" w:eastAsia="Times New Roman" w:hAnsi="Times New Roman"/>
          <w:sz w:val="18"/>
          <w:szCs w:val="18"/>
          <w:color w:val="auto"/>
        </w:rPr>
        <w:t>: We are scaling up our content refinery to offer a comprehensive and connected inventory of industry,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third-party data for the financial community. This data includes granular data for key industry verticals, private companies, wealth management, real-time data and sustainable finance. We are driving personalized workflow solutions for financial professionals, including asset managers, bankers, wealth managers, asset owners, channel partners, hedge funds, corporate users and private equity and venture capital professionals. Our goal is to offer an open ecosystem of cloud-based data and analytics, providing solutions and content that is accessible and flexible through many delivery methods, enabling our clients to more efficiently manage their workflows.</w:t>
      </w:r>
    </w:p>
    <w:p>
      <w:pPr>
        <w:spacing w:after="0" w:line="15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Delivering execution excellence</w:t>
      </w:r>
      <w:r>
        <w:rPr>
          <w:rFonts w:ascii="Times New Roman" w:cs="Times New Roman" w:eastAsia="Times New Roman" w:hAnsi="Times New Roman"/>
          <w:sz w:val="18"/>
          <w:szCs w:val="18"/>
          <w:color w:val="auto"/>
        </w:rPr>
        <w:t>: We strive to be innovative and collaborative across our organization to remain responsive, flexible and agile.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open ecosystem provides a digital foundation that powers client personalization and efficiency, firm-type product development and core process automation. We employ technology to accelerate content collection for industry, proprietary and third-party data. Additionally, our sales force is improving price realization by focusing on productivity, efficiency and improved client outcomes. We are also optimizing our operations and managing our expenses to improve returns on our investments in people and product. Finally, we are committed to promoting a modern work environment that preserves the benefit of flexibility while retaining talent, fostering creativity, innovation, and collaboration, and enabling mentorship.</w:t>
      </w:r>
    </w:p>
    <w:p>
      <w:pPr>
        <w:spacing w:after="0" w:line="14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Driving a growth mindset</w:t>
      </w:r>
      <w:r>
        <w:rPr>
          <w:rFonts w:ascii="Times New Roman" w:cs="Times New Roman" w:eastAsia="Times New Roman" w:hAnsi="Times New Roman"/>
          <w:sz w:val="18"/>
          <w:szCs w:val="18"/>
          <w:color w:val="auto"/>
        </w:rPr>
        <w:t>: To drive sustainable growth, we are recruiting, training and empowering a diverse and operationally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workforce. As a performance-based culture, we are investing in talent that can create leading technological solutions and efficiently execute our strategy. We use partnerships and acquisitions to accelerate our growth in strategic areas.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centers on a relentless focus on our clients and their FactSet experience. We aim to be a trusted partner and service provider, offering personalized digital products powered by cognitive computing to research ideas and uncover relevant insights. Additionally, we continually evaluate business opportunities such as partnerships and acquisitions to increase our capabilities and competitive differentiation.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segments: the Americas, EMEA and Asia Pacific. We believe this geographic strategic alignment helps us better manage our resources, target our solutions and interact with our clients. We further execute on our growth strategy by offering data, products and analytical applications within our three workflow solutions: Research &amp; Advisory; Analytics &amp; Trading; and 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Second Quarter in Review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in the second quarter of fiscal 2023 were $515.1 million, an increase of 19.5% from the prior year comparable period. Revenues increased across all our segments, primarily in the Americas and, to a lesser extent, EMEA and Asia Pacific. The increased revenues were supported by higher sales in each of our workflow solutions, mainly in CTS (driven by the acquisition of CGS), followed by Research &amp; Advisory and Analytics &amp; Trading, when compared with the prior year. Organic revenues contributed to 8.9% of our growth during the second quarter of fiscal 2023, compared with the prior year period. Refer to Part I, Item 2.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in the MD&amp;A of this Quarterly Report on Form 10-Q for a reconciliation between revenues and organic revenues.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February 28, 2023, organic annual subscription value ("Organic ASV") plus Professional Services totaled $1.9 billion, an increase of 9.1% over February 28, 2022. Organic ASV increased across all our segments, with the majority of the increase related to the Americas and, to a lesser extent, EMEA and Asia Pacific, supported by increases in our workflow solutions, mainly from Research &amp; Advisory and Analytics &amp; Trading, and, to a lesser extent, CTS. Refer to Part I, Item 2 </w:t>
      </w:r>
      <w:r>
        <w:rPr>
          <w:rFonts w:ascii="Times New Roman" w:cs="Times New Roman" w:eastAsia="Times New Roman" w:hAnsi="Times New Roman"/>
          <w:sz w:val="18"/>
          <w:szCs w:val="18"/>
          <w:i w:val="1"/>
          <w:iCs w:val="1"/>
          <w:color w:val="auto"/>
        </w:rPr>
        <w:t>Annual Subscription Value</w:t>
      </w:r>
      <w:r>
        <w:rPr>
          <w:rFonts w:ascii="Times New Roman" w:cs="Times New Roman" w:eastAsia="Times New Roman" w:hAnsi="Times New Roman"/>
          <w:sz w:val="18"/>
          <w:szCs w:val="18"/>
          <w:color w:val="auto"/>
        </w:rPr>
        <w:t xml:space="preserve"> in the MD&amp;A of this Quarterly Report on Form 10-Q for the definitions of Organic ASV and Organic ASV plus Professional Services.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margin increased to 32.9% during the three months ended February 28, 2023, compared with 28.6% in the prior year period. This increase was mainly due to growth in revenues and a decrease in employee compensation costs, as well as asset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charges recorded in the prior year period, when expressed as a percentage of revenues. The margin improvement was further driven by a decrease in occupancy costs and professional fees, partially offset by higher amortization of intangible assets and royalty fees, when expressed as a percentage of revenues.</w:t>
      </w:r>
    </w:p>
    <w:p>
      <w:pPr>
        <w:spacing w:after="0" w:line="149" w:lineRule="exact"/>
        <w:rPr>
          <w:sz w:val="20"/>
          <w:szCs w:val="20"/>
          <w:color w:val="auto"/>
        </w:rPr>
      </w:pPr>
    </w:p>
    <w:p>
      <w:pPr>
        <w:ind w:right="1420"/>
        <w:spacing w:after="0" w:line="453" w:lineRule="auto"/>
        <w:rPr>
          <w:sz w:val="20"/>
          <w:szCs w:val="20"/>
          <w:color w:val="auto"/>
        </w:rPr>
      </w:pPr>
      <w:r>
        <w:rPr>
          <w:rFonts w:ascii="Times New Roman" w:cs="Times New Roman" w:eastAsia="Times New Roman" w:hAnsi="Times New Roman"/>
          <w:sz w:val="18"/>
          <w:szCs w:val="18"/>
          <w:color w:val="auto"/>
        </w:rPr>
        <w:t xml:space="preserve">Diluted earnings per share ("EPS") increased 19.0% for the three months ended February 28, 2023, compared with the prior year period. </w:t>
      </w:r>
      <w:r>
        <w:rPr>
          <w:rFonts w:ascii="Times New Roman" w:cs="Times New Roman" w:eastAsia="Times New Roman" w:hAnsi="Times New Roman"/>
          <w:sz w:val="18"/>
          <w:szCs w:val="18"/>
          <w:b w:val="1"/>
          <w:bCs w:val="1"/>
          <w:color w:val="auto"/>
        </w:rPr>
        <w:t>CUSIP Global Services Acquisition</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24, 2021, we entered into a definitive agreement to acquire CGS for $1.932 billion in cash, inclusive of working capital adjustments. The acquisition was completed on March 1, 2022. We believe that the CGS acquisition will significantly expand our critical role in the global capital markets. Revenues from CGS are recognized based on geographic business activities in accordance with how our operating segments are currently aligned. CGS functions as part of CTS.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purchase price for the CGS acquisition was financed from the net proceeds of the issuance of the Senior Notes and borrowings under the 2022 Credit Facilities. 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of this Quarterly Report on Form 10-Q for more information on our acquisition of CGS, and our defined terms of Senior Notes and the 2022 Credit Facilities,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we implemented a business continuity plan to respond quickly and provide ongoing guidance so that we could continue offering our clients uninterrupted products, services and support while also protecting our employees. We believe these actions have been successful and that the pandemic, and our responses, have not significantly affected our financial results for the three and six months ended February 28, 2023.</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1. </w:t>
      </w:r>
      <w:r>
        <w:rPr>
          <w:rFonts w:ascii="Times New Roman" w:cs="Times New Roman" w:eastAsia="Times New Roman" w:hAnsi="Times New Roman"/>
          <w:sz w:val="18"/>
          <w:szCs w:val="18"/>
          <w:i w:val="1"/>
          <w:iCs w:val="1"/>
          <w:color w:val="auto"/>
        </w:rPr>
        <w:t>Business, Human Capital Management, How We Work</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 Operational Risks</w:t>
      </w:r>
      <w:r>
        <w:rPr>
          <w:rFonts w:ascii="Times New Roman" w:cs="Times New Roman" w:eastAsia="Times New Roman" w:hAnsi="Times New Roman"/>
          <w:sz w:val="18"/>
          <w:szCs w:val="18"/>
          <w:color w:val="auto"/>
        </w:rPr>
        <w:t xml:space="preserve"> of our Annual Report on Form 10-K for the fiscal year ended August 31, 2022 for further discussion of the potential impact of the COVID-19 pandemic on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Ukraine/Russia Conflict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military conflict between Russia and Ukraine is ongoing, we continue to monitor the potential impact on our business, our people and our clients. We have taken all necessary steps to ensure compliance with all applicable regulatory restrictions on international trade and financial transactions. In Russia, we have discontinued all commercial operations and delivery of products and services to clients; have terminated all contracts with vendors; and have suspended all new business, trials and prospecting activities. Total revenues associated with clients in Russia were not material to our consolidated financial results, and termination of Russian vendors has not had a material impact on our business or client relationships. We have no offices in Russia or Ukraine, and none of our employees or contractors has been directly impacted by the conflict. We continue to monitor the regional and global ramifications of the events in the area, including the threatened disruptions to global energy markets, and are reviewing our business continuity plans to ensure that we are prepared in the event any of our offices are impacted. Our cybersecurity teams are ready to respond in the event of any attempted systems compromise.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 and is a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 excluding revenues from Professional Services.</w:t>
      </w: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ind w:left="340"/>
        <w:spacing w:after="0"/>
        <w:rPr>
          <w:sz w:val="20"/>
          <w:szCs w:val="20"/>
          <w:color w:val="auto"/>
        </w:rPr>
      </w:pPr>
      <w:r>
        <w:rPr>
          <w:rFonts w:ascii="Times New Roman" w:cs="Times New Roman" w:eastAsia="Times New Roman" w:hAnsi="Times New Roman"/>
          <w:sz w:val="18"/>
          <w:szCs w:val="18"/>
          <w:color w:val="auto"/>
        </w:rPr>
        <w:t>–   "Professional Services" are revenues derived from project-based consulting and implementation, annualized over the past 12 months.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"Organic ASV plus Professional Services" at any point in time equals the sum of Organic ASV and Professional Services.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 plus Professional Services</w:t>
      </w:r>
    </w:p>
    <w:p>
      <w:pPr>
        <w:spacing w:after="0" w:line="27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plus Professional Services as of February 28, 2023. With proper notice provided as contractually required, our clients can add to, delete portions of, or terminate service, subject to certain limitations.</w:t>
      </w: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As of February 28, 2023</w:t>
            </w:r>
          </w:p>
        </w:tc>
      </w:tr>
      <w:tr>
        <w:trPr>
          <w:trHeight w:val="223"/>
        </w:trPr>
        <w:tc>
          <w:tcPr>
            <w:tcW w:w="8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As reported ASV plus Professional Services</w:t>
            </w:r>
            <w:r>
              <w:rPr>
                <w:rFonts w:ascii="Times New Roman" w:cs="Times New Roman" w:eastAsia="Times New Roman" w:hAnsi="Times New Roman"/>
                <w:sz w:val="23"/>
                <w:szCs w:val="23"/>
                <w:i w:val="1"/>
                <w:i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2,074.0</w:t>
            </w:r>
          </w:p>
        </w:tc>
      </w:tr>
      <w:tr>
        <w:trPr>
          <w:trHeight w:val="230"/>
        </w:trPr>
        <w:tc>
          <w:tcPr>
            <w:tcW w:w="8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i w:val="1"/>
                <w:iCs w:val="1"/>
                <w:color w:val="auto"/>
                <w:vertAlign w:val="superscript"/>
              </w:rPr>
              <w:t>(2)</w:t>
            </w:r>
          </w:p>
        </w:tc>
        <w:tc>
          <w:tcPr>
            <w:tcW w:w="220" w:type="dxa"/>
            <w:vAlign w:val="bottom"/>
          </w:tcPr>
          <w:p>
            <w:pPr>
              <w:spacing w:after="0"/>
              <w:rPr>
                <w:sz w:val="19"/>
                <w:szCs w:val="19"/>
                <w:color w:val="auto"/>
              </w:rPr>
            </w:pP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 ASV</w:t>
            </w:r>
            <w:r>
              <w:rPr>
                <w:rFonts w:ascii="Times New Roman" w:cs="Times New Roman" w:eastAsia="Times New Roman" w:hAnsi="Times New Roman"/>
                <w:sz w:val="23"/>
                <w:szCs w:val="23"/>
                <w:i w:val="1"/>
                <w:iCs w:val="1"/>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(171.3)</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ASV plus Professional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1,901.7</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plus Professional Services growth rate</w:t>
            </w:r>
          </w:p>
        </w:tc>
        <w:tc>
          <w:tcPr>
            <w:tcW w:w="2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9.1 %</w:t>
            </w:r>
          </w:p>
        </w:tc>
      </w:tr>
    </w:tbl>
    <w:p>
      <w:pPr>
        <w:spacing w:after="0" w:line="173"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$23.2 million in Professional Services.</w:t>
      </w:r>
    </w:p>
    <w:p>
      <w:pPr>
        <w:spacing w:after="0" w:line="126"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impact from foreign currency movements.</w:t>
      </w:r>
    </w:p>
    <w:p>
      <w:pPr>
        <w:spacing w:after="0" w:line="113"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Acquired ASV from acquisitions completed within the last 12 months.</w:t>
      </w: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2023, Organic ASV plus Professional Services was $1.9 billion, an increase of 9.1% compared with February 28, 2022. Organic ASV increased due mainly to increased sales to existing clients and, to a lesser extent, price increases to existing clients and new client sales, partially offset by existing client cancellations.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Organic ASV increased across all our segments, with the majority of the increase related to the Americas, followed by EMEA and Asia Pacific. This increase was driven by additional sales in our workflow solutions, primarily in Research &amp; Advisory and Analytics &amp; Trading, and, to a lesser extent, CTS. Sales increased in Research &amp; Advisory mainly due to higher demand for our workstations. Sales increased in Analytics &amp; Trading mainly from our portfolio analytics solutions, performance and reporting products and portfolio and benchmark services. CTS sales increased mainly from our data management solutions, company data and real time data solutions.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ASV</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2023, ASV from the Americas represented 64% of total ASV and was $1,315.3 million, an increase from $1,085.6 million as of February 28, 2022. Americas Organic ASV increased to $1,188.6 million as of February 28, 2023, a 9.3% increase from the prior year period. The Organic ASV increase in the Americas was primarily driven by increased sales of Research &amp; Advisory and Analytics &amp; Trading.</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2023, ASV from EMEA represented 26% of total ASV and was $528.5 million, an increase from $459.9 million as of February 28, 2022. EMEA Organic ASV increased to $494.3 million as of February 28, 2023, a 8.1% increase from the prior year period. The EMEA Organic ASV increase was mainly driven by higher sales of Analytics &amp; Trading, CTS and Research &amp; Advisory.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2023, ASV from Asia Pacific represented 10% of total ASV and was $207.1 million, an increase from $180.5 million as of February 28, 2022. Asia Pacific Organic ASV increased to $195.6 million as of February 28, 2023, a 10.8% increase from the prior year period. The Asia Pacific Organic ASV increase was primarily due to increased sales of Research &amp; Advisory and Analytics &amp; Trading.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buy-side and sell-side Organic ASV growth rates at February 28, 2023, compared with February 28, 2022, were 8.1% and 15.8%, respectively. Buy-side clients account for approximately 83% of our Organic ASV, consistent with the prior year period, and primarily include asset managers, wealth managers, asset owners, channel partners, hedge funds, and corporate firms. The remainder of our Organic ASV is derived from sell-side firms and primarily include broker-dealers, banking and advisory, private equity and venture capital firms.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3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6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As of February 28, 2023</w:t>
            </w:r>
          </w:p>
        </w:tc>
        <w:tc>
          <w:tcPr>
            <w:tcW w:w="2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As of February 28, 2022</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i w:val="1"/>
                <w:iCs w:val="1"/>
                <w:color w:val="auto"/>
                <w:vertAlign w:val="superscript"/>
              </w:rPr>
              <w:t>(1)</w:t>
            </w:r>
          </w:p>
        </w:tc>
        <w:tc>
          <w:tcPr>
            <w:tcW w:w="3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7,730</w:t>
            </w:r>
          </w:p>
        </w:tc>
        <w:tc>
          <w:tcPr>
            <w:tcW w:w="2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3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186,463</w:t>
            </w:r>
          </w:p>
        </w:tc>
        <w:tc>
          <w:tcPr>
            <w:tcW w:w="2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171,341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 The client count includes clients with ASV of $10,000 and above.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client count was 7,730 as of February 28, 2023, a net increase of 7.8% or 558 clients in the last 12 months, mainly due to an increase in corporate clients, wealth management clients and channel partners. We believe this increase was primarily due to our expanded suite of client-centric workflow solutions, our content refinery and continued execution excellence by our sales and client facing teams.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2023, there were 186,463 professionals using FactSet, representing a net increase of 8.8% or 15,122 users in the last 12 months, primarily driven by an increase from wealth management firms.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of ASV and 92% when expressed as a percentage of clients for the period ended February 28, 2023, with both percentages consistent with the prior year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February 28, 2023, our employee headcount was 11,896, an increase of 10.3% compared with 10,784 employees as of February 28, 2022. This growth in headcount was primarily due to an increase of 10.4% in Asia Pacific, 12.1% in the Americas and 6.8% in EMEA. At February 28, 2023, 7,891 employees were located in Asia Pacific, 2,540 in the Americas, and 1,465 in EMEA.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and six months ended February 28, 2023 and February 28, 2022, the following discussion should be read in conjunction with the Consolidated Financial Statements and related Notes presented in this Quarterly Report on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116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February 28,</w:t>
            </w: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February 28,</w:t>
            </w:r>
          </w:p>
        </w:tc>
        <w:tc>
          <w:tcPr>
            <w:tcW w:w="1160" w:type="dxa"/>
            <w:vAlign w:val="bottom"/>
          </w:tcPr>
          <w:p>
            <w:pPr>
              <w:spacing w:after="0"/>
              <w:rPr>
                <w:sz w:val="23"/>
                <w:szCs w:val="23"/>
                <w:color w:val="auto"/>
              </w:rPr>
            </w:pPr>
          </w:p>
        </w:tc>
      </w:tr>
      <w:tr>
        <w:trPr>
          <w:trHeight w:val="37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per share data)</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3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431,119</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1,019,900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855,844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240,806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199,413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20.8 %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467,848</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406,544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98,066</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(95.7)%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169,250</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123,348</w:t>
            </w: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341,145</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246,009</w:t>
            </w:r>
          </w:p>
        </w:tc>
        <w:tc>
          <w:tcPr>
            <w:tcW w:w="1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03"/>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109,938</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38,761</w:t>
            </w:r>
          </w:p>
        </w:tc>
        <w:tc>
          <w:tcPr>
            <w:tcW w:w="1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38,628</w:t>
            </w:r>
          </w:p>
        </w:tc>
        <w:tc>
          <w:tcPr>
            <w:tcW w:w="1160" w:type="dxa"/>
            <w:vAlign w:val="bottom"/>
            <w:tcBorders>
              <w:bottom w:val="single" w:sz="8" w:color="CCEEFF"/>
            </w:tcBorders>
          </w:tcPr>
          <w:p>
            <w:pPr>
              <w:spacing w:after="0"/>
              <w:rPr>
                <w:sz w:val="19"/>
                <w:szCs w:val="19"/>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2023 compared with three months ended February 28, 2022</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Revenues for the three months ended February 28, 2023 were $515.1 million, an increase of 19.5%. The increase in revenues was primarily driven by increased sales to existing clients and, to a lesser extent, price increases to existing clients and new client sales, partially offset by existing client cancellations. Revenues increased across all our segments, primarily from the Americas and, to a lesser extent, by EMEA and Asia Pacific. The increased revenues were supported by higher sales in each of our workflow solutions, mainly in CTS (driven by the acquisition of CGS), followed by Research &amp; Advisory and Analytics &amp; Trading. Organic revenues increased to $469.5 million for the three months ended February 28, 2023, an 8.9% increase over the prior year period. Refer to Part I, Item 2.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in the MD&amp;A of this Quarterly Report on Form 10-Q for further discussion on organic revenues.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growth in revenues of 19.5% was reflective of organic revenues growth of 8.9% and an 11.0% increase primarily due to the impact of acquisition-related revenues, partially offset by a 0.4% decrease from foreign currency exchange rate fluctuations.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2023 compared with six months ended February 28, 2022</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for the six months ended February 28, 2023 was $1,019.9 million, an increase of 19.2%. The increase in revenues was mainly due to increased sales to existing clients, inclusive of price increases, followed by new client sales, partially offset by existing client cancellations. Revenues increased across all our geographic segments, primarily from the Americas, followed by EMEA and Asia Pacific. The increased revenues were supported by higher sales in each of our workflow solutions, primarily in CTS (driven by the acquisition of CGS), followed by Research &amp; Advisory and Analytics &amp; Trading. Organic revenues increased to $929.4 million for the six months ended February 28, 2023, an 8.6% increase over the prior year period.</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growth in revenues of 19.2% was reflective of organic revenue growth of 8.6% and an 11.2% increase primarily related to acquisition-related revenue, partially offset by a 0.6% decrease from foreign currency exchange rate fluctuations.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 for the periods described: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44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331,121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273,659</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21.0 % $</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654,488</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540,572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30"/>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64.3 %</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63.5 %</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64.2 %</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63.2 %</w:t>
            </w:r>
          </w:p>
        </w:tc>
        <w:tc>
          <w:tcPr>
            <w:tcW w:w="114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132,508</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114,591</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15.6 % $</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263,246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229,594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30"/>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25.7 %</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26.6 %</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25.8 %</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26.8 %</w:t>
            </w:r>
          </w:p>
        </w:tc>
        <w:tc>
          <w:tcPr>
            <w:tcW w:w="114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51,456</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42,869</w:t>
            </w:r>
          </w:p>
        </w:tc>
        <w:tc>
          <w:tcPr>
            <w:tcW w:w="1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20.0 % $</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102,166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85,678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29"/>
        </w:trPr>
        <w:tc>
          <w:tcPr>
            <w:tcW w:w="3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1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140" w:type="dxa"/>
            <w:vAlign w:val="bottom"/>
            <w:tcBorders>
              <w:bottom w:val="single" w:sz="8" w:color="CCEEFF"/>
            </w:tcBorders>
          </w:tcPr>
          <w:p>
            <w:pPr>
              <w:spacing w:after="0"/>
              <w:rPr>
                <w:sz w:val="19"/>
                <w:szCs w:val="19"/>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515,085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431,119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1,019,900</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855,844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2023 compared with three months ended February 28,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Americas revenues increased 21.0% to $331.1 million during the three months ended February 28, 2023, compared with $273.7 million from the same period a year ago. The increased revenues were driven by higher sales in all of our workflow solutions, primarily in CTS. The growth in revenues of 21.0% was reflective of an 8.2% increase in organic revenues and a 12.8% increase from acquisition-related revenues.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revenues increased 15.6% to $132.5 million during the three months ended February 28, 2023, compared with $114.6 million from the same period a year ago. The increased revenues were driven by higher sales in all of our workflow solutions, primarily in CTS. The growth in revenues of 15.6% was reflective of an 8.2% increase in organic revenues and an 8.1% increase from acquisition-related revenues, partially offset by a 0.7% decrease driven by the effects of foreign currency exchange rate fluctuations.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revenues increased 20.0% to $51.5 million during the three months ended February 28, 2023, compared with $42.9 million from the same period a year ago. The increased revenues were driven by higher sales in all of our workflow solutions, primarily in CTS, followed by Research &amp; Advisory and Analytics &amp; Trading. The growth in revenues of 20.0% was reflective of a 15.3% increase in organic revenues and a 7.1% increase from acquisition-related revenues, partially offset by a 2.4% decrease driven by the effects of foreign currency exchange rate fluctuations.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2023 compared with six months ended February 28,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Americas increased 21.1% to $654.5 million during the six months ended February 28, 2023, compared with $540.6 million from the same period a year ago. The increased revenues were driven by higher sales in all of our workflow solutions, primarily in CTS. The growth in revenues of 21.1% was reflective of an 8.0% increase in organic revenue growth and a 13.1% increase primarily due to the impact of acquisition-related revenue.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EMEA increased 14.7% to $263.2 million during the six months ended February 28, 2023, compared with $229.6 million from the same period a year ago. The increased revenues were driven by higher sales in all of our workflow solutions, primarily in CTS. The growth in revenues of 14.7% was reflective of a 7.7% increase in organic revenue and an 8.2% increase primarily due to the impact of acquisition-related revenue, partially offset by a 1.2% decrease due to the effects of foreign currency exchange rate fluctuations.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Asia Pacific increased 19.2% to $102.2 million during the six months ended February 28, 2023, compared with $85.7 million from the same period a year ago. The increased revenues were driven by higher sales in all of our workflow solutions, primarily in CTS. The growth in revenues of 19.2% was reflective of a 15.1% increase in organic revenues and a 7.1% increase from acquisition-related revenue, partially offset by a 3.0% decrease due to the effects of foreign currency exchange rate fluctuations.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Workflow Solution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2023 compared with three months ended February 28, 2022</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growth in revenues of 19.5% for the three months ended February 28, 2023, compared with the same period a year ago, was due to higher revenues from each of our segments supported by increased revenues from our workflow solutions, primarily from CTS and, to a lesser extent, Research &amp; Advisory and Analytics &amp; Trading. The increase in CTS revenues was mainly driven by CGS related data licensing and issuance revenues. The increase in Research</w:t>
      </w:r>
    </w:p>
    <w:p>
      <w:pPr>
        <w:spacing w:after="0" w:line="1" w:lineRule="exact"/>
        <w:rPr>
          <w:sz w:val="20"/>
          <w:szCs w:val="20"/>
          <w:color w:val="auto"/>
        </w:rPr>
      </w:pPr>
    </w:p>
    <w:p>
      <w:pPr>
        <w:ind w:right="20" w:firstLine="8"/>
        <w:spacing w:after="0" w:line="260" w:lineRule="auto"/>
        <w:tabs>
          <w:tab w:leader="none" w:pos="19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revenues was driven mainly by higher demand for our workstations. The increase in revenues from Analytics &amp; Trading was primarily due to increased demand for our performance and portfolio reporting products, portfolio analytics solutions and portfolio and benchmark services.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2023 compared with six months ended February 28,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in revenues of 19.2% for the six months ended February 28, 2023, compared with the same period a year ago, was due to higher revenues from each of our segments supported by increased revenues from our workflow solutions, primarily from CTS and, to a lesser extent, Research &amp; Advisory and Analytics &amp; Trading. The increase in CTS revenues was driven mainly by CGS related data licensing and issuance revenues. The increase in Research &amp; Advisory revenues was driven mainly by higher demand for our workstations. The increase in revenues from Analytics &amp; Trading was primarily due to increased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right="1920"/>
        <w:spacing w:after="0" w:line="423" w:lineRule="auto"/>
        <w:rPr>
          <w:sz w:val="20"/>
          <w:szCs w:val="20"/>
          <w:color w:val="auto"/>
        </w:rPr>
      </w:pPr>
      <w:r>
        <w:rPr>
          <w:rFonts w:ascii="Times New Roman" w:cs="Times New Roman" w:eastAsia="Times New Roman" w:hAnsi="Times New Roman"/>
          <w:sz w:val="18"/>
          <w:szCs w:val="18"/>
          <w:color w:val="auto"/>
        </w:rPr>
        <w:t xml:space="preserve">demand for our performance and portfolio reporting products, portfolio analytics solutions and portfolio and benchmark services. </w:t>
      </w:r>
      <w:r>
        <w:rPr>
          <w:rFonts w:ascii="Times New Roman" w:cs="Times New Roman" w:eastAsia="Times New Roman" w:hAnsi="Times New Roman"/>
          <w:sz w:val="18"/>
          <w:szCs w:val="18"/>
          <w:b w:val="1"/>
          <w:bCs w:val="1"/>
          <w:color w:val="auto"/>
        </w:rPr>
        <w:t>Operating Expenses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Costs and Expenses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computer-related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identifiable intangible assets, royalty fees, client-related communication costs and computer depreciation.</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non-compensatory employee expenses, internal communication costs and bad debt expense.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costs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Asset impairments </w:t>
      </w:r>
      <w:r>
        <w:rPr>
          <w:rFonts w:ascii="Times New Roman" w:cs="Times New Roman" w:eastAsia="Times New Roman" w:hAnsi="Times New Roman"/>
          <w:sz w:val="18"/>
          <w:szCs w:val="18"/>
          <w:color w:val="auto"/>
        </w:rPr>
        <w:t>consist primarily of expenses recognized when the carrying amount of an asset exceeds its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112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2022</w:t>
            </w:r>
          </w:p>
        </w:tc>
        <w:tc>
          <w:tcPr>
            <w:tcW w:w="14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4"/>
              </w:rPr>
              <w:t>2022</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240,806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199,413</w:t>
            </w: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20.8 % $</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467,848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406,544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104,582</w:t>
            </w: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98,066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3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210,178</w:t>
            </w:r>
          </w:p>
        </w:tc>
        <w:tc>
          <w:tcPr>
            <w:tcW w:w="44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189,304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447</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10,292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729</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345,835</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307,771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678,755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609,835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70"/>
        </w:trPr>
        <w:tc>
          <w:tcPr>
            <w:tcW w:w="3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169,250</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5"/>
              </w:rPr>
              <w:t>123,348</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37.2 % $</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341,145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246,009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32.9 %</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28.6 %</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33.4 %</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28.7 %</w:t>
            </w:r>
          </w:p>
        </w:tc>
        <w:tc>
          <w:tcPr>
            <w:tcW w:w="1120" w:type="dxa"/>
            <w:vAlign w:val="bottom"/>
            <w:shd w:val="clear" w:color="auto" w:fill="CCEEFF"/>
          </w:tcPr>
          <w:p>
            <w:pPr>
              <w:spacing w:after="0"/>
              <w:rPr>
                <w:sz w:val="19"/>
                <w:szCs w:val="19"/>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2023 compared with three months ended February 28, 2022</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increased 20.8% to $240.8 million for the three months ended February 28, 2023, compared with $199.4 million for the same period a year ago, primarily due to an increase in amortization of intangible assets, employee compensation costs, royalty fees related to our CGS acquisition and computer-related expenses.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46.8% for the three months ended February 28, 2023, an increase of 50 basis points over the prior year period. This increase was primarily due to higher amortization of intangible assets, royalty fees and computer-related expenses, partially offset by lower employee compensation and data costs.</w:t>
      </w:r>
    </w:p>
    <w:p>
      <w:pPr>
        <w:spacing w:after="0" w:line="135" w:lineRule="exact"/>
        <w:rPr>
          <w:sz w:val="20"/>
          <w:szCs w:val="20"/>
          <w:color w:val="auto"/>
        </w:rPr>
      </w:pPr>
    </w:p>
    <w:p>
      <w:pPr>
        <w:ind w:left="66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210 basis points mainly due to increased amortization related to acquired intangible assets, primarily from the CGS acquisition.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cost of services by 170 basis points due to contracts acquired in connection with the acquisition of CGS.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80 basis points due to increased spend from our migration to cloud-based hosting services, CGS integration activities, amortization of capitalized internal use software and an increase in licensed software arrangements.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340 basis points primarily due to growth of our revenues outpacing the increase in employee compensation costs. This decrease was also driven by higher capitalization of compensation costs related to the development of our internal-use software, partially offset by higher annual base salaries and variable compensation expense. The increase in annual base salaries was mainly due to annual merit increases and a net headcount increase in cost of services of 884, with hiring focused mainly in lower cost locations.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costs decreased by 70 basis points due to revenue growth outpacing the increased cost of content.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2023 compared with six months ended February 28, 2022</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2023, cost of services increased 15.1% to $467.8 million compared with $406.5 million in the same period a year ago, primarily due to an increase in amortization of intangible assets, royalty fees related to our CGS acquisition, computer-related expenses and employee compensation costs.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45.9% for the six months ended February 28, 2023, a decrease of 160 basis points compared with the same period a year ago. This decrease was primarily due to lower employee compensation and data costs, partially offset by higher amortization of intangible assets, royalty fees and computer-related expenses.</w:t>
      </w:r>
    </w:p>
    <w:p>
      <w:pPr>
        <w:spacing w:after="0" w:line="203"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450 basis points primarily due to growth of our revenues outpacing the increase in employee compensation costs. This decrease was also driven by higher capitalization of compensation costs related to the development of our internal-use software and a one-time restructuring charge to drive organizational realignment incurred during the first quarter of fiscal 2022, partially offset by higher annual base salaries and variable compensation expense. The increase in annual base salaries was primarily driven by annual merit increases and a net headcount increase in cost of services of 884, with hiring focused mainly in lower cost locations.</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Data costs decreased 110 basis points mainly due to the release of certain accruals during the six months ended February 28, 2023 which related to the successful resolution of exchange audits that were set-up during the prior year period, partially offset by increased data prices and usage-based fees.</w:t>
      </w:r>
    </w:p>
    <w:p>
      <w:pPr>
        <w:spacing w:after="0" w:line="1" w:lineRule="exact"/>
        <w:rPr>
          <w:rFonts w:ascii="Times New Roman" w:cs="Times New Roman" w:eastAsia="Times New Roman" w:hAnsi="Times New Roman"/>
          <w:sz w:val="18"/>
          <w:szCs w:val="18"/>
          <w:i w:val="1"/>
          <w:iCs w:val="1"/>
          <w:color w:val="212529"/>
        </w:rPr>
      </w:pPr>
    </w:p>
    <w:p>
      <w:pPr>
        <w:ind w:left="660" w:right="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200 basis points, mainly due to increased amortization related to acquired intangible assets, primarily from the CGS acquisition.</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cost of services 170 basis points due to contracts acquired in connection with the acquisition of CGS.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40 basis points due to increased spend from our migration to cloud-based hosting services and an increase in licensed software arrangements.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2023 compared with three months ended February 28, 2022</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increased 6.6% to $104.6 million for the three months ended February 28, 2023, compared with $98.1 million from the same period a year ago, with the majority of the increase related to higher employee compensation expense and, to a lesser extent, an increase in travel and entertainment expenses, partially offset by a decrease in professional fees.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when expressed as a percentage of revenues, were 20.3% for the three months ended February 28, 2023, a decrease of 240 basis points over the prior year period. This decrease was primarily due to lower occupancy costs and professional fees, partially offset by higher travel and entertainment expenses.</w:t>
      </w:r>
    </w:p>
    <w:p>
      <w:pPr>
        <w:spacing w:after="0" w:line="135"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decreased by 110 basis points mainly driven by impairment charges recognized during fiscal 2022 related to vacating leased office space, which reduced occupancy costs recorded over their respective remaining lease terms.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decreased by 110 basis points primarily driven by costs related to the acquisition of CGS incurred during the prior year period.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entertainment expenses increased by 70 basis points as we resumed essential business travel and incurred non-compensatory employee-related costs related to return to office activities during the current year.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2023 compared with six months ended February 28, 2022</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28, 2023, SG&amp;A expenses increased 11.0% to $210.2 million, compared with $189.3 million for the same period a year ago, primarily due to higher employee compensation costs and an increase in travel and entertainment expenses.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SG&amp;A expenses, when expressed as a percentage of revenues, were 20.6% for the six months ended February 28, 2023, a decrease of 150 basis points over the prior year period. This decrease was primarily due to lower occupancy costs, professional fees, and employee compensation costs, partially offset by an increase in travel and entertainment expenses.</w:t>
      </w:r>
    </w:p>
    <w:p>
      <w:pPr>
        <w:spacing w:after="0" w:line="203" w:lineRule="exact"/>
        <w:rPr>
          <w:sz w:val="20"/>
          <w:szCs w:val="20"/>
          <w:color w:val="auto"/>
        </w:rPr>
      </w:pPr>
    </w:p>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decreased by 100 basis points mainly driven by impairment charges recognized during fiscal 2022 related to vacating leased office space, which reduced occupancy costs recorded over their respective remaining lease terms.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decreased 80 basis points, primarily driven by costs related to the acquisition of CGS incurred during the prior year period.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30 basis points, primarily due to growth of our revenues outpacing the increase in employee compensation costs, partially offset by higher annual base salaries and stock-based compensation expense. The increase in annual base salaries was primarily driven by a net headcount increase in SG&amp;A of 228 and annual merit increases.</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and entertainment expenses increased by 70 basis points as we resumed essential business travel and incurred non-compensatory employee-related costs related to return to office activities during the current year.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 impairments incurred during the three and six months ended February 28, 2022 were $10.3 million and $14.0 million, respectively, with no similar level of impairment recorded during the three and six ended February 28, 2023. The asset impairments recognized during the three and six months ended February 28, 2022 included a respective $9.7 million and $13.4 million charge related to our lease right-of-use ("ROU") assets and property, equipment and leasehold improvements associated with vacating certain leased office space to resize our real estate footprint for the hybrid work environment. We fully impaired our lease ROU assets for locations we vacated with no intention to sublease. For locations we intend to sublease, we recognized an impairment when the estimated fair value of the lease ROU asset was less than its carrying value. Substantially all the property, equipment and leasehold improvements associated with the vacated lease office space was fully impaired as there are no expected future cash flows for these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2023 compared with three months ended February 28,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increased 37.2% to $169.3 million for the three months ended February 28, 2023, compared with $123.3 million in the prior year period. This increase was primarily due to growth in revenues and, to a lesser extent, asset impairment charges incurred during the prior year period. These increases to operating income were partially offset by higher employee compensation costs, amortization of intangible assets, royalty fees and computer-related expenses. Foreign currency exchange rate fluctuations, net of hedge activity, increased operating income by $7.7 million for the three months ended February 28, 2023, compared with a decrease of $1.2 million during the three months ended February 28, 2022.</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increased to 32.9% during the three months ended February 28, 2023, compared with 28.6% in the prior year period. This increase was mainly due to growth in revenues and a decrease in employee compensation costs, as well as asset impairment charges recorded in the three months ended February 28, 2022, when expressed as a percentage of revenues. The margin improvement was further driven by a decrease in occupancy costs and professional fees, partially offset by higher amortization of intangible assets and royalty fees, when expressed as a percentage of revenues.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2023 compared with six months ended February 28, 2022</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increased 38.7% to $341.1 million for the six months ended February 28, 2023, compared with $246.0 million in the prior year period. Operating income increased primarily due to growth in revenues and, to a lesser extent, asset impairment charges recognized in the prior year period. These increases in operating income were partially offset by higher employee compensation costs, amortization of intangible assets, royalty fees and computer-related expenses. Foreign currency exchange rate fluctuations, net of hedge activity, increased operating income by $16.3 million, compared with a decrease of $5.4 million during the six months ended February 28,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increased to 33.4% for the six months ended February 28, 2023, compared with 28.7% in the prior year period. This increase was primarily due to growth in revenues and a decrease in employee compensation costs, as well as asset impairment charges recognized in the prior year period, when expressed as a percentage of revenues. The margin improvement was further driven by a decrease in data costs and occupancy costs, partially offset by higher amortization of intangible assets and royalty fees, when expressed as a percentage of revenues.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3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 xml:space="preserve">Our internal financial reporting structure is based on three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of this Quarterly Report on Form 10-Q for further discussion regarding our segments. The following table summarizes our operating income by segment for the periods described: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Six Months Ended</w:t>
            </w:r>
          </w:p>
        </w:tc>
        <w:tc>
          <w:tcPr>
            <w:tcW w:w="1180" w:type="dxa"/>
            <w:vAlign w:val="bottom"/>
          </w:tcPr>
          <w:p>
            <w:pPr>
              <w:spacing w:after="0"/>
              <w:rPr>
                <w:sz w:val="20"/>
                <w:szCs w:val="20"/>
                <w:color w:val="auto"/>
              </w:rPr>
            </w:pPr>
          </w:p>
        </w:tc>
      </w:tr>
      <w:tr>
        <w:trPr>
          <w:trHeight w:val="270"/>
        </w:trPr>
        <w:tc>
          <w:tcPr>
            <w:tcW w:w="4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February 28,</w:t>
            </w: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February 28,</w:t>
            </w:r>
          </w:p>
        </w:tc>
        <w:tc>
          <w:tcPr>
            <w:tcW w:w="1180" w:type="dxa"/>
            <w:vAlign w:val="bottom"/>
          </w:tcPr>
          <w:p>
            <w:pPr>
              <w:spacing w:after="0"/>
              <w:rPr>
                <w:sz w:val="23"/>
                <w:szCs w:val="23"/>
                <w:color w:val="auto"/>
              </w:rPr>
            </w:pPr>
          </w:p>
        </w:tc>
      </w:tr>
      <w:tr>
        <w:trPr>
          <w:trHeight w:val="27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42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61,181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48,903</w:t>
            </w:r>
          </w:p>
        </w:tc>
        <w:tc>
          <w:tcPr>
            <w:tcW w:w="14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25.1 %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128,712</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68,941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39,128</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76,170</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169,250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r>
    </w:tbl>
    <w:p>
      <w:pPr>
        <w:spacing w:after="0" w:line="245" w:lineRule="exact"/>
        <w:rPr>
          <w:sz w:val="20"/>
          <w:szCs w:val="20"/>
          <w:color w:val="auto"/>
        </w:rPr>
      </w:pPr>
    </w:p>
    <w:p>
      <w:pPr>
        <w:ind w:right="4420"/>
        <w:spacing w:after="0" w:line="462" w:lineRule="auto"/>
        <w:rPr>
          <w:sz w:val="20"/>
          <w:szCs w:val="20"/>
          <w:color w:val="auto"/>
        </w:rPr>
      </w:pPr>
      <w:r>
        <w:rPr>
          <w:rFonts w:ascii="Times New Roman" w:cs="Times New Roman" w:eastAsia="Times New Roman" w:hAnsi="Times New Roman"/>
          <w:sz w:val="18"/>
          <w:szCs w:val="18"/>
          <w:i w:val="1"/>
          <w:iCs w:val="1"/>
          <w:color w:val="auto"/>
        </w:rPr>
        <w:t>Three months ended February 28, 2023 compared with three months ended February 28, 2022 Americas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operating income increased 25.1% to $61.2 million during the three months ended February 28, 2023, compared with $48.9 million in the same period a year ago. This increase was primarily due to growth in revenues of 21.0% and asset impairment charges recorded in the prior year period, partially offset by higher amortization of intangible assets, employee compensation costs, royalty fees and computer-related expenses.</w:t>
      </w:r>
    </w:p>
    <w:p>
      <w:pPr>
        <w:spacing w:after="0" w:line="135" w:lineRule="exact"/>
        <w:rPr>
          <w:sz w:val="20"/>
          <w:szCs w:val="20"/>
          <w:color w:val="auto"/>
        </w:rPr>
      </w:pPr>
    </w:p>
    <w:p>
      <w:pPr>
        <w:ind w:left="660" w:hanging="328"/>
        <w:spacing w:after="0" w:line="261" w:lineRule="auto"/>
        <w:tabs>
          <w:tab w:leader="none" w:pos="656" w:val="left"/>
        </w:tabs>
        <w:numPr>
          <w:ilvl w:val="0"/>
          <w:numId w:val="26"/>
        </w:numPr>
        <w:rPr>
          <w:rFonts w:ascii="Times New Roman" w:cs="Times New Roman" w:eastAsia="Times New Roman" w:hAnsi="Times New Roman"/>
          <w:sz w:val="14"/>
          <w:szCs w:val="14"/>
          <w:b w:val="1"/>
          <w:bCs w:val="1"/>
          <w:i w:val="1"/>
          <w:iCs w:val="1"/>
          <w:color w:val="212529"/>
        </w:rPr>
      </w:pPr>
      <w:r>
        <w:rPr>
          <w:rFonts w:ascii="Times New Roman" w:cs="Times New Roman" w:eastAsia="Times New Roman" w:hAnsi="Times New Roman"/>
          <w:sz w:val="18"/>
          <w:szCs w:val="18"/>
          <w:color w:val="auto"/>
        </w:rPr>
        <w:t>The impairment charges recorded in the prior year period were mainly related to our lease ROU assets and property, equipment and leasehold improvements ("PPE") associated with vacating certain leased office space.</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primarily increased due to amortization related to acquired intangible assets, mainly from the CGS acquisition.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due to an increase in annual base salary and, to a lesser extent, an increase in variable compensation costs, partially offset by higher capitalization of compensation costs related to the development of our internal-use software. The increase in annual base salary was primarily driven by annual merit increases and a net headcount increase of 275.</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due to contracts acquired in connection with the acquisition of CGS.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primarily due to increased spend from our migration to cloud-based hosting services to support our transition to a hybrid cloud strategy, CGS integration activities and expenses related to licensed software arrangements.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EMEA operating income increased 50.1% to $68.9 million during the three months ended February 28, 2023, compared with $45.9 million recognized during the same period a year ago. This increase was primarily due to growth in revenues of 15.6%, lower amortization of intangible assets and a reduction in bad debt expense, partially offset by an increase in employee compensation costs. Amortization of intangible assets decreased as certain acquired intangible assets were fully amortized during the third quarter of fiscal 2022. Employee compensation costs increased primarily due to an increase in annual base salary driven by annual merit increases and a net headcount increase of 93.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Asia Pacific operating income increased 37.3% to $39.1 million during the three months ended February 28, 2023, compared with $28.5 million from the prior year. This increase was mainly due to growth in revenues of 20.0%, partially offset by higher employee compensation costs and travel expenses. Employee compensation expense increased mainly due to higher annual base salaries driven by annual merit increases and a net increase in employee headcount of 744. Travel expenses increased as we incurred non-compensatory employee-related costs related to return to office activities during the current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2023 compared with six months ended February 28,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Americas operating income increased 23.3% to $128.7 million during the six months ended February 28, 2023, compared with $104.4 million in the same period a year ago. This increase was primarily due to growth in revenues of 21.1% and asset impairment charges recorded in the prior year period, partially offset by an increase in amortization of intangible assets, employee compensation costs, royalty fees and computer-related expenses.</w:t>
      </w:r>
    </w:p>
    <w:p>
      <w:pPr>
        <w:spacing w:after="0" w:line="203"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charges recorded in the prior year period were mainly related to our lease ROU assets and PPE associated with vacating certain leased office space.</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primarily increased due to amortization related to acquired intangible assets, mainly from the CGS acquisition.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due to an increase in annual base salary, and, to a lesser extent, an increase in variable compensation expense, partially offset by an increase in capitalized compensation costs related to development of internal-use software projects and a current period benefit due to a one-time restructuring charge recorded in the prior year period to drive organizational realignment. The increase in annual base salary was driven by annual merit increases and a net increase in employee headcount of 275.</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due to contracts acquired in connection with the acquisition of CGS.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primarily due to increased spend from our migration to cloud-based hosting services to support our transition to a hybrid cloud strategy, as well as expenses related to licensed software arrangements.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operating income increased 57.4% to $136.3 million during the six months ended February 28, 2023, compared with $86.6 million in the same period a year ago. This increase was primarily due to growth in revenues of 14.7%, a decrease in data costs and amortization of intangible assets, partially offset by an increase in employee compensation costs.</w:t>
      </w:r>
    </w:p>
    <w:p>
      <w:pPr>
        <w:spacing w:after="0" w:line="203" w:lineRule="exact"/>
        <w:rPr>
          <w:sz w:val="20"/>
          <w:szCs w:val="20"/>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Data costs decreased due to the release of certain accruals during the six months ended February 28, 2023 which related to the successful resolution of exchange audits that were set-up during the prior year period.</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decreased as certain acquired intangible assets were fully amortized during the third quarter of fiscal 2022.</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due to an increase in variable compensation, partially offset by a one-time restructuring charge recorded during the prior year period to drive organization realignment.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Asia Pacific operating income increased 38.5% to $76.2 million during the six months ended February 28, 2023, compared with $55.0 million in the same period a year ago. This increase was mainly due to growth in revenues of 19.2%, partially offset by an increase in employee compensation costs and travel expenses. Employee compensation expense increased primarily due to higher annual base salary driven by annual merit increases and a net headcount increase of 744. Travel expenses increased as we incurred non-compensatory employee-related costs related to return to office activities during the current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340" w:type="dxa"/>
            <w:vAlign w:val="bottom"/>
          </w:tcPr>
          <w:p>
            <w:pPr>
              <w:spacing w:after="0"/>
              <w:rPr>
                <w:sz w:val="19"/>
                <w:szCs w:val="19"/>
                <w:color w:val="auto"/>
              </w:rPr>
            </w:pPr>
          </w:p>
        </w:tc>
        <w:tc>
          <w:tcPr>
            <w:tcW w:w="22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160" w:type="dxa"/>
            <w:vAlign w:val="bottom"/>
          </w:tcPr>
          <w:p>
            <w:pPr>
              <w:spacing w:after="0"/>
              <w:rPr>
                <w:sz w:val="19"/>
                <w:szCs w:val="19"/>
                <w:color w:val="auto"/>
              </w:rPr>
            </w:pPr>
          </w:p>
        </w:tc>
        <w:tc>
          <w:tcPr>
            <w:tcW w:w="22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February 28,</w:t>
            </w:r>
          </w:p>
        </w:tc>
        <w:tc>
          <w:tcPr>
            <w:tcW w:w="1340" w:type="dxa"/>
            <w:vAlign w:val="bottom"/>
          </w:tcPr>
          <w:p>
            <w:pPr>
              <w:spacing w:after="0"/>
              <w:rPr>
                <w:sz w:val="19"/>
                <w:szCs w:val="19"/>
                <w:color w:val="auto"/>
              </w:rPr>
            </w:pPr>
          </w:p>
        </w:tc>
        <w:tc>
          <w:tcPr>
            <w:tcW w:w="228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February 28,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156,762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121,956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28.5 % $</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314,647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241,886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25,169</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12,018</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109.4 % $</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46,256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24,301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1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9.9 %</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62.9 %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February 28, 2023, the effective tax rate was 16.1% compared to 9.9% for the same period a year ago. For the six months ended February 28, 2023, the effective tax rate was 14.7% compared to 10.0% for the same period a year ago. For all periods presented, our effective tax rate was lower than the applicable U.S. corporate income tax rate mainly due to research and development ("R&amp;D") tax credits, a foreign derived intangible income ("FDII") deduction and a tax benefit from the exercise of stock options.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during the three and six months ended February 28, 2023 was higher than the rate during the respective prior year periods, due mainly to a decrease in the impact of tax attributes on the effective tax rate as a result of an increase in income, a lower tax benefit from the exercise of stock options and an increase in the U.K.'s enacted tax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Earnings per Share</w:t>
            </w: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24"/>
                <w:szCs w:val="24"/>
                <w:color w:val="auto"/>
              </w:rPr>
            </w:pPr>
          </w:p>
        </w:tc>
        <w:tc>
          <w:tcPr>
            <w:tcW w:w="18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Six Months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per share data)</w:t>
            </w:r>
          </w:p>
        </w:tc>
        <w:tc>
          <w:tcPr>
            <w:tcW w:w="760" w:type="dxa"/>
            <w:vAlign w:val="bottom"/>
          </w:tcPr>
          <w:p>
            <w:pPr>
              <w:spacing w:after="0"/>
              <w:rPr>
                <w:sz w:val="19"/>
                <w:szCs w:val="19"/>
                <w:color w:val="auto"/>
              </w:rPr>
            </w:pPr>
          </w:p>
        </w:tc>
        <w:tc>
          <w:tcPr>
            <w:tcW w:w="18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February 28,</w:t>
            </w:r>
          </w:p>
        </w:tc>
        <w:tc>
          <w:tcPr>
            <w:tcW w:w="1280" w:type="dxa"/>
            <w:vAlign w:val="bottom"/>
          </w:tcPr>
          <w:p>
            <w:pPr>
              <w:spacing w:after="0"/>
              <w:rPr>
                <w:sz w:val="19"/>
                <w:szCs w:val="19"/>
                <w:color w:val="auto"/>
              </w:rPr>
            </w:pPr>
          </w:p>
        </w:tc>
        <w:tc>
          <w:tcPr>
            <w:tcW w:w="18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February 28,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109,938</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217,585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38,761</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2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38,628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2023 compared with three months ended February 28, 2022</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income increased 19.7% to $131.6 million and EPS increased 19.0% to $3.38 for the three months ended February 28, 2023, compared with the same period a year ago. Net income and diluted EPS increased primarily due to higher operating income, partially offset by an increase in the provision for income taxes and an increase in interest expense as a result of higher outstanding debt, compared with the prior year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2023 compared with six months ended February 28, 2022</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23.3% to $268.4 million and diluted EPS increased 22.4% to $6.89 for the six months ended February 28, 2023, compared with the same period a year ago. Net income and diluted EPS increased primarily due to higher operating income, partially offset by an increase in interest expense as a result of higher outstanding debt and an increase in the provision for income taxes, compared with the prior year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and adjusted diluted earnings per share. The reconciliations from our 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revenues exclude the impact of the fair value of deferred revenues acquired in a business combination. Organic revenues further excludes revenues related to acquisitions and dispositions completed in the last 12 months and foreign currency movements in all periods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an unaudited reconciliation of revenues to adjusted revenues and organic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122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February 28,</w:t>
            </w: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February 28,</w:t>
            </w:r>
          </w:p>
        </w:tc>
        <w:tc>
          <w:tcPr>
            <w:tcW w:w="122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50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431,119</w:t>
            </w:r>
          </w:p>
        </w:tc>
        <w:tc>
          <w:tcPr>
            <w:tcW w:w="1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19.5 %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855,844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29"/>
        </w:trPr>
        <w:tc>
          <w:tcPr>
            <w:tcW w:w="38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Deferred revenues fair value adjustment</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Borders>
              <w:bottom w:val="single" w:sz="8" w:color="CCEEFF"/>
            </w:tcBorders>
          </w:tcPr>
          <w:p>
            <w:pPr>
              <w:spacing w:after="0"/>
              <w:rPr>
                <w:sz w:val="19"/>
                <w:szCs w:val="19"/>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431,057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855,868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r>
      <w:tr>
        <w:trPr>
          <w:trHeight w:val="229"/>
        </w:trPr>
        <w:tc>
          <w:tcPr>
            <w:tcW w:w="3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Acquired revenues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r>
      <w:tr>
        <w:trPr>
          <w:trHeight w:val="229"/>
        </w:trPr>
        <w:tc>
          <w:tcPr>
            <w:tcW w:w="3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469,547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431,057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929,407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855,868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bl>
    <w:p>
      <w:pPr>
        <w:spacing w:after="0" w:line="182" w:lineRule="exact"/>
        <w:rPr>
          <w:sz w:val="20"/>
          <w:szCs w:val="20"/>
          <w:color w:val="auto"/>
        </w:rPr>
      </w:pPr>
    </w:p>
    <w:p>
      <w:pPr>
        <w:jc w:val="both"/>
        <w:ind w:left="260" w:hanging="252"/>
        <w:spacing w:after="0" w:line="265" w:lineRule="auto"/>
        <w:tabs>
          <w:tab w:leader="none" w:pos="268"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Reflects the amortization effect of the purchase accounting adjustment related to the fair value of acquired deferred revenues for acquisitions prior to fiscal 2022. Acquisitions thereafter do not include this adjustment in accordance with our adoption of ASU No. 2021-08, Business Combinations: Accounting for Contract Assets and Contract Liabilities from Contracts with Customers (Topic 805).</w:t>
      </w:r>
    </w:p>
    <w:p>
      <w:pPr>
        <w:spacing w:after="0" w:line="79" w:lineRule="exact"/>
        <w:rPr>
          <w:rFonts w:ascii="Times New Roman" w:cs="Times New Roman" w:eastAsia="Times New Roman" w:hAnsi="Times New Roman"/>
          <w:sz w:val="16"/>
          <w:szCs w:val="16"/>
          <w:i w:val="1"/>
          <w:iCs w:val="1"/>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Revenues from acquisitions completed within the last 12 months.</w:t>
      </w:r>
    </w:p>
    <w:p>
      <w:pPr>
        <w:spacing w:after="0" w:line="113" w:lineRule="exact"/>
        <w:rPr>
          <w:rFonts w:ascii="Times New Roman" w:cs="Times New Roman" w:eastAsia="Times New Roman" w:hAnsi="Times New Roman"/>
          <w:sz w:val="16"/>
          <w:szCs w:val="16"/>
          <w:i w:val="1"/>
          <w:iCs w:val="1"/>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impact from foreign currency movements year over year.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earnings per share. Adjusted operating income and margin, adjusted net income, and adjusted diluted earnings per share exclude intangible asset amortization, the impact of the fair value of deferred revenues acquired in a business combination and non-recurring items. EBITDA excludes interest expense, provision for income taxes and depreciation and amortization expense, while Adjusted EBITDA further excludes non-recurring non-cash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Six Months Ended</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per share</w:t>
            </w:r>
          </w:p>
        </w:tc>
        <w:tc>
          <w:tcPr>
            <w:tcW w:w="280" w:type="dxa"/>
            <w:vAlign w:val="bottom"/>
          </w:tcPr>
          <w:p>
            <w:pPr>
              <w:spacing w:after="0"/>
              <w:rPr>
                <w:sz w:val="20"/>
                <w:szCs w:val="20"/>
                <w:color w:val="auto"/>
              </w:rPr>
            </w:pPr>
          </w:p>
        </w:tc>
        <w:tc>
          <w:tcPr>
            <w:tcW w:w="22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February 28,</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February 28,</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data)</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52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169,250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123,348</w:t>
            </w:r>
          </w:p>
        </w:tc>
        <w:tc>
          <w:tcPr>
            <w:tcW w:w="1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37.2 % $</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341,145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246,009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17,709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6,291</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35,717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12,343</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i w:val="1"/>
                <w:iCs w:val="1"/>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3,329</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5,048</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6,828</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5,048</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9,228</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i w:val="1"/>
                <w:iCs w:val="1"/>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9,734</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13,429</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3"/>
                <w:szCs w:val="23"/>
                <w:i w:val="1"/>
                <w:iCs w:val="1"/>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580</w:t>
            </w:r>
          </w:p>
        </w:tc>
        <w:tc>
          <w:tcPr>
            <w:tcW w:w="1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1,768</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190,721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145,139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384,123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287,849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i w:val="1"/>
                <w:iCs w:val="1"/>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131,593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109,938</w:t>
            </w:r>
          </w:p>
        </w:tc>
        <w:tc>
          <w:tcPr>
            <w:tcW w:w="1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19.7 %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268,391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217,585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14,717</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5,543</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30,294</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10,962</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i w:val="1"/>
                <w:iCs w:val="1"/>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4,448</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5,792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4,448</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8,261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i w:val="1"/>
                <w:iCs w:val="1"/>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8,578</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11,887</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3"/>
                <w:szCs w:val="23"/>
                <w:i w:val="1"/>
                <w:iCs w:val="1"/>
                <w:color w:val="auto"/>
                <w:vertAlign w:val="superscript"/>
              </w:rPr>
              <w:t>(3)</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512</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1,576</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(1,322)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(2,466)</w:t>
            </w:r>
          </w:p>
        </w:tc>
        <w:tc>
          <w:tcPr>
            <w:tcW w:w="1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(1,552)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(2,725)</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i w:val="1"/>
                <w:iCs w:val="1"/>
                <w:color w:val="auto"/>
                <w:vertAlign w:val="superscript"/>
              </w:rPr>
              <w:t>(5)</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148,114</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126,675</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303,285</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252,016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131,593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109,938</w:t>
            </w:r>
          </w:p>
        </w:tc>
        <w:tc>
          <w:tcPr>
            <w:tcW w:w="1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268,391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217,585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4B4B4B"/>
              </w:rPr>
              <w:t>23.3 %</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16,737</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1,962</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33,274</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3,934</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25,169</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12,018</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46,256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24,301</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26,211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13,395</w:t>
            </w: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52,208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32,827</w:t>
            </w: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199,710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137,313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400,129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278,647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i w:val="1"/>
                <w:iCs w:val="1"/>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9,734</w:t>
            </w:r>
          </w:p>
        </w:tc>
        <w:tc>
          <w:tcPr>
            <w:tcW w:w="1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13,429</w:t>
            </w: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199,710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147,047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400,129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292,076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2.84</w:t>
            </w:r>
          </w:p>
        </w:tc>
        <w:tc>
          <w:tcPr>
            <w:tcW w:w="1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19.0 % $</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6.89</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fair value adjustment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0.00</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0.14</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0.78</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0.28</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i w:val="1"/>
                <w:iCs w:val="1"/>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0.12</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charges</w:t>
            </w:r>
            <w:r>
              <w:rPr>
                <w:rFonts w:ascii="Times New Roman" w:cs="Times New Roman" w:eastAsia="Times New Roman" w:hAnsi="Times New Roman"/>
                <w:sz w:val="23"/>
                <w:szCs w:val="23"/>
                <w:i w:val="1"/>
                <w:iCs w:val="1"/>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0.22</w:t>
            </w: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0.31</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3"/>
                <w:szCs w:val="23"/>
                <w:i w:val="1"/>
                <w:iCs w:val="1"/>
                <w:color w:val="auto"/>
                <w:vertAlign w:val="superscript"/>
              </w:rPr>
              <w:t>(3)</w:t>
            </w:r>
          </w:p>
        </w:tc>
        <w:tc>
          <w:tcPr>
            <w:tcW w:w="2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0.04</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1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(0.07)</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earnings per common share</w:t>
            </w:r>
            <w:r>
              <w:rPr>
                <w:rFonts w:ascii="Times New Roman" w:cs="Times New Roman" w:eastAsia="Times New Roman" w:hAnsi="Times New Roman"/>
                <w:sz w:val="23"/>
                <w:szCs w:val="23"/>
                <w:i w:val="1"/>
                <w:iCs w:val="1"/>
                <w:color w:val="auto"/>
                <w:vertAlign w:val="superscript"/>
              </w:rPr>
              <w:t>(5)</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7.79</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6.52</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38,981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38,761</w:t>
            </w:r>
          </w:p>
        </w:tc>
        <w:tc>
          <w:tcPr>
            <w:tcW w:w="12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38,947</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38,628</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Related to integration costs of the CGS acquisition.</w:t>
      </w:r>
    </w:p>
    <w:p>
      <w:pPr>
        <w:spacing w:after="0" w:line="59" w:lineRule="exact"/>
        <w:rPr>
          <w:rFonts w:ascii="Times New Roman" w:cs="Times New Roman" w:eastAsia="Times New Roman" w:hAnsi="Times New Roman"/>
          <w:sz w:val="16"/>
          <w:szCs w:val="16"/>
          <w:i w:val="1"/>
          <w:iCs w:val="1"/>
          <w:color w:val="auto"/>
        </w:rPr>
      </w:pPr>
    </w:p>
    <w:p>
      <w:pPr>
        <w:ind w:left="260" w:hanging="252"/>
        <w:spacing w:after="0"/>
        <w:tabs>
          <w:tab w:leader="none" w:pos="260"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Related to impairment charges of our lease ROU assets and property, equipment and leasehold improvements associated with vacating certain leased office space.</w:t>
      </w:r>
    </w:p>
    <w:p>
      <w:pPr>
        <w:spacing w:after="0" w:line="59" w:lineRule="exact"/>
        <w:rPr>
          <w:rFonts w:ascii="Times New Roman" w:cs="Times New Roman" w:eastAsia="Times New Roman" w:hAnsi="Times New Roman"/>
          <w:sz w:val="16"/>
          <w:szCs w:val="16"/>
          <w:i w:val="1"/>
          <w:iCs w:val="1"/>
          <w:color w:val="auto"/>
        </w:rPr>
      </w:pPr>
    </w:p>
    <w:p>
      <w:pPr>
        <w:ind w:left="260" w:hanging="252"/>
        <w:spacing w:after="0"/>
        <w:tabs>
          <w:tab w:leader="none" w:pos="260"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Primarily related to professional fees associated with our ongoing multi-year investment plan.</w:t>
      </w:r>
    </w:p>
    <w:p>
      <w:pPr>
        <w:spacing w:after="0" w:line="72" w:lineRule="exact"/>
        <w:rPr>
          <w:rFonts w:ascii="Times New Roman" w:cs="Times New Roman" w:eastAsia="Times New Roman" w:hAnsi="Times New Roman"/>
          <w:sz w:val="16"/>
          <w:szCs w:val="16"/>
          <w:i w:val="1"/>
          <w:iCs w:val="1"/>
          <w:color w:val="auto"/>
        </w:rPr>
      </w:pPr>
    </w:p>
    <w:p>
      <w:pPr>
        <w:ind w:left="260" w:hanging="252"/>
        <w:spacing w:after="0"/>
        <w:tabs>
          <w:tab w:leader="none" w:pos="260" w:val="left"/>
        </w:tabs>
        <w:numPr>
          <w:ilvl w:val="0"/>
          <w:numId w:val="3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Adjusted operating margin is calculated as Adjusted operating income divided by Adjusted revenues as shown in the revenues reconciliation table above.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hanging="252"/>
        <w:spacing w:after="0" w:line="283" w:lineRule="auto"/>
        <w:tabs>
          <w:tab w:leader="none" w:pos="260" w:val="left"/>
        </w:tabs>
        <w:numPr>
          <w:ilvl w:val="0"/>
          <w:numId w:val="3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purposes of calculating Adjusted net income and Adjusted diluted earnings per share, all adjustments were taxed at the quarterly effective tax rates of 16.9% for fiscal 2023 and 11.9% for fiscal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long-term debt borrowings, have been sufficient to fund our operations while allowing us to invest in activities that support the long-term growth of our operations. Generally, some or all of the remaining available cash flow has been used to, among other things, service our existing and future debt obligations, satisfy our working capital requirements and fund our capital expenditures, acquisitions,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cash and cash equivalents held in financial institutions in the event of a default, to the extent that such amounts are in excess of applicable insurance limits; however, we do not believe our concentration of cash and cash equivalents presents a significant credit risk as the counterparties to the instruments consist of multiple high-quality, credit-worthy financial institutions.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&amp; Swap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2022 Revolving Facility using a pricing grid based on our senior unsecured non-credit enhanced long-term debt rating and our total leverage ratio. The commitment fee remained consistent at 0.125% from the borrowing date through February 28, 2023. During fiscal 2022, we incurred approximately $9.5 million in debt issuance costs related to the 2022 Credit Facilities.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borrowings under the 2019 Credit Agreement (as defined below) and to pay related transaction fees, costs and expenses.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and six months ended February 28, 2023, we repaid $125.0 million and $250.0 million, respectively, under the 2022 Term Facility, inclusive of voluntary prepayments of $112.5 million and $225.0 million, respectively. Since loan inception on March 1, 2022, we have repaid $500.0 million under the 2022 Term Facility, inclusive of voluntary prepayments of $462.5 million.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28, 2023, the outstanding borrowings under the 2022 Credit Facilities bore interest at a rate equal to the applicable one-month Term Secured Overnight Financing Rate ("SOFR") rate plus a 1.1% spread (comprised of a 1.0% interest rate margin based on a debt leverage pricing grid plus a 0.1% credit spread adjustment). The spread remained consistent from the borrowing date through February 28, 2023. Interest on the 2022 Credit Facilities is currently payable on the last business day of each month, in arrears.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4.00 to 1.00 as of February 28, 2023. We were in compliance with all covenants and requirements of the 2022 Credit Agreement as of February 28,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of this Quarterly Report on Form 10-Q for further discussion of the 2022 Credit Agreement.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Swap Agreement</w:t>
      </w:r>
    </w:p>
    <w:p>
      <w:pPr>
        <w:spacing w:after="0" w:line="189"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18"/>
          <w:szCs w:val="18"/>
          <w:color w:val="auto"/>
        </w:rPr>
        <w:t xml:space="preserve">On March 1, 2022, we entered into an interest rate swap agreement (the "2022 Swap Agreement") to hedge a portion of our outstanding floating SOFR rate debt with a fixed interest rate of 1.162%. Effective December 30, 2022, we apportioned the then-outstanding notional amount of the 2022 Swap Agreement between two counterparties.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of this Quarterly Report on Form 10-Q for more information on the 2022 Swap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 with the first payment made on September 1, 2022. The Senior Notes were issued at an aggregate discount of $2.8 million during fiscal 2022 and we incurred approximately $9.1 million in debt issuance costs.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29, 2019, we entered into a credit agreement with PNC Bank, National Association (the "2019 Credit Agreement"), and borrowed $575.0 million of the available $750.0 million provided by the revolving credit facility thereunder (the "2019 Revolving Credit Facility"). Borrowings under the 2019 Revolving Credit Facility bore interest on the outstanding principal amount at a rate equal to the daily LIBOR plus a spread using a debt leverage pricing grid. Interest on the amounts outstanding under the 2019 Revolving Credit Facility was payable quarterly, in arrears, and on the maturity date.</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of March 1, 2022, we repaid in full and terminated the 2019 Credit Agreement.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of this Quarterly Report on Form 10-Q for more information on the termination.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Shareholders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six months ended February 28, 2023 we returned $67.5 million to shareholders in the form of dividends and during the six months ended February 28, 2022, we returned $80.1 million in the form of share repurchases and dividends. Over the last 12 months, we returned $132.0 million to stockholders in the form of dividends, with no shares repurchased over this timeframe due to the suspension of our share repurchase program. Refer to the </w:t>
      </w:r>
      <w:r>
        <w:rPr>
          <w:rFonts w:ascii="Times New Roman" w:cs="Times New Roman" w:eastAsia="Times New Roman" w:hAnsi="Times New Roman"/>
          <w:sz w:val="18"/>
          <w:szCs w:val="18"/>
          <w:i w:val="1"/>
          <w:iCs w:val="1"/>
          <w:color w:val="auto"/>
        </w:rPr>
        <w:t xml:space="preserve">Share Repurchase Program </w:t>
      </w:r>
      <w:r>
        <w:rPr>
          <w:rFonts w:ascii="Times New Roman" w:cs="Times New Roman" w:eastAsia="Times New Roman" w:hAnsi="Times New Roman"/>
          <w:sz w:val="18"/>
          <w:szCs w:val="18"/>
          <w:color w:val="auto"/>
        </w:rPr>
        <w:t>below for more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2022, our Board of Directors approved an 8.5% increase in the regular quarterly dividend from $0.82 to $0.89 per share. Fiscal 2022 marked 23 consecutive fiscal years of dividend increases, highlighting our continued commitment to returning value to stockholders. During the six months ended February 28, 2023 and February 28, 2022, we paid dividends of $67.5 million and $61.4 million, respectively. Future dividends will depend on our earnings, capital requirements, financial condition and other factors considered relevant by us and are subject to final determination by our Board of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2023, $181.3 million remained authorized for future share repurchases under our share repurchase program. There is no defined number of shares to be repurchased over a specified timeframe through the life of the program. We may repurchase shares of our common stock under the program from time-to-time in the open market and privately negotiated transactions, subject to market conditions.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did not repurchase any shares of our common stock during the three months ended February 28, 2023 and February 28, 2022. We also did not repurchase any shares during the six months ended February 28, 2023 compared with 46,200 shares repurchased for $18.6 million during the same period in the prior fiscal year. Beginning in the second quarter of fiscal 2022, we suspended our share repurchase program until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allowed us to prioritize the repayment of debt under the 2022 Credit Facilities. We anticipate resuming the existing share repurchase program for the third and fourth quarters of fiscal 2023.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of this Quarterly Report on Form 10-Q for more information on the 2022 Credit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28, 2023, capital expenditures increased by 72.4% to $35.4 million, compared with $20.5 million during the same period a year ago. This increase was primarily due to higher expenditures related to the development of capitalized internal-use software.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CUSIP Global Services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the acquisition of CGS for a cash purchase price of $1.932 billion, inclusive of working capital adjustments. CGS manages a database of 60 different data elements uniquely identifying more than 50 million global financial instruments. It is the foundation for security master files relied on by critical front, middle and back-office functions. CGS, operating on behalf of the ABA, is the provider of CUSIP and CINS identifiers globally and also acts as the official numbering agency for ISIN identifiers in the United States and as a substitute number agency for more than 35 other countries. We believe that the CGS acquisition will significantly expand our critical role in the global capital markets.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Cobalt Software, Inc.</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12, 2021, we acquired all of the outstanding shares of Cobalt Software, Inc. ("Cobalt") for a purchase price of $50.0 million, net of cash acquired, and inclusive of working capital adjustments. Cobalt is a leading portfolio monitoring solutions provider for the private capital industry. This acquisition advances our strategy to scale our data and workflow solutions through targeted investments as part of our multi-year investment plan and expands our private markets offering.</w:t>
      </w:r>
    </w:p>
    <w:p>
      <w:pPr>
        <w:spacing w:after="0" w:line="137" w:lineRule="exact"/>
        <w:rPr>
          <w:sz w:val="20"/>
          <w:szCs w:val="20"/>
          <w:color w:val="auto"/>
        </w:rPr>
      </w:pPr>
    </w:p>
    <w:p>
      <w:pPr>
        <w:ind w:right="1120"/>
        <w:spacing w:after="0" w:line="462"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of this Quarterly Report on Form 10-Q for further discussion of the CGS and Cobalt acquisitions. </w:t>
      </w:r>
      <w:r>
        <w:rPr>
          <w:rFonts w:ascii="Times New Roman" w:cs="Times New Roman" w:eastAsia="Times New Roman" w:hAnsi="Times New Roman"/>
          <w:sz w:val="18"/>
          <w:szCs w:val="18"/>
          <w:b w:val="1"/>
          <w:bCs w:val="1"/>
          <w:color w:val="auto"/>
        </w:rPr>
        <w:t>Contractual Obligations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Our total purchase obligations as of August 31, 2022 primarily related to hosting services and acquisition of data, and, to a lesser extent, third-party software providers. Hosting services support our technology investments related to our transition to a hybrid cloud strategy, the majority of which rely on third-party hosting providers. Data is an integral component of the value we provide to our clients and our commitments to third-party software providers mainly include internal-use software licenses.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August 31, 2022, we had total purchase obligations with suppliers of $373.9 million. During the second quarter of fiscal 2023, we amended a contract with a data supplier that resulted in an incremental commitment to purchase data of approximately $26 million.</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of this Quarterly Report on Form 10-Q for information regarding lease commitments and outstanding debt obligations,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28, 2023, Cash and cash equivalents were $445.3 million, compared with $773.0 million as of February 28, 2022. Our cash and cash equivalents are held in numerous locations throughout the world, with $196.4 million in the Americas, $155.3 million in EMEA (predominantly in the U.K.) and the remaining $93.6 million in Asia Pacific (predominantly in India and the Philippines) as of February 28, 2023. We permanently reinvest all foreign unremitted earnings, except in jurisdictions where earnings can be repatriated substantially free of tax.</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for the periods indicated, provides selected cash flow information:</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(46,305)</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(285,654)</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981.3 %</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(57,947)</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February 28, 2023, net cash provided by operating activities was $271.3 million, which included net income of $268.4 million, non-cash charges of $93.6 million and a net cash outflow of $90.6 million to support our working capital requirements. The non-cash charges were primarily driven by $52.2 million of depreciation and amortization, $27.5 million of stock-based compensation expense and $19.6 million from amortization of lease ROU assets. The change in our working capital was primarily driven by higher accounts receivable due to increased sales, an increase in days sales outstanding and a cash outflow of $51.7 million related to our variable compensation payment.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February 28, 2022, net cash provided by operating activities was $195.0 million, which consisted of net income of $217.6 million, non-cash charges of $91.7 million and a net cash outflow of $114.3 million to support our working capital requirements. The non-cash charges were primarily driven by $32.8 million of depreciation and amortization, $25.9 million of stock-based compensation expense and $22.2 million from amortization of lease ROU assets. The change in our working capital was primarily driven by higher accounts receivable due to an increase in sales and a cash outflow of $34.7 million related to our variable compensation payment.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2023, net cash used in investing activities was $46.3 million. The cash used in investing activities was primarily due to an increase in capital expenditures of $35.4 million mainly due to capitalization of compensation costs related to development of our internal-use software projects.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28, 2022, net cash used in investing activities was $70.8 million. The cash used in investing activities was primarily due to the purchase of Cobalt for $50.0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2023, net cash used in financing activities was $285.7 million, consisting mainly of $250.0 million related to the partial repayment of the 2022 Term Facility and $67.5 million of dividend payments, partially offset by $43.6 million of proceeds from employee stock plans.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28, 2022, net cash used in financing activities was $26.4 million, consisting mainly of $61.4 million of dividend payments and $18.6 million of repurchases of common stock, partially offset by $56.9 million of proceeds from employee stock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leasehold improvements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shareholders,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28,</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271,314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76,362</w:t>
            </w:r>
          </w:p>
        </w:tc>
        <w:tc>
          <w:tcPr>
            <w:tcW w:w="0" w:type="dxa"/>
            <w:vAlign w:val="bottom"/>
          </w:tcPr>
          <w:p>
            <w:pPr>
              <w:spacing w:after="0"/>
              <w:rPr>
                <w:sz w:val="1"/>
                <w:szCs w:val="1"/>
                <w:color w:val="auto"/>
              </w:rPr>
            </w:pP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internal-use</w:t>
            </w:r>
          </w:p>
        </w:tc>
        <w:tc>
          <w:tcPr>
            <w:tcW w:w="340" w:type="dxa"/>
            <w:vAlign w:val="bottom"/>
          </w:tcPr>
          <w:p>
            <w:pPr>
              <w:spacing w:after="0"/>
              <w:rPr>
                <w:sz w:val="15"/>
                <w:szCs w:val="15"/>
                <w:color w:val="auto"/>
              </w:rPr>
            </w:pPr>
          </w:p>
        </w:tc>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(35,416)</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(20,546)</w:t>
            </w:r>
          </w:p>
        </w:tc>
        <w:tc>
          <w:tcPr>
            <w:tcW w:w="300" w:type="dxa"/>
            <w:vAlign w:val="bottom"/>
          </w:tcPr>
          <w:p>
            <w:pPr>
              <w:spacing w:after="0"/>
              <w:rPr>
                <w:sz w:val="15"/>
                <w:szCs w:val="15"/>
                <w:color w:val="auto"/>
              </w:rPr>
            </w:pPr>
          </w:p>
        </w:tc>
        <w:tc>
          <w:tcPr>
            <w:tcW w:w="118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color w:val="auto"/>
              </w:rPr>
              <w:t>(14,870)</w:t>
            </w:r>
          </w:p>
        </w:tc>
        <w:tc>
          <w:tcPr>
            <w:tcW w:w="0" w:type="dxa"/>
            <w:vAlign w:val="bottom"/>
          </w:tcPr>
          <w:p>
            <w:pPr>
              <w:spacing w:after="0"/>
              <w:rPr>
                <w:sz w:val="1"/>
                <w:szCs w:val="1"/>
                <w:color w:val="auto"/>
              </w:rPr>
            </w:pPr>
          </w:p>
        </w:tc>
      </w:tr>
      <w:tr>
        <w:trPr>
          <w:trHeight w:val="149"/>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820" w:type="dxa"/>
            <w:vAlign w:val="bottom"/>
            <w:tcBorders>
              <w:bottom w:val="single" w:sz="8" w:color="CCEEFF"/>
            </w:tcBorders>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235,898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174,406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61,492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generated free cash flow of $235.9 million during the six months ended February 28, 2023, an increase of $61.5 million compared with the same period a year ago. This change reflects a $76.4 million increase in cash provided by operating activities, mainly due to higher net income and lower working capital requirements, partially offset by a $14.9 million increase in purchases of property, equipment, leasehold improvements and capitalized internal-use software, primarily driven by higher capitalized costs related to internal-use software.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2023 and August 31, 2022,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To mitigate this foreign currency exposure, we entered into a series of forward contracts to hedge a portion of our foreign currency risk related to the British Pound Sterling, Indian Rupee, Euro and Philippine Peso. As of February 28, 2023, these forward contracts hedge a portion of our foreign currency transaction exposure ranging from 25% to 75%, over their respective hedged periods, which are set to mature at various points between the third quarter of fiscal 2023 through the second quarter of fiscal 2024.</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gross notional value of foreign currency forward contracts to purchase the British Pound Sterling, Euro, Indian Rupee and Philippine Peso with U.S.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0" w:type="dxa"/>
            <w:vAlign w:val="bottom"/>
          </w:tcPr>
          <w:p>
            <w:pPr>
              <w:spacing w:after="0"/>
              <w:rPr>
                <w:sz w:val="19"/>
                <w:szCs w:val="19"/>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 2023</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August 31, 2022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Local Currency</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USD</w:t>
            </w: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Local Currency</w:t>
            </w:r>
          </w:p>
        </w:tc>
        <w:tc>
          <w:tcPr>
            <w:tcW w:w="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USD</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55,491</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55,567</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4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39,877</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6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4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2,987,143</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2,667,928</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1,767,455</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1,462,060</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163,168</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156,846</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the MD&amp;A of this Quarterly Report on Form 10-Q for the reclassification of the foreign currency forward contracts gain (loss) from AOCL into income and the impact of foreign currency exchange rate fluctuations, net of hedge activity, to operating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Notes included in Item 8 of our Annual Report on Form 10-K for the fiscal year ended August 31, 2022. These accounting policies were consistently applied in preparing our Consolidated Financial Statements for the six months ended February 28, 2023.</w:t>
      </w:r>
    </w:p>
    <w:p>
      <w:pPr>
        <w:spacing w:after="0" w:line="14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in the MD&amp;A of our Annual Report on Form 10-K for the fiscal year ended August 31, 2022. There were no significant changes in our critical accounting estimates during the six months ended February 28,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of this Quarterly Report on Form 10-Q for a full description of recent accounting pronouncements, including the expected dates of adoption, which we include herein by reference.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modify materially or change our financial risk management strategies with respect to our exposures to foreign currency exchange risk or interest rate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our financial condition, results of operations and cash flows could be impacted by changes in foreign currency exchange rates. To mitigate the volatility and uncertainty of our exchange rate risk, we entered into foreign currency forward contracts with major institutions related to our primary currencies of the British Pound Sterling, Indian Rupee, Euro and Philippine Peso. As of February 28, 2023, these forward contracts hedge a portion of our foreign currency transaction exposure ranging from 25% to 75% over their respective hedged periods. We do not enter into cash flow hedges for trading or speculative purposes.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foreign currency forward contracts gain (loss) reclassified from AOCL into income and the impact of foreign currency exchange rate fluctuations, net of hedge activity, to operating income.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9"/>
                <w:szCs w:val="19"/>
                <w:color w:val="auto"/>
              </w:rPr>
            </w:pPr>
          </w:p>
        </w:tc>
        <w:tc>
          <w:tcPr>
            <w:tcW w:w="22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224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February 28,</w:t>
            </w:r>
          </w:p>
        </w:tc>
        <w:tc>
          <w:tcPr>
            <w:tcW w:w="280" w:type="dxa"/>
            <w:vAlign w:val="bottom"/>
          </w:tcPr>
          <w:p>
            <w:pPr>
              <w:spacing w:after="0"/>
              <w:rPr>
                <w:sz w:val="19"/>
                <w:szCs w:val="19"/>
                <w:color w:val="auto"/>
              </w:rPr>
            </w:pPr>
          </w:p>
        </w:tc>
        <w:tc>
          <w:tcPr>
            <w:tcW w:w="22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234"/>
        </w:trPr>
        <w:tc>
          <w:tcPr>
            <w:tcW w:w="61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gain (loss) reclassified from AOCL into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(5,244)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179"/>
        </w:trPr>
        <w:tc>
          <w:tcPr>
            <w:tcW w:w="618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Foreign currency exchange rate fluctuations increase (decrease) to operating</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w:t>
            </w:r>
            <w:r>
              <w:rPr>
                <w:rFonts w:ascii="Times New Roman" w:cs="Times New Roman" w:eastAsia="Times New Roman" w:hAnsi="Times New Roman"/>
                <w:sz w:val="23"/>
                <w:szCs w:val="23"/>
                <w:i w:val="1"/>
                <w:iCs w:val="1"/>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16,299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 Impact to operating income is net of hedge activity.</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February 28, 2023, relative to the other foreign currencies in which we transact. Based on the financial results for the six months ended February 28, 2023, the fair value of our outstanding forward contracts would have increased by $15.9 million and our operating income, excluding these forward contracts, would have decreased by $21.6 million.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of this Quarterly Report for more information on our foreign currency exposures and our foreign currency forward contracts.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Risk</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60" w:type="dxa"/>
            <w:vAlign w:val="bottom"/>
          </w:tcPr>
          <w:p>
            <w:pPr>
              <w:spacing w:after="0"/>
              <w:rPr>
                <w:sz w:val="19"/>
                <w:szCs w:val="19"/>
                <w:color w:val="auto"/>
              </w:rPr>
            </w:pPr>
          </w:p>
        </w:tc>
        <w:tc>
          <w:tcPr>
            <w:tcW w:w="35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9"/>
                <w:szCs w:val="19"/>
                <w:color w:val="auto"/>
              </w:rPr>
            </w:pPr>
          </w:p>
        </w:tc>
        <w:tc>
          <w:tcPr>
            <w:tcW w:w="24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February 28,</w:t>
            </w:r>
          </w:p>
        </w:tc>
        <w:tc>
          <w:tcPr>
            <w:tcW w:w="900" w:type="dxa"/>
            <w:vAlign w:val="bottom"/>
          </w:tcPr>
          <w:p>
            <w:pPr>
              <w:spacing w:after="0"/>
              <w:rPr>
                <w:sz w:val="20"/>
                <w:szCs w:val="20"/>
                <w:color w:val="auto"/>
              </w:rPr>
            </w:pPr>
          </w:p>
        </w:tc>
      </w:tr>
      <w:tr>
        <w:trPr>
          <w:trHeight w:val="270"/>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2022</w:t>
            </w:r>
          </w:p>
        </w:tc>
      </w:tr>
      <w:tr>
        <w:trPr>
          <w:trHeight w:val="223"/>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16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3,070 $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11,839 $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February 28, 2023, we had Cash and cash equivalents of $445.3 million and Investments of $32.0 million. Our Cash and cash equivalents consist of cash and highly liquid investments including demand deposits and money market funds, and our Investments consist of mutual funds. We are exposed to interest rate risk through fluctuations of interest rates on our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the Notes included in Item 8. of our Annual Report on Form 10-K for more information on our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February 28, 2023, our outstanding variable interest rate debt included $500.0 million under the 2022 Term Facility and $250.0 million under the 2022 Revolving Facility. During the six months ended February 28, 2023, the outstanding borrowings under the 2022 Credit Facilities bore interest at a rate equal to the applicable one-month Term SOFR rate plus a spread using a debt leverage pricing grid, currently at 1.1% (comprised of a 1.0% interest rate margin based on a debt leverage pricing grid plus a 0.1% credit spread adjustment). The spread remained consistent from the date of borrowing through February 28, 2023.</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variable rate of interest on our debt creates exposure to interest rate volatility due to changes in SOFR. To mitigate this exposure, on March 1, 2022, we entered into the 2022 Swap Agreement to hedge a portion of our outstanding floating SOFR rate debt with a fixed interest rate of 1.162%, to maintain an intended fixed to floating interest rate ratio. The notional amount of the 2022 Swap Agreement declines by $100.0 million on a quarterly basis. Effective December 30, 2022, we apportioned the then-outstanding notional amount of the 2022 Swap Agreement between two counterparties. As of February 28, 2023, the notional amount of the 2022 Swap Agreement was $400.0 million, maturing on February 28, 2024.</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exposure is limited to fluctuations in SOFR on our borrowings from the 2022 Credit Facilities in excess of amounts that are not hedged, or $350.0 million of our outstanding principal balance. Assuming all terms of our outstanding long-term debt remained the same, a hypothetical 25 basis point change (up or down) in the one-month SOFR would create an exposure of $0.9 million to our annual interest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of this Quarterly Report on Form 10-Q for more information on our 2022 Term Facility and 2022 Revolving Facility.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of this Quarterly Report on Form 10-Q for more information on our 2022 Swap Agreement.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As permitted by SEC guidance, that specifies an assessment of internal controls over financial reporting of a recently acquired business may be excluded from management's evaluation of disclosure controls and procedures for up to a year from the date of acquisition, we have excluded CGS from management's assessment on internal control over financial reporting for the six months ended February 28, 2023. We will continue to evaluate the effectiveness of internal controls over financial reporting as we complete the integration of CGS. CGS represented 9% of our consolidated revenues for the three and six months ended February 28, 2023, and, excluding goodwill and intangible assets, CGS represented 5% percent of our total assets as of February 28, 2023.</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evaluation, our Principal Executive Officer and Principal Financial Officer have concluded that our disclosure controls and procedures, excluding those related to CGS, were effective as of the end of the period covered by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three and six months ended February 28, 2023 that have materially affected, or are reasonably likely to materially affect, our internal control over financial reporting.</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this Quarterly Report on Form 10-Q is incorporated by reference in answer to this Item.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identified in our Annual Report on Form 10-K for the fiscal year ended August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February 28, 2023:</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of Shares (or</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 Number of</w:t>
            </w:r>
          </w:p>
        </w:tc>
        <w:tc>
          <w:tcPr>
            <w:tcW w:w="280" w:type="dxa"/>
            <w:vAlign w:val="bottom"/>
          </w:tcPr>
          <w:p>
            <w:pPr>
              <w:spacing w:after="0"/>
              <w:rPr>
                <w:sz w:val="15"/>
                <w:szCs w:val="15"/>
                <w:color w:val="auto"/>
              </w:rPr>
            </w:pPr>
          </w:p>
        </w:tc>
        <w:tc>
          <w:tcPr>
            <w:tcW w:w="16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Average Price</w:t>
            </w:r>
          </w:p>
        </w:tc>
        <w:tc>
          <w:tcPr>
            <w:tcW w:w="2300" w:type="dxa"/>
            <w:vAlign w:val="bottom"/>
            <w:gridSpan w:val="3"/>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24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88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320" w:type="dxa"/>
            <w:vAlign w:val="bottom"/>
          </w:tcPr>
          <w:p>
            <w:pPr>
              <w:spacing w:after="0"/>
              <w:rPr>
                <w:sz w:val="15"/>
                <w:szCs w:val="15"/>
                <w:color w:val="auto"/>
              </w:rPr>
            </w:pPr>
          </w:p>
        </w:tc>
        <w:tc>
          <w:tcPr>
            <w:tcW w:w="25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that May Yet be Purchased Under</w:t>
            </w:r>
          </w:p>
        </w:tc>
        <w:tc>
          <w:tcPr>
            <w:tcW w:w="0" w:type="dxa"/>
            <w:vAlign w:val="bottom"/>
          </w:tcPr>
          <w:p>
            <w:pPr>
              <w:spacing w:after="0"/>
              <w:rPr>
                <w:sz w:val="1"/>
                <w:szCs w:val="1"/>
                <w:color w:val="auto"/>
              </w:rPr>
            </w:pPr>
          </w:p>
        </w:tc>
      </w:tr>
      <w:tr>
        <w:trPr>
          <w:trHeight w:val="243"/>
        </w:trPr>
        <w:tc>
          <w:tcPr>
            <w:tcW w:w="1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10"/>
                <w:szCs w:val="10"/>
                <w:i w:val="1"/>
                <w:iCs w:val="1"/>
                <w:color w:val="auto"/>
              </w:rPr>
              <w:t>(1)</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Paid per Share</w:t>
            </w:r>
          </w:p>
        </w:tc>
        <w:tc>
          <w:tcPr>
            <w:tcW w:w="18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3"/>
              </w:rPr>
              <w:t>Programs</w:t>
            </w:r>
            <w:r>
              <w:rPr>
                <w:rFonts w:ascii="Times New Roman" w:cs="Times New Roman" w:eastAsia="Times New Roman" w:hAnsi="Times New Roman"/>
                <w:sz w:val="21"/>
                <w:szCs w:val="21"/>
                <w:i w:val="1"/>
                <w:iCs w:val="1"/>
                <w:color w:val="auto"/>
                <w:w w:val="93"/>
                <w:vertAlign w:val="superscript"/>
              </w:rPr>
              <w:t>(2)</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the Plans or Programs (in US$)</w:t>
            </w:r>
            <w:r>
              <w:rPr>
                <w:rFonts w:ascii="Times New Roman" w:cs="Times New Roman" w:eastAsia="Times New Roman" w:hAnsi="Times New Roman"/>
                <w:sz w:val="21"/>
                <w:szCs w:val="21"/>
                <w:i w:val="1"/>
                <w:iCs w:val="1"/>
                <w:color w:val="auto"/>
                <w:w w:val="98"/>
                <w:vertAlign w:val="superscript"/>
              </w:rPr>
              <w:t>(2)</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2022</w:t>
            </w:r>
          </w:p>
        </w:tc>
        <w:tc>
          <w:tcPr>
            <w:tcW w:w="2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30"/>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2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426.55</w:t>
            </w:r>
          </w:p>
        </w:tc>
        <w:tc>
          <w:tcPr>
            <w:tcW w:w="1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181,254</w:t>
            </w:r>
          </w:p>
        </w:tc>
        <w:tc>
          <w:tcPr>
            <w:tcW w:w="0" w:type="dxa"/>
            <w:vAlign w:val="bottom"/>
          </w:tcPr>
          <w:p>
            <w:pPr>
              <w:spacing w:after="0"/>
              <w:rPr>
                <w:sz w:val="1"/>
                <w:szCs w:val="1"/>
                <w:color w:val="auto"/>
              </w:rPr>
            </w:pPr>
          </w:p>
        </w:tc>
      </w:tr>
      <w:tr>
        <w:trPr>
          <w:trHeight w:val="228"/>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Relates to shares repurchased to satisfy withholding tax obligations due upon the vesting or exercise of stock-based awards.</w:t>
      </w:r>
    </w:p>
    <w:p>
      <w:pPr>
        <w:spacing w:after="0" w:line="200" w:lineRule="exact"/>
        <w:rPr>
          <w:rFonts w:ascii="Times New Roman" w:cs="Times New Roman" w:eastAsia="Times New Roman" w:hAnsi="Times New Roman"/>
          <w:sz w:val="16"/>
          <w:szCs w:val="16"/>
          <w:i w:val="1"/>
          <w:iCs w:val="1"/>
          <w:color w:val="auto"/>
        </w:rPr>
      </w:pPr>
    </w:p>
    <w:p>
      <w:pPr>
        <w:spacing w:after="0" w:line="369" w:lineRule="exact"/>
        <w:rPr>
          <w:rFonts w:ascii="Times New Roman" w:cs="Times New Roman" w:eastAsia="Times New Roman" w:hAnsi="Times New Roman"/>
          <w:sz w:val="16"/>
          <w:szCs w:val="16"/>
          <w:i w:val="1"/>
          <w:iCs w:val="1"/>
          <w:color w:val="auto"/>
        </w:rPr>
      </w:pPr>
    </w:p>
    <w:p>
      <w:pPr>
        <w:ind w:left="554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hanging="328"/>
        <w:spacing w:after="0" w:line="260" w:lineRule="auto"/>
        <w:tabs>
          <w:tab w:leader="none" w:pos="660" w:val="left"/>
        </w:tabs>
        <w:numPr>
          <w:ilvl w:val="0"/>
          <w:numId w:val="3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As of February 28, 2023, a total of </w:t>
      </w:r>
      <w:r>
        <w:rPr>
          <w:rFonts w:ascii="Times New Roman" w:cs="Times New Roman" w:eastAsia="Times New Roman" w:hAnsi="Times New Roman"/>
          <w:sz w:val="17"/>
          <w:szCs w:val="17"/>
          <w:i w:val="1"/>
          <w:iCs w:val="1"/>
          <w:color w:val="auto"/>
        </w:rPr>
        <w:t>$181.3</w:t>
      </w:r>
      <w:r>
        <w:rPr>
          <w:rFonts w:ascii="Times New Roman" w:cs="Times New Roman" w:eastAsia="Times New Roman" w:hAnsi="Times New Roman"/>
          <w:sz w:val="16"/>
          <w:szCs w:val="16"/>
          <w:i w:val="1"/>
          <w:iCs w:val="1"/>
          <w:color w:val="auto"/>
        </w:rPr>
        <w:t xml:space="preserve"> million remained available for future share repurchases under our existing share repurchase program. Repurchases may be made from time to time in the open market and privately negotiated transactions, subject to market conditions. No minimum number of shares to be repurchased has been fixed. There is no timeframe to complete the share repurchase program and it is expected that share repurchases will be paid using existing and future cash generated by operations. Beginning in the second quarter of fiscal 2022, we suspended our share repurchase program until at least the second half of fiscal 2023, with the exception of potential minor repurchases to offset dilution from grants of equity awards or repurchases to satisfy withholding tax obligations due upon the vesting of stock-based awards. The suspension of our share repurchase program allowed us to prioritize the repayment of debt under the 2022 Credit Facilities. We anticipate resuming the existing share repurchase program for the third and fourth quarters of fiscal 2023. Refer to Note 11, Debt in the Notes of this Quarterly Report on Form 10-Q for more information on the 2022 Credit Facilities.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6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50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72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0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10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Exhibit No.</w:t>
            </w:r>
          </w:p>
        </w:tc>
        <w:tc>
          <w:tcPr>
            <w:tcW w:w="210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Filing Date   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Description</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187"/>
        </w:trPr>
        <w:tc>
          <w:tcPr>
            <w:tcW w:w="360" w:type="dxa"/>
            <w:vAlign w:val="bottom"/>
            <w:tcBorders>
              <w:left w:val="single" w:sz="8" w:color="auto"/>
            </w:tcBorders>
            <w:gridSpan w:val="3"/>
            <w:vMerge w:val="restart"/>
          </w:tcPr>
          <w:p>
            <w:pPr>
              <w:ind w:left="40"/>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3.1</w:t>
              </w:r>
            </w:hyperlink>
          </w:p>
        </w:tc>
        <w:tc>
          <w:tcPr>
            <w:tcW w:w="900" w:type="dxa"/>
            <w:vAlign w:val="bottom"/>
          </w:tcPr>
          <w:p>
            <w:pPr>
              <w:spacing w:after="0"/>
              <w:rPr>
                <w:sz w:val="16"/>
                <w:szCs w:val="16"/>
                <w:color w:val="auto"/>
              </w:rPr>
            </w:pPr>
          </w:p>
        </w:tc>
        <w:tc>
          <w:tcPr>
            <w:tcW w:w="5040" w:type="dxa"/>
            <w:vAlign w:val="bottom"/>
          </w:tcPr>
          <w:p>
            <w:pPr>
              <w:ind w:left="80"/>
              <w:spacing w:after="0" w:line="187" w:lineRule="exact"/>
              <w:rPr>
                <w:sz w:val="20"/>
                <w:szCs w:val="20"/>
                <w:color w:val="auto"/>
              </w:rPr>
            </w:pPr>
            <w:r>
              <w:rPr>
                <w:rFonts w:ascii="Times New Roman" w:cs="Times New Roman" w:eastAsia="Times New Roman" w:hAnsi="Times New Roman"/>
                <w:sz w:val="18"/>
                <w:szCs w:val="18"/>
                <w:color w:val="auto"/>
              </w:rPr>
              <w:t>FactSet Research Systems Inc. Second Amended and Restated</w:t>
            </w:r>
          </w:p>
        </w:tc>
        <w:tc>
          <w:tcPr>
            <w:tcW w:w="7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001-11869</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210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1/10/2023</w:t>
            </w:r>
          </w:p>
        </w:tc>
        <w:tc>
          <w:tcPr>
            <w:tcW w:w="0" w:type="dxa"/>
            <w:vAlign w:val="bottom"/>
          </w:tcPr>
          <w:p>
            <w:pPr>
              <w:spacing w:after="0"/>
              <w:rPr>
                <w:sz w:val="1"/>
                <w:szCs w:val="1"/>
                <w:color w:val="auto"/>
              </w:rPr>
            </w:pPr>
          </w:p>
        </w:tc>
      </w:tr>
      <w:tr>
        <w:trPr>
          <w:trHeight w:val="108"/>
        </w:trPr>
        <w:tc>
          <w:tcPr>
            <w:tcW w:w="360" w:type="dxa"/>
            <w:vAlign w:val="bottom"/>
            <w:tcBorders>
              <w:left w:val="single" w:sz="8" w:color="auto"/>
            </w:tcBorders>
            <w:gridSpan w:val="3"/>
            <w:vMerge w:val="continue"/>
          </w:tcPr>
          <w:p>
            <w:pPr>
              <w:spacing w:after="0"/>
              <w:rPr>
                <w:sz w:val="9"/>
                <w:szCs w:val="9"/>
                <w:color w:val="auto"/>
              </w:rPr>
            </w:pPr>
          </w:p>
        </w:tc>
        <w:tc>
          <w:tcPr>
            <w:tcW w:w="900" w:type="dxa"/>
            <w:vAlign w:val="bottom"/>
          </w:tcPr>
          <w:p>
            <w:pPr>
              <w:spacing w:after="0"/>
              <w:rPr>
                <w:sz w:val="9"/>
                <w:szCs w:val="9"/>
                <w:color w:val="auto"/>
              </w:rPr>
            </w:pP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Articles of Incorporation</w:t>
            </w:r>
          </w:p>
        </w:tc>
        <w:tc>
          <w:tcPr>
            <w:tcW w:w="7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1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60" w:type="dxa"/>
            <w:vAlign w:val="bottom"/>
            <w:tcBorders>
              <w:left w:val="single" w:sz="8" w:color="auto"/>
            </w:tcBorders>
            <w:gridSpan w:val="3"/>
          </w:tcPr>
          <w:p>
            <w:pPr>
              <w:ind w:left="40"/>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3.2</w:t>
              </w:r>
            </w:hyperlink>
          </w:p>
        </w:tc>
        <w:tc>
          <w:tcPr>
            <w:tcW w:w="900" w:type="dxa"/>
            <w:vAlign w:val="bottom"/>
          </w:tcPr>
          <w:p>
            <w:pPr>
              <w:spacing w:after="0"/>
              <w:rPr>
                <w:sz w:val="24"/>
                <w:szCs w:val="24"/>
                <w:color w:val="auto"/>
              </w:rPr>
            </w:pP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FactSet Research Systems Inc. Amended and Restated By-Laws</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001-11869</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w:t>
            </w:r>
          </w:p>
        </w:tc>
        <w:tc>
          <w:tcPr>
            <w:tcW w:w="21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1/10/2023</w:t>
            </w:r>
          </w:p>
        </w:tc>
        <w:tc>
          <w:tcPr>
            <w:tcW w:w="0" w:type="dxa"/>
            <w:vAlign w:val="bottom"/>
          </w:tcPr>
          <w:p>
            <w:pPr>
              <w:spacing w:after="0"/>
              <w:rPr>
                <w:sz w:val="1"/>
                <w:szCs w:val="1"/>
                <w:color w:val="auto"/>
              </w:rPr>
            </w:pPr>
          </w:p>
        </w:tc>
      </w:tr>
      <w:tr>
        <w:trPr>
          <w:trHeight w:val="129"/>
        </w:trPr>
        <w:tc>
          <w:tcPr>
            <w:tcW w:w="40" w:type="dxa"/>
            <w:vAlign w:val="bottom"/>
            <w:tcBorders>
              <w:left w:val="single" w:sz="8" w:color="auto"/>
              <w:bottom w:val="single" w:sz="8" w:color="auto"/>
            </w:tcBorders>
          </w:tcPr>
          <w:p>
            <w:pPr>
              <w:spacing w:after="0"/>
              <w:rPr>
                <w:sz w:val="11"/>
                <w:szCs w:val="11"/>
                <w:color w:val="auto"/>
              </w:rPr>
            </w:pPr>
          </w:p>
        </w:tc>
        <w:tc>
          <w:tcPr>
            <w:tcW w:w="220" w:type="dxa"/>
            <w:vAlign w:val="bottom"/>
            <w:tcBorders>
              <w:top w:val="single" w:sz="8" w:color="0000FF"/>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0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Executive Officer pursuant to Rule 13a-</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4"/>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220" w:type="dxa"/>
            <w:vAlign w:val="bottom"/>
            <w:tcBorders>
              <w:top w:val="single" w:sz="8" w:color="0000FF"/>
              <w:bottom w:val="single" w:sz="8" w:color="auto"/>
            </w:tcBorders>
          </w:tcPr>
          <w:p>
            <w:pPr>
              <w:spacing w:after="0"/>
              <w:rPr>
                <w:sz w:val="18"/>
                <w:szCs w:val="18"/>
                <w:color w:val="auto"/>
              </w:rPr>
            </w:pPr>
          </w:p>
        </w:tc>
        <w:tc>
          <w:tcPr>
            <w:tcW w:w="10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Rule 13a-</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4"/>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220" w:type="dxa"/>
            <w:vAlign w:val="bottom"/>
            <w:tcBorders>
              <w:top w:val="single" w:sz="8" w:color="0000FF"/>
              <w:bottom w:val="single" w:sz="8" w:color="auto"/>
            </w:tcBorders>
          </w:tcPr>
          <w:p>
            <w:pPr>
              <w:spacing w:after="0"/>
              <w:rPr>
                <w:sz w:val="18"/>
                <w:szCs w:val="18"/>
                <w:color w:val="auto"/>
              </w:rPr>
            </w:pPr>
          </w:p>
        </w:tc>
        <w:tc>
          <w:tcPr>
            <w:tcW w:w="10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Executive Officer pursuant to 18 U.S.C.</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4"/>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220" w:type="dxa"/>
            <w:vAlign w:val="bottom"/>
            <w:tcBorders>
              <w:top w:val="single" w:sz="8" w:color="0000FF"/>
              <w:bottom w:val="single" w:sz="8" w:color="auto"/>
            </w:tcBorders>
          </w:tcPr>
          <w:p>
            <w:pPr>
              <w:spacing w:after="0"/>
              <w:rPr>
                <w:sz w:val="18"/>
                <w:szCs w:val="18"/>
                <w:color w:val="auto"/>
              </w:rPr>
            </w:pPr>
          </w:p>
        </w:tc>
        <w:tc>
          <w:tcPr>
            <w:tcW w:w="10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8"/>
                <w:szCs w:val="18"/>
                <w:color w:val="0000FF"/>
              </w:rPr>
              <w:t>32.2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4"/>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220" w:type="dxa"/>
            <w:vAlign w:val="bottom"/>
            <w:tcBorders>
              <w:top w:val="single" w:sz="8" w:color="0000FF"/>
              <w:bottom w:val="single" w:sz="8" w:color="auto"/>
            </w:tcBorders>
          </w:tcPr>
          <w:p>
            <w:pPr>
              <w:spacing w:after="0"/>
              <w:rPr>
                <w:sz w:val="18"/>
                <w:szCs w:val="18"/>
                <w:color w:val="auto"/>
              </w:rPr>
            </w:pPr>
          </w:p>
        </w:tc>
        <w:tc>
          <w:tcPr>
            <w:tcW w:w="10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14"/>
                <w:szCs w:val="14"/>
                <w:color w:val="auto"/>
              </w:rPr>
            </w:pP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00" w:type="dxa"/>
            <w:vAlign w:val="bottom"/>
            <w:tcBorders>
              <w:right w:val="single" w:sz="8" w:color="auto"/>
            </w:tcBorders>
            <w:vMerge w:val="restart"/>
          </w:tcPr>
          <w:p>
            <w:pPr>
              <w:ind w:left="1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8"/>
        </w:trPr>
        <w:tc>
          <w:tcPr>
            <w:tcW w:w="360" w:type="dxa"/>
            <w:vAlign w:val="bottom"/>
            <w:tcBorders>
              <w:left w:val="single" w:sz="8" w:color="auto"/>
            </w:tcBorders>
            <w:gridSpan w:val="3"/>
            <w:vMerge w:val="continue"/>
          </w:tcPr>
          <w:p>
            <w:pPr>
              <w:spacing w:after="0"/>
              <w:rPr>
                <w:sz w:val="12"/>
                <w:szCs w:val="12"/>
                <w:color w:val="auto"/>
              </w:rPr>
            </w:pPr>
          </w:p>
        </w:tc>
        <w:tc>
          <w:tcPr>
            <w:tcW w:w="900" w:type="dxa"/>
            <w:vAlign w:val="bottom"/>
          </w:tcPr>
          <w:p>
            <w:pPr>
              <w:spacing w:after="0"/>
              <w:rPr>
                <w:sz w:val="12"/>
                <w:szCs w:val="12"/>
                <w:color w:val="auto"/>
              </w:rPr>
            </w:pP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58</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2023</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S. HUBER</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S. Huber</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59" w:name="page60"/>
    <w:bookmarkEnd w:id="5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April 3, 2023</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60" w:name="page61"/>
    <w:bookmarkEnd w:id="6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Linda S. Huber, certify that:</w:t>
      </w:r>
    </w:p>
    <w:p>
      <w:pPr>
        <w:spacing w:after="0" w:line="185"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April 3,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28, 2023,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F.Philip Snow</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3, 2023</w:t>
      </w:r>
    </w:p>
    <w:p>
      <w:pPr>
        <w:sectPr>
          <w:pgSz w:w="11900" w:h="16838" w:orient="portrait"/>
          <w:cols w:equalWidth="0" w:num="1">
            <w:col w:w="11240"/>
          </w:cols>
          <w:pgMar w:left="320" w:top="88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28, 2023, as filed with the Securities and Exchange Commission on the date hereof (the “Report”), I, Linda S. Huber,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April 3,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lvl w:ilvl="1">
      <w:lvlJc w:val="left"/>
      <w:lvlText w:val="(%2)"/>
      <w:numFmt w:val="decimal"/>
      <w:start w:val="1"/>
    </w:lvl>
  </w:abstractNum>
  <w:abstractNum w:abstractNumId="9">
    <w:nsid w:val="75A2A8D4"/>
    <w:multiLevelType w:val="hybridMultilevel"/>
    <w:lvl w:ilvl="0">
      <w:lvlJc w:val="left"/>
      <w:lvlText w:val="%1."/>
      <w:numFmt w:val="decimal"/>
      <w:start w:val="15"/>
    </w:lvl>
    <w:lvl w:ilvl="1">
      <w:lvlJc w:val="left"/>
      <w:lvlText w:val="%2"/>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amp;"/>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endash "/>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amp;"/>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Roman"/>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1" Type="http://schemas.openxmlformats.org/officeDocument/2006/relationships/hyperlink" Target="https://www.sec.gov/Archives/edgar/data/1013237/000101323723000009/factsetsecondamendedandres.htm" TargetMode="External"/><Relationship Id="rId72" Type="http://schemas.openxmlformats.org/officeDocument/2006/relationships/hyperlink" Target="https://www.sec.gov/Archives/edgar/data/1013237/000101323723000009/factsetamendedandrestated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2023-04-03T07:20:49Z</dcterms:created>
  <dcterms:modified xsi:type="dcterms:W3CDTF">2023-04-03T07:20:49Z</dcterms:modified>
</cp:coreProperties>
</file>