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FactSet Research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BAMCO INC /NY/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3,693,132.00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3,721,445.00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3,721,445.00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Capital Group,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4,172,543.00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4,200,856.00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4,200,856.00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Capital Management, Inc.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479,411.00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479,411.00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479,411.00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1.35 %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Ronald Baron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4,172,543.00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4,200,856.00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4,200,856.00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Partners Fund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2,149,040.00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2,149,040.00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2,149,040.00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FactSet Research Systems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 Glover Avenue, Norwalk, CT 06850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Baron Capital Group, Inc. ("BCG"), BAMCO, Inc. ("BAMCO"), Baron Capital Management, Inc. ("BCM"), Ronald Baron Baron Partners Fund ("BPF")</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767 Fifth Avenue, 49th Floor, New York, NY 10153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BCG, BAMCO and BCM are New York corporations. Ronald Baron is a citizen of the United States. BPF is a series of a Delaware statutory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4,200,856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11.81  %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4,172,543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4,200,856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BAMCO and BCM are subsidiaries of BCG. BPF is an advisory client of BAMCO. Ronald Baron owns a controlling interest in BCG.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Please see Item 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BAMCO INC /NY/</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Baron Capital Group, Inc.</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Baron Capital Management, Inc.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Ronald Baron</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Ronald Baron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Baron Partners Fund</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2"/>
        <w:gridCol w:w="4483"/>
      </w:tblGrid>
      <w:tr>
        <w:trPr/>
        <w:tc>
          <w:tcPr>
            <w:tcW w:w="57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Ronald Baron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CEO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1562</Words>
  <Characters>7956</Characters>
  <CharactersWithSpaces>9426</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