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817880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843280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_________________________________________________</w:t>
      </w:r>
    </w:p>
    <w:p>
      <w:pPr>
        <w:spacing w:after="0" w:line="37"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November 30, 2019</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474"/>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the transition period from ______to 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1-11869</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FACTSET RESEARCH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17145</wp:posOffset>
            </wp:positionV>
            <wp:extent cx="141478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25717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06"/>
        </w:trPr>
        <w:tc>
          <w:tcPr>
            <w:tcW w:w="6500" w:type="dxa"/>
            <w:vAlign w:val="bottom"/>
          </w:tcPr>
          <w:p>
            <w:pPr>
              <w:jc w:val="right"/>
              <w:ind w:right="11"/>
              <w:spacing w:after="0"/>
              <w:rPr>
                <w:sz w:val="20"/>
                <w:szCs w:val="20"/>
                <w:color w:val="auto"/>
              </w:rPr>
            </w:pPr>
            <w:r>
              <w:rPr>
                <w:rFonts w:ascii="Arial" w:cs="Arial" w:eastAsia="Arial" w:hAnsi="Arial"/>
                <w:sz w:val="16"/>
                <w:szCs w:val="16"/>
                <w:color w:val="auto"/>
              </w:rPr>
              <w:t>_________________________________________________</w:t>
            </w:r>
          </w:p>
        </w:tc>
        <w:tc>
          <w:tcPr>
            <w:tcW w:w="1440" w:type="dxa"/>
            <w:vAlign w:val="bottom"/>
          </w:tcPr>
          <w:p>
            <w:pPr>
              <w:spacing w:after="0"/>
              <w:rPr>
                <w:sz w:val="17"/>
                <w:szCs w:val="17"/>
                <w:color w:val="auto"/>
              </w:rPr>
            </w:pPr>
          </w:p>
        </w:tc>
      </w:tr>
      <w:tr>
        <w:trPr>
          <w:trHeight w:val="263"/>
        </w:trPr>
        <w:tc>
          <w:tcPr>
            <w:tcW w:w="6500" w:type="dxa"/>
            <w:vAlign w:val="bottom"/>
          </w:tcPr>
          <w:p>
            <w:pPr>
              <w:jc w:val="center"/>
              <w:ind w:right="3291"/>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13-3362547</w:t>
            </w:r>
          </w:p>
        </w:tc>
      </w:tr>
      <w:tr>
        <w:trPr>
          <w:trHeight w:val="256"/>
        </w:trPr>
        <w:tc>
          <w:tcPr>
            <w:tcW w:w="6500" w:type="dxa"/>
            <w:vAlign w:val="bottom"/>
          </w:tcPr>
          <w:p>
            <w:pPr>
              <w:jc w:val="center"/>
              <w:ind w:right="3291"/>
              <w:spacing w:after="0"/>
              <w:rPr>
                <w:sz w:val="20"/>
                <w:szCs w:val="20"/>
                <w:color w:val="auto"/>
              </w:rPr>
            </w:pPr>
            <w:r>
              <w:rPr>
                <w:rFonts w:ascii="Arial" w:cs="Arial" w:eastAsia="Arial" w:hAnsi="Arial"/>
                <w:sz w:val="18"/>
                <w:szCs w:val="18"/>
                <w:color w:val="auto"/>
                <w:w w:val="92"/>
              </w:rPr>
              <w:t>(State or other jurisdiction of</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291"/>
              <w:spacing w:after="0"/>
              <w:rPr>
                <w:sz w:val="20"/>
                <w:szCs w:val="20"/>
                <w:color w:val="auto"/>
              </w:rPr>
            </w:pPr>
            <w:r>
              <w:rPr>
                <w:rFonts w:ascii="Arial" w:cs="Arial" w:eastAsia="Arial" w:hAnsi="Arial"/>
                <w:sz w:val="18"/>
                <w:szCs w:val="18"/>
                <w:color w:val="auto"/>
                <w:w w:val="94"/>
              </w:rPr>
              <w:t>incorporation)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r>
        <w:trPr>
          <w:trHeight w:val="648"/>
        </w:trPr>
        <w:tc>
          <w:tcPr>
            <w:tcW w:w="6500" w:type="dxa"/>
            <w:vAlign w:val="bottom"/>
          </w:tcPr>
          <w:p>
            <w:pPr>
              <w:jc w:val="center"/>
              <w:ind w:right="3271"/>
              <w:spacing w:after="0"/>
              <w:rPr>
                <w:sz w:val="20"/>
                <w:szCs w:val="20"/>
                <w:color w:val="auto"/>
              </w:rPr>
            </w:pPr>
            <w:r>
              <w:rPr>
                <w:rFonts w:ascii="Arial" w:cs="Arial" w:eastAsia="Arial" w:hAnsi="Arial"/>
                <w:sz w:val="18"/>
                <w:szCs w:val="18"/>
                <w:b w:val="1"/>
                <w:bCs w:val="1"/>
                <w:color w:val="auto"/>
                <w:w w:val="90"/>
              </w:rPr>
              <w:t>45 Glover Avenue, Norwalk, Connecticut</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06850</w:t>
            </w:r>
          </w:p>
        </w:tc>
      </w:tr>
      <w:tr>
        <w:trPr>
          <w:trHeight w:val="270"/>
        </w:trPr>
        <w:tc>
          <w:tcPr>
            <w:tcW w:w="6500" w:type="dxa"/>
            <w:vAlign w:val="bottom"/>
          </w:tcPr>
          <w:p>
            <w:pPr>
              <w:jc w:val="center"/>
              <w:ind w:right="3271"/>
              <w:spacing w:after="0"/>
              <w:rPr>
                <w:sz w:val="20"/>
                <w:szCs w:val="20"/>
                <w:color w:val="auto"/>
              </w:rPr>
            </w:pPr>
            <w:r>
              <w:rPr>
                <w:rFonts w:ascii="Arial" w:cs="Arial" w:eastAsia="Arial" w:hAnsi="Arial"/>
                <w:sz w:val="18"/>
                <w:szCs w:val="18"/>
                <w:color w:val="auto"/>
                <w:w w:val="92"/>
              </w:rPr>
              <w:t>(Address of principal executive office)</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_________________________________________________</w:t>
      </w:r>
    </w:p>
    <w:p>
      <w:pPr>
        <w:spacing w:after="0" w:line="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x</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6"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x</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December 31, 2019 was 37,906,328.</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Borders>
              <w:right w:val="single" w:sz="8" w:color="auto"/>
            </w:tcBorders>
          </w:tcPr>
          <w:p>
            <w:pPr>
              <w:spacing w:after="0"/>
              <w:rPr>
                <w:sz w:val="22"/>
                <w:szCs w:val="22"/>
                <w:color w:val="auto"/>
              </w:rPr>
            </w:pPr>
          </w:p>
        </w:tc>
        <w:tc>
          <w:tcPr>
            <w:tcW w:w="3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Trading Symbols(s)</w:t>
            </w:r>
          </w:p>
        </w:tc>
        <w:tc>
          <w:tcPr>
            <w:tcW w:w="4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Common Stock, $0.01 Par Value</w:t>
            </w:r>
          </w:p>
        </w:tc>
        <w:tc>
          <w:tcPr>
            <w:tcW w:w="3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FDS</w:t>
            </w:r>
          </w:p>
        </w:tc>
        <w:tc>
          <w:tcPr>
            <w:tcW w:w="4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New York Stock Exchange LLC</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vMerge w:val="restart"/>
          </w:tcPr>
          <w:p>
            <w:pPr>
              <w:spacing w:after="0"/>
              <w:rPr>
                <w:sz w:val="2"/>
                <w:szCs w:val="2"/>
                <w:color w:val="auto"/>
              </w:rPr>
            </w:pPr>
          </w:p>
        </w:tc>
        <w:tc>
          <w:tcPr>
            <w:tcW w:w="3300" w:type="dxa"/>
            <w:vAlign w:val="bottom"/>
            <w:tcBorders>
              <w:right w:val="single" w:sz="8" w:color="auto"/>
            </w:tcBorders>
            <w:vMerge w:val="continue"/>
          </w:tcPr>
          <w:p>
            <w:pPr>
              <w:spacing w:after="0"/>
              <w:rPr>
                <w:sz w:val="2"/>
                <w:szCs w:val="2"/>
                <w:color w:val="auto"/>
              </w:rPr>
            </w:pPr>
          </w:p>
        </w:tc>
        <w:tc>
          <w:tcPr>
            <w:tcW w:w="3020" w:type="dxa"/>
            <w:vAlign w:val="bottom"/>
            <w:tcBorders>
              <w:right w:val="single" w:sz="8" w:color="auto"/>
            </w:tcBorders>
            <w:vMerge w:val="continue"/>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0" w:type="dxa"/>
            <w:vAlign w:val="bottom"/>
            <w:tcBorders>
              <w:right w:val="single" w:sz="8" w:color="auto"/>
            </w:tcBorders>
            <w:vMerge w:val="continue"/>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3020" w:type="dxa"/>
            <w:vAlign w:val="bottom"/>
            <w:tcBorders>
              <w:right w:val="single" w:sz="8" w:color="auto"/>
            </w:tcBorders>
            <w:vMerge w:val="continue"/>
          </w:tcPr>
          <w:p>
            <w:pPr>
              <w:spacing w:after="0"/>
              <w:rPr>
                <w:sz w:val="7"/>
                <w:szCs w:val="7"/>
                <w:color w:val="auto"/>
              </w:rPr>
            </w:pPr>
          </w:p>
        </w:tc>
        <w:tc>
          <w:tcPr>
            <w:tcW w:w="4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Nasdaq Stock Market</w:t>
            </w: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40" w:type="dxa"/>
            <w:vAlign w:val="bottom"/>
            <w:tcBorders>
              <w:right w:val="single" w:sz="8" w:color="auto"/>
            </w:tcBorders>
          </w:tcPr>
          <w:p>
            <w:pPr>
              <w:spacing w:after="0"/>
              <w:rPr>
                <w:sz w:val="12"/>
                <w:szCs w:val="12"/>
                <w:color w:val="auto"/>
              </w:rPr>
            </w:pPr>
          </w:p>
        </w:tc>
        <w:tc>
          <w:tcPr>
            <w:tcW w:w="3300" w:type="dxa"/>
            <w:vAlign w:val="bottom"/>
            <w:tcBorders>
              <w:right w:val="single" w:sz="8" w:color="auto"/>
            </w:tcBorders>
          </w:tcPr>
          <w:p>
            <w:pPr>
              <w:spacing w:after="0"/>
              <w:rPr>
                <w:sz w:val="12"/>
                <w:szCs w:val="12"/>
                <w:color w:val="auto"/>
              </w:rPr>
            </w:pPr>
          </w:p>
        </w:tc>
        <w:tc>
          <w:tcPr>
            <w:tcW w:w="3020" w:type="dxa"/>
            <w:vAlign w:val="bottom"/>
            <w:tcBorders>
              <w:right w:val="single" w:sz="8" w:color="auto"/>
            </w:tcBorders>
          </w:tcPr>
          <w:p>
            <w:pPr>
              <w:spacing w:after="0"/>
              <w:rPr>
                <w:sz w:val="12"/>
                <w:szCs w:val="12"/>
                <w:color w:val="auto"/>
              </w:rPr>
            </w:pPr>
          </w:p>
        </w:tc>
        <w:tc>
          <w:tcPr>
            <w:tcW w:w="4260" w:type="dxa"/>
            <w:vAlign w:val="bottom"/>
            <w:tcBorders>
              <w:right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9"/>
        </w:trPr>
        <w:tc>
          <w:tcPr>
            <w:tcW w:w="4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76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50"/>
        </w:trPr>
        <w:tc>
          <w:tcPr>
            <w:tcW w:w="10660" w:type="dxa"/>
            <w:vAlign w:val="bottom"/>
            <w:gridSpan w:val="3"/>
          </w:tcPr>
          <w:p>
            <w:pPr>
              <w:spacing w:after="0"/>
              <w:rPr>
                <w:sz w:val="20"/>
                <w:szCs w:val="20"/>
                <w:color w:val="auto"/>
              </w:rPr>
            </w:pPr>
            <w:r>
              <w:rPr>
                <w:rFonts w:ascii="Arial" w:cs="Arial" w:eastAsia="Arial" w:hAnsi="Arial"/>
                <w:sz w:val="18"/>
                <w:szCs w:val="18"/>
                <w:b w:val="1"/>
                <w:bCs w:val="1"/>
                <w:color w:val="auto"/>
              </w:rPr>
              <w:t>FactSet Research Systems Inc.</w:t>
            </w:r>
          </w:p>
        </w:tc>
        <w:tc>
          <w:tcPr>
            <w:tcW w:w="760" w:type="dxa"/>
            <w:vAlign w:val="bottom"/>
          </w:tcPr>
          <w:p>
            <w:pPr>
              <w:spacing w:after="0"/>
              <w:rPr>
                <w:sz w:val="24"/>
                <w:szCs w:val="24"/>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b w:val="1"/>
                <w:bCs w:val="1"/>
                <w:color w:val="auto"/>
              </w:rPr>
              <w:t>Form 10-Q</w:t>
            </w:r>
          </w:p>
        </w:tc>
        <w:tc>
          <w:tcPr>
            <w:tcW w:w="26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10660" w:type="dxa"/>
            <w:vAlign w:val="bottom"/>
            <w:gridSpan w:val="3"/>
          </w:tcPr>
          <w:p>
            <w:pPr>
              <w:spacing w:after="0"/>
              <w:rPr>
                <w:sz w:val="20"/>
                <w:szCs w:val="20"/>
                <w:color w:val="auto"/>
              </w:rPr>
            </w:pPr>
            <w:r>
              <w:rPr>
                <w:rFonts w:ascii="Arial" w:cs="Arial" w:eastAsia="Arial" w:hAnsi="Arial"/>
                <w:sz w:val="18"/>
                <w:szCs w:val="18"/>
                <w:b w:val="1"/>
                <w:bCs w:val="1"/>
                <w:color w:val="auto"/>
              </w:rPr>
              <w:t>For the Quarter Ended November 30, 2019</w:t>
            </w:r>
          </w:p>
        </w:tc>
        <w:tc>
          <w:tcPr>
            <w:tcW w:w="760" w:type="dxa"/>
            <w:vAlign w:val="bottom"/>
          </w:tcPr>
          <w:p>
            <w:pPr>
              <w:spacing w:after="0"/>
              <w:rPr>
                <w:sz w:val="20"/>
                <w:szCs w:val="20"/>
                <w:color w:val="auto"/>
              </w:rPr>
            </w:pPr>
          </w:p>
        </w:tc>
      </w:tr>
      <w:tr>
        <w:trPr>
          <w:trHeight w:val="392"/>
        </w:trPr>
        <w:tc>
          <w:tcPr>
            <w:tcW w:w="102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38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r>
      <w:tr>
        <w:trPr>
          <w:trHeight w:val="27"/>
        </w:trPr>
        <w:tc>
          <w:tcPr>
            <w:tcW w:w="1020" w:type="dxa"/>
            <w:vAlign w:val="bottom"/>
            <w:tcBorders>
              <w:bottom w:val="single" w:sz="8" w:color="CCEEFF"/>
            </w:tcBorders>
          </w:tcPr>
          <w:p>
            <w:pPr>
              <w:spacing w:after="0"/>
              <w:rPr>
                <w:sz w:val="2"/>
                <w:szCs w:val="2"/>
                <w:color w:val="auto"/>
              </w:rPr>
            </w:pPr>
          </w:p>
        </w:tc>
        <w:tc>
          <w:tcPr>
            <w:tcW w:w="964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0"/>
        </w:trPr>
        <w:tc>
          <w:tcPr>
            <w:tcW w:w="1020" w:type="dxa"/>
            <w:vAlign w:val="bottom"/>
            <w:shd w:val="clear" w:color="auto" w:fill="CCEEFF"/>
          </w:tcPr>
          <w:p>
            <w:pPr>
              <w:ind w:left="2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640" w:type="dxa"/>
            <w:vAlign w:val="bottom"/>
            <w:gridSpan w:val="2"/>
            <w:shd w:val="clear" w:color="auto" w:fill="CCEEFF"/>
          </w:tcPr>
          <w:p>
            <w:pPr>
              <w:ind w:left="14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760" w:type="dxa"/>
            <w:vAlign w:val="bottom"/>
            <w:shd w:val="clear" w:color="auto" w:fill="CCEEFF"/>
          </w:tcPr>
          <w:p>
            <w:pPr>
              <w:spacing w:after="0"/>
              <w:rPr>
                <w:sz w:val="18"/>
                <w:szCs w:val="18"/>
                <w:color w:val="auto"/>
              </w:rPr>
            </w:pPr>
          </w:p>
        </w:tc>
      </w:tr>
      <w:tr>
        <w:trPr>
          <w:trHeight w:val="230"/>
        </w:trPr>
        <w:tc>
          <w:tcPr>
            <w:tcW w:w="102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640" w:type="dxa"/>
            <w:vAlign w:val="bottom"/>
            <w:gridSpan w:val="2"/>
          </w:tcPr>
          <w:p>
            <w:pPr>
              <w:ind w:left="140"/>
              <w:spacing w:after="0"/>
              <w:rPr>
                <w:rFonts w:ascii="Arial" w:cs="Arial" w:eastAsia="Arial" w:hAnsi="Arial"/>
                <w:sz w:val="18"/>
                <w:szCs w:val="18"/>
                <w:color w:val="auto"/>
              </w:rPr>
            </w:pPr>
            <w:hyperlink w:anchor="page2">
              <w:r>
                <w:rPr>
                  <w:rFonts w:ascii="Arial" w:cs="Arial" w:eastAsia="Arial" w:hAnsi="Arial"/>
                  <w:sz w:val="18"/>
                  <w:szCs w:val="18"/>
                  <w:color w:val="auto"/>
                </w:rPr>
                <w:t>Financial Statements</w:t>
              </w:r>
            </w:hyperlink>
          </w:p>
        </w:tc>
        <w:tc>
          <w:tcPr>
            <w:tcW w:w="760" w:type="dxa"/>
            <w:vAlign w:val="bottom"/>
          </w:tcPr>
          <w:p>
            <w:pPr>
              <w:spacing w:after="0"/>
              <w:rPr>
                <w:sz w:val="19"/>
                <w:szCs w:val="19"/>
                <w:color w:val="auto"/>
              </w:rPr>
            </w:pPr>
          </w:p>
        </w:tc>
      </w:tr>
      <w:tr>
        <w:trPr>
          <w:trHeight w:val="230"/>
        </w:trPr>
        <w:tc>
          <w:tcPr>
            <w:tcW w:w="1020" w:type="dxa"/>
            <w:vAlign w:val="bottom"/>
            <w:shd w:val="clear" w:color="auto" w:fill="CCEEFF"/>
          </w:tcPr>
          <w:p>
            <w:pPr>
              <w:spacing w:after="0"/>
              <w:rPr>
                <w:sz w:val="19"/>
                <w:szCs w:val="19"/>
                <w:color w:val="auto"/>
              </w:rPr>
            </w:pPr>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3">
              <w:r>
                <w:rPr>
                  <w:rFonts w:ascii="Arial" w:cs="Arial" w:eastAsia="Arial" w:hAnsi="Arial"/>
                  <w:sz w:val="18"/>
                  <w:szCs w:val="18"/>
                  <w:color w:val="auto"/>
                </w:rPr>
                <w:t>Consolidated Statements of Income for the three months ended November 30, 2019 and 2018</w:t>
              </w:r>
            </w:hyperlink>
          </w:p>
        </w:tc>
        <w:tc>
          <w:tcPr>
            <w:tcW w:w="760" w:type="dxa"/>
            <w:vAlign w:val="bottom"/>
            <w:shd w:val="clear" w:color="auto" w:fill="CCEEFF"/>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r>
      <w:tr>
        <w:trPr>
          <w:trHeight w:val="230"/>
        </w:trPr>
        <w:tc>
          <w:tcPr>
            <w:tcW w:w="1020" w:type="dxa"/>
            <w:vAlign w:val="bottom"/>
          </w:tcPr>
          <w:p>
            <w:pPr>
              <w:spacing w:after="0"/>
              <w:rPr>
                <w:sz w:val="19"/>
                <w:szCs w:val="19"/>
                <w:color w:val="auto"/>
              </w:rPr>
            </w:pPr>
          </w:p>
        </w:tc>
        <w:tc>
          <w:tcPr>
            <w:tcW w:w="9640" w:type="dxa"/>
            <w:vAlign w:val="bottom"/>
            <w:gridSpan w:val="2"/>
          </w:tcPr>
          <w:p>
            <w:pPr>
              <w:ind w:left="140"/>
              <w:spacing w:after="0"/>
              <w:rPr>
                <w:rFonts w:ascii="Arial" w:cs="Arial" w:eastAsia="Arial" w:hAnsi="Arial"/>
                <w:sz w:val="18"/>
                <w:szCs w:val="18"/>
                <w:color w:val="auto"/>
              </w:rPr>
            </w:pPr>
            <w:hyperlink w:anchor="page3">
              <w:r>
                <w:rPr>
                  <w:rFonts w:ascii="Arial" w:cs="Arial" w:eastAsia="Arial" w:hAnsi="Arial"/>
                  <w:sz w:val="18"/>
                  <w:szCs w:val="18"/>
                  <w:color w:val="auto"/>
                </w:rPr>
                <w:t>Consolidated Statements of Comprehensive Income for the three months ended November 30, 2019 and 2018</w:t>
              </w:r>
            </w:hyperlink>
          </w:p>
        </w:tc>
        <w:tc>
          <w:tcPr>
            <w:tcW w:w="760" w:type="dxa"/>
            <w:vAlign w:val="bottom"/>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4</w:t>
              </w:r>
            </w:hyperlink>
          </w:p>
        </w:tc>
      </w:tr>
      <w:tr>
        <w:trPr>
          <w:trHeight w:val="230"/>
        </w:trPr>
        <w:tc>
          <w:tcPr>
            <w:tcW w:w="1020" w:type="dxa"/>
            <w:vAlign w:val="bottom"/>
            <w:shd w:val="clear" w:color="auto" w:fill="CCEEFF"/>
          </w:tcPr>
          <w:p>
            <w:pPr>
              <w:spacing w:after="0"/>
              <w:rPr>
                <w:sz w:val="19"/>
                <w:szCs w:val="19"/>
                <w:color w:val="auto"/>
              </w:rPr>
            </w:pPr>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Consolidated Balance Sheets at November 30, 2019 and August 31, 2019</w:t>
              </w:r>
            </w:hyperlink>
          </w:p>
        </w:tc>
        <w:tc>
          <w:tcPr>
            <w:tcW w:w="760" w:type="dxa"/>
            <w:vAlign w:val="bottom"/>
            <w:shd w:val="clear" w:color="auto" w:fill="CCEEFF"/>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5</w:t>
              </w:r>
            </w:hyperlink>
          </w:p>
        </w:tc>
      </w:tr>
      <w:tr>
        <w:trPr>
          <w:trHeight w:val="230"/>
        </w:trPr>
        <w:tc>
          <w:tcPr>
            <w:tcW w:w="1020" w:type="dxa"/>
            <w:vAlign w:val="bottom"/>
          </w:tcPr>
          <w:p>
            <w:pPr>
              <w:spacing w:after="0"/>
              <w:rPr>
                <w:sz w:val="19"/>
                <w:szCs w:val="19"/>
                <w:color w:val="auto"/>
              </w:rPr>
            </w:pPr>
          </w:p>
        </w:tc>
        <w:tc>
          <w:tcPr>
            <w:tcW w:w="9640" w:type="dxa"/>
            <w:vAlign w:val="bottom"/>
            <w:gridSpan w:val="2"/>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Cash Flows for the three months ended November 30, 2019 and 2018</w:t>
              </w:r>
            </w:hyperlink>
          </w:p>
        </w:tc>
        <w:tc>
          <w:tcPr>
            <w:tcW w:w="76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6</w:t>
              </w:r>
            </w:hyperlink>
          </w:p>
        </w:tc>
      </w:tr>
      <w:tr>
        <w:trPr>
          <w:trHeight w:val="176"/>
        </w:trPr>
        <w:tc>
          <w:tcPr>
            <w:tcW w:w="1020" w:type="dxa"/>
            <w:vAlign w:val="bottom"/>
            <w:shd w:val="clear" w:color="auto" w:fill="CCEEFF"/>
          </w:tcPr>
          <w:p>
            <w:pPr>
              <w:spacing w:after="0"/>
              <w:rPr>
                <w:sz w:val="15"/>
                <w:szCs w:val="15"/>
                <w:color w:val="auto"/>
              </w:rPr>
            </w:pPr>
          </w:p>
        </w:tc>
        <w:tc>
          <w:tcPr>
            <w:tcW w:w="9640" w:type="dxa"/>
            <w:vAlign w:val="bottom"/>
            <w:gridSpan w:val="2"/>
            <w:shd w:val="clear" w:color="auto" w:fill="CCEEFF"/>
          </w:tcPr>
          <w:p>
            <w:pPr>
              <w:ind w:left="140"/>
              <w:spacing w:after="0" w:line="176" w:lineRule="exact"/>
              <w:rPr>
                <w:rFonts w:ascii="Arial" w:cs="Arial" w:eastAsia="Arial" w:hAnsi="Arial"/>
                <w:sz w:val="18"/>
                <w:szCs w:val="18"/>
                <w:color w:val="auto"/>
              </w:rPr>
            </w:pPr>
            <w:hyperlink w:anchor="page6">
              <w:r>
                <w:rPr>
                  <w:rFonts w:ascii="Arial" w:cs="Arial" w:eastAsia="Arial" w:hAnsi="Arial"/>
                  <w:sz w:val="18"/>
                  <w:szCs w:val="18"/>
                  <w:color w:val="auto"/>
                </w:rPr>
                <w:t>Consolidated Statements of Changes in Stockholders’ Equity for the three months ended</w:t>
              </w:r>
            </w:hyperlink>
          </w:p>
        </w:tc>
        <w:tc>
          <w:tcPr>
            <w:tcW w:w="760" w:type="dxa"/>
            <w:vAlign w:val="bottom"/>
            <w:shd w:val="clear" w:color="auto" w:fill="CCEEFF"/>
          </w:tcPr>
          <w:p>
            <w:pPr>
              <w:jc w:val="center"/>
              <w:spacing w:after="0" w:line="176" w:lineRule="exact"/>
              <w:rPr>
                <w:rFonts w:ascii="Arial" w:cs="Arial" w:eastAsia="Arial" w:hAnsi="Arial"/>
                <w:sz w:val="18"/>
                <w:szCs w:val="18"/>
                <w:color w:val="auto"/>
                <w:w w:val="79"/>
              </w:rPr>
            </w:pPr>
            <w:hyperlink w:anchor="page6">
              <w:r>
                <w:rPr>
                  <w:rFonts w:ascii="Arial" w:cs="Arial" w:eastAsia="Arial" w:hAnsi="Arial"/>
                  <w:sz w:val="18"/>
                  <w:szCs w:val="18"/>
                  <w:color w:val="auto"/>
                  <w:w w:val="79"/>
                </w:rPr>
                <w:t>7</w:t>
              </w:r>
            </w:hyperlink>
          </w:p>
        </w:tc>
      </w:tr>
      <w:tr>
        <w:trPr>
          <w:trHeight w:val="230"/>
        </w:trPr>
        <w:tc>
          <w:tcPr>
            <w:tcW w:w="1020" w:type="dxa"/>
            <w:vAlign w:val="bottom"/>
            <w:shd w:val="clear" w:color="auto" w:fill="CCEEFF"/>
          </w:tcPr>
          <w:p>
            <w:pPr>
              <w:spacing w:after="0"/>
              <w:rPr>
                <w:sz w:val="19"/>
                <w:szCs w:val="19"/>
                <w:color w:val="auto"/>
              </w:rPr>
            </w:pPr>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November 30, 2019</w:t>
              </w:r>
            </w:hyperlink>
          </w:p>
        </w:tc>
        <w:tc>
          <w:tcPr>
            <w:tcW w:w="760" w:type="dxa"/>
            <w:vAlign w:val="bottom"/>
            <w:shd w:val="clear" w:color="auto" w:fill="CCEEFF"/>
          </w:tcPr>
          <w:p>
            <w:pPr>
              <w:spacing w:after="0"/>
              <w:rPr>
                <w:sz w:val="19"/>
                <w:szCs w:val="19"/>
                <w:color w:val="auto"/>
              </w:rPr>
            </w:pPr>
          </w:p>
        </w:tc>
      </w:tr>
      <w:tr>
        <w:trPr>
          <w:trHeight w:val="176"/>
        </w:trPr>
        <w:tc>
          <w:tcPr>
            <w:tcW w:w="1020" w:type="dxa"/>
            <w:vAlign w:val="bottom"/>
          </w:tcPr>
          <w:p>
            <w:pPr>
              <w:spacing w:after="0"/>
              <w:rPr>
                <w:sz w:val="15"/>
                <w:szCs w:val="15"/>
                <w:color w:val="auto"/>
              </w:rPr>
            </w:pPr>
          </w:p>
        </w:tc>
        <w:tc>
          <w:tcPr>
            <w:tcW w:w="9640" w:type="dxa"/>
            <w:vAlign w:val="bottom"/>
            <w:gridSpan w:val="2"/>
          </w:tcPr>
          <w:p>
            <w:pPr>
              <w:ind w:left="140"/>
              <w:spacing w:after="0" w:line="176" w:lineRule="exact"/>
              <w:rPr>
                <w:rFonts w:ascii="Arial" w:cs="Arial" w:eastAsia="Arial" w:hAnsi="Arial"/>
                <w:sz w:val="18"/>
                <w:szCs w:val="18"/>
                <w:color w:val="auto"/>
              </w:rPr>
            </w:pPr>
            <w:hyperlink w:anchor="page7">
              <w:r>
                <w:rPr>
                  <w:rFonts w:ascii="Arial" w:cs="Arial" w:eastAsia="Arial" w:hAnsi="Arial"/>
                  <w:sz w:val="18"/>
                  <w:szCs w:val="18"/>
                  <w:color w:val="auto"/>
                </w:rPr>
                <w:t>Consolidated Statements of Changes in Stockholders’ Equity for the three months ended</w:t>
              </w:r>
            </w:hyperlink>
          </w:p>
        </w:tc>
        <w:tc>
          <w:tcPr>
            <w:tcW w:w="760" w:type="dxa"/>
            <w:vAlign w:val="bottom"/>
          </w:tcPr>
          <w:p>
            <w:pPr>
              <w:jc w:val="center"/>
              <w:spacing w:after="0" w:line="176" w:lineRule="exact"/>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r>
      <w:tr>
        <w:trPr>
          <w:trHeight w:val="230"/>
        </w:trPr>
        <w:tc>
          <w:tcPr>
            <w:tcW w:w="1020" w:type="dxa"/>
            <w:vAlign w:val="bottom"/>
          </w:tcPr>
          <w:p>
            <w:pPr>
              <w:spacing w:after="0"/>
              <w:rPr>
                <w:sz w:val="19"/>
                <w:szCs w:val="19"/>
                <w:color w:val="auto"/>
              </w:rPr>
            </w:pPr>
          </w:p>
        </w:tc>
        <w:tc>
          <w:tcPr>
            <w:tcW w:w="9640" w:type="dxa"/>
            <w:vAlign w:val="bottom"/>
            <w:gridSpan w:val="2"/>
          </w:tcPr>
          <w:p>
            <w:pPr>
              <w:ind w:left="140"/>
              <w:spacing w:after="0"/>
              <w:rPr>
                <w:rFonts w:ascii="Arial" w:cs="Arial" w:eastAsia="Arial" w:hAnsi="Arial"/>
                <w:sz w:val="18"/>
                <w:szCs w:val="18"/>
                <w:color w:val="auto"/>
              </w:rPr>
            </w:pPr>
            <w:hyperlink w:anchor="page7">
              <w:r>
                <w:rPr>
                  <w:rFonts w:ascii="Arial" w:cs="Arial" w:eastAsia="Arial" w:hAnsi="Arial"/>
                  <w:sz w:val="18"/>
                  <w:szCs w:val="18"/>
                  <w:color w:val="auto"/>
                </w:rPr>
                <w:t>November 30, 2018</w:t>
              </w:r>
            </w:hyperlink>
          </w:p>
        </w:tc>
        <w:tc>
          <w:tcPr>
            <w:tcW w:w="760" w:type="dxa"/>
            <w:vAlign w:val="bottom"/>
          </w:tcPr>
          <w:p>
            <w:pPr>
              <w:spacing w:after="0"/>
              <w:rPr>
                <w:sz w:val="19"/>
                <w:szCs w:val="19"/>
                <w:color w:val="auto"/>
              </w:rPr>
            </w:pPr>
          </w:p>
        </w:tc>
      </w:tr>
      <w:tr>
        <w:trPr>
          <w:trHeight w:val="230"/>
        </w:trPr>
        <w:tc>
          <w:tcPr>
            <w:tcW w:w="1020" w:type="dxa"/>
            <w:vAlign w:val="bottom"/>
            <w:shd w:val="clear" w:color="auto" w:fill="CCEEFF"/>
          </w:tcPr>
          <w:p>
            <w:pPr>
              <w:spacing w:after="0"/>
              <w:rPr>
                <w:sz w:val="19"/>
                <w:szCs w:val="19"/>
                <w:color w:val="auto"/>
              </w:rPr>
            </w:pPr>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7">
              <w:r>
                <w:rPr>
                  <w:rFonts w:ascii="Arial" w:cs="Arial" w:eastAsia="Arial" w:hAnsi="Arial"/>
                  <w:sz w:val="18"/>
                  <w:szCs w:val="18"/>
                  <w:color w:val="auto"/>
                </w:rPr>
                <w:t>Notes to the Consolidated Financial Statements</w:t>
              </w:r>
            </w:hyperlink>
          </w:p>
        </w:tc>
        <w:tc>
          <w:tcPr>
            <w:tcW w:w="760" w:type="dxa"/>
            <w:vAlign w:val="bottom"/>
            <w:shd w:val="clear" w:color="auto" w:fill="CCEEFF"/>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8</w:t>
              </w:r>
            </w:hyperlink>
          </w:p>
        </w:tc>
      </w:tr>
      <w:tr>
        <w:trPr>
          <w:trHeight w:val="230"/>
        </w:trPr>
        <w:tc>
          <w:tcPr>
            <w:tcW w:w="1020" w:type="dxa"/>
            <w:vAlign w:val="bottom"/>
          </w:tcPr>
          <w:p>
            <w:pPr>
              <w:ind w:left="20"/>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9640" w:type="dxa"/>
            <w:vAlign w:val="bottom"/>
            <w:gridSpan w:val="2"/>
          </w:tcPr>
          <w:p>
            <w:pPr>
              <w:ind w:left="140"/>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760" w:type="dxa"/>
            <w:vAlign w:val="bottom"/>
          </w:tcPr>
          <w:p>
            <w:pPr>
              <w:jc w:val="center"/>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24</w:t>
              </w:r>
            </w:hyperlink>
          </w:p>
        </w:tc>
      </w:tr>
      <w:tr>
        <w:trPr>
          <w:trHeight w:val="230"/>
        </w:trPr>
        <w:tc>
          <w:tcPr>
            <w:tcW w:w="1020" w:type="dxa"/>
            <w:vAlign w:val="bottom"/>
            <w:shd w:val="clear" w:color="auto" w:fill="CCEEFF"/>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37">
              <w:r>
                <w:rPr>
                  <w:rFonts w:ascii="Arial" w:cs="Arial" w:eastAsia="Arial" w:hAnsi="Arial"/>
                  <w:sz w:val="18"/>
                  <w:szCs w:val="18"/>
                  <w:color w:val="auto"/>
                </w:rPr>
                <w:t>Quantitative and Qualitative Disclosures About Market Risk</w:t>
              </w:r>
            </w:hyperlink>
          </w:p>
        </w:tc>
        <w:tc>
          <w:tcPr>
            <w:tcW w:w="760" w:type="dxa"/>
            <w:vAlign w:val="bottom"/>
            <w:shd w:val="clear" w:color="auto" w:fill="CCEEFF"/>
          </w:tcPr>
          <w:p>
            <w:pPr>
              <w:jc w:val="center"/>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38</w:t>
              </w:r>
            </w:hyperlink>
          </w:p>
        </w:tc>
      </w:tr>
      <w:tr>
        <w:trPr>
          <w:trHeight w:val="230"/>
        </w:trPr>
        <w:tc>
          <w:tcPr>
            <w:tcW w:w="1020" w:type="dxa"/>
            <w:vAlign w:val="bottom"/>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9640" w:type="dxa"/>
            <w:vAlign w:val="bottom"/>
            <w:gridSpan w:val="2"/>
          </w:tcPr>
          <w:p>
            <w:pPr>
              <w:ind w:left="140"/>
              <w:spacing w:after="0"/>
              <w:rPr>
                <w:rFonts w:ascii="Arial" w:cs="Arial" w:eastAsia="Arial" w:hAnsi="Arial"/>
                <w:sz w:val="18"/>
                <w:szCs w:val="18"/>
                <w:color w:val="auto"/>
              </w:rPr>
            </w:pPr>
            <w:hyperlink w:anchor="page39">
              <w:r>
                <w:rPr>
                  <w:rFonts w:ascii="Arial" w:cs="Arial" w:eastAsia="Arial" w:hAnsi="Arial"/>
                  <w:sz w:val="18"/>
                  <w:szCs w:val="18"/>
                  <w:color w:val="auto"/>
                </w:rPr>
                <w:t>Controls and Procedures</w:t>
              </w:r>
            </w:hyperlink>
          </w:p>
        </w:tc>
        <w:tc>
          <w:tcPr>
            <w:tcW w:w="760" w:type="dxa"/>
            <w:vAlign w:val="bottom"/>
          </w:tcPr>
          <w:p>
            <w:pPr>
              <w:jc w:val="cente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40</w:t>
              </w:r>
            </w:hyperlink>
          </w:p>
        </w:tc>
      </w:tr>
      <w:tr>
        <w:trPr>
          <w:trHeight w:val="230"/>
        </w:trPr>
        <w:tc>
          <w:tcPr>
            <w:tcW w:w="1020" w:type="dxa"/>
            <w:vAlign w:val="bottom"/>
            <w:shd w:val="clear" w:color="auto" w:fill="CCEEFF"/>
          </w:tcPr>
          <w:p>
            <w:pPr>
              <w:ind w:left="2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Part II</w:t>
              </w:r>
            </w:hyperlink>
          </w:p>
        </w:tc>
        <w:tc>
          <w:tcPr>
            <w:tcW w:w="9640" w:type="dxa"/>
            <w:vAlign w:val="bottom"/>
            <w:gridSpan w:val="2"/>
            <w:shd w:val="clear" w:color="auto" w:fill="CCEEFF"/>
          </w:tcPr>
          <w:p>
            <w:pPr>
              <w:ind w:left="14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OTHER INFORMATION</w:t>
              </w:r>
            </w:hyperlink>
          </w:p>
        </w:tc>
        <w:tc>
          <w:tcPr>
            <w:tcW w:w="760" w:type="dxa"/>
            <w:vAlign w:val="bottom"/>
            <w:shd w:val="clear" w:color="auto" w:fill="CCEEFF"/>
          </w:tcPr>
          <w:p>
            <w:pPr>
              <w:spacing w:after="0"/>
              <w:rPr>
                <w:sz w:val="19"/>
                <w:szCs w:val="19"/>
                <w:color w:val="auto"/>
              </w:rPr>
            </w:pPr>
          </w:p>
        </w:tc>
      </w:tr>
      <w:tr>
        <w:trPr>
          <w:trHeight w:val="230"/>
        </w:trPr>
        <w:tc>
          <w:tcPr>
            <w:tcW w:w="102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1.</w:t>
              </w:r>
            </w:hyperlink>
          </w:p>
        </w:tc>
        <w:tc>
          <w:tcPr>
            <w:tcW w:w="9640" w:type="dxa"/>
            <w:vAlign w:val="bottom"/>
            <w:gridSpan w:val="2"/>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Legal Proceedings</w:t>
              </w:r>
            </w:hyperlink>
          </w:p>
        </w:tc>
        <w:tc>
          <w:tcPr>
            <w:tcW w:w="760" w:type="dxa"/>
            <w:vAlign w:val="bottom"/>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41</w:t>
              </w:r>
            </w:hyperlink>
          </w:p>
        </w:tc>
      </w:tr>
      <w:tr>
        <w:trPr>
          <w:trHeight w:val="230"/>
        </w:trPr>
        <w:tc>
          <w:tcPr>
            <w:tcW w:w="1020" w:type="dxa"/>
            <w:vAlign w:val="bottom"/>
            <w:shd w:val="clear" w:color="auto" w:fill="CCEEFF"/>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1A.</w:t>
              </w:r>
            </w:hyperlink>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Risk Factors</w:t>
              </w:r>
            </w:hyperlink>
          </w:p>
        </w:tc>
        <w:tc>
          <w:tcPr>
            <w:tcW w:w="760" w:type="dxa"/>
            <w:vAlign w:val="bottom"/>
            <w:shd w:val="clear" w:color="auto" w:fill="CCEEFF"/>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41</w:t>
              </w:r>
            </w:hyperlink>
          </w:p>
        </w:tc>
      </w:tr>
      <w:tr>
        <w:trPr>
          <w:trHeight w:val="230"/>
        </w:trPr>
        <w:tc>
          <w:tcPr>
            <w:tcW w:w="102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2.</w:t>
              </w:r>
            </w:hyperlink>
          </w:p>
        </w:tc>
        <w:tc>
          <w:tcPr>
            <w:tcW w:w="9640" w:type="dxa"/>
            <w:vAlign w:val="bottom"/>
            <w:gridSpan w:val="2"/>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Unregistered Sales of Equity Securities and Use of Proceeds</w:t>
              </w:r>
            </w:hyperlink>
          </w:p>
        </w:tc>
        <w:tc>
          <w:tcPr>
            <w:tcW w:w="760" w:type="dxa"/>
            <w:vAlign w:val="bottom"/>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41</w:t>
              </w:r>
            </w:hyperlink>
          </w:p>
        </w:tc>
      </w:tr>
      <w:tr>
        <w:trPr>
          <w:trHeight w:val="230"/>
        </w:trPr>
        <w:tc>
          <w:tcPr>
            <w:tcW w:w="1020" w:type="dxa"/>
            <w:vAlign w:val="bottom"/>
            <w:shd w:val="clear" w:color="auto" w:fill="CCEEFF"/>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3.</w:t>
              </w:r>
            </w:hyperlink>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Defaults Upon Senior Securities</w:t>
              </w:r>
            </w:hyperlink>
          </w:p>
        </w:tc>
        <w:tc>
          <w:tcPr>
            <w:tcW w:w="760" w:type="dxa"/>
            <w:vAlign w:val="bottom"/>
            <w:shd w:val="clear" w:color="auto" w:fill="CCEEFF"/>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41</w:t>
              </w:r>
            </w:hyperlink>
          </w:p>
        </w:tc>
      </w:tr>
      <w:tr>
        <w:trPr>
          <w:trHeight w:val="230"/>
        </w:trPr>
        <w:tc>
          <w:tcPr>
            <w:tcW w:w="102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4.</w:t>
              </w:r>
            </w:hyperlink>
          </w:p>
        </w:tc>
        <w:tc>
          <w:tcPr>
            <w:tcW w:w="9640" w:type="dxa"/>
            <w:vAlign w:val="bottom"/>
            <w:gridSpan w:val="2"/>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Mine Safety Disclosures</w:t>
              </w:r>
            </w:hyperlink>
          </w:p>
        </w:tc>
        <w:tc>
          <w:tcPr>
            <w:tcW w:w="760" w:type="dxa"/>
            <w:vAlign w:val="bottom"/>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41</w:t>
              </w:r>
            </w:hyperlink>
          </w:p>
        </w:tc>
      </w:tr>
      <w:tr>
        <w:trPr>
          <w:trHeight w:val="230"/>
        </w:trPr>
        <w:tc>
          <w:tcPr>
            <w:tcW w:w="1020" w:type="dxa"/>
            <w:vAlign w:val="bottom"/>
            <w:shd w:val="clear" w:color="auto" w:fill="CCEEFF"/>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5.</w:t>
              </w:r>
            </w:hyperlink>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Other Information</w:t>
              </w:r>
            </w:hyperlink>
          </w:p>
        </w:tc>
        <w:tc>
          <w:tcPr>
            <w:tcW w:w="760" w:type="dxa"/>
            <w:vAlign w:val="bottom"/>
            <w:shd w:val="clear" w:color="auto" w:fill="CCEEFF"/>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41</w:t>
              </w:r>
            </w:hyperlink>
          </w:p>
        </w:tc>
      </w:tr>
      <w:tr>
        <w:trPr>
          <w:trHeight w:val="230"/>
        </w:trPr>
        <w:tc>
          <w:tcPr>
            <w:tcW w:w="1020" w:type="dxa"/>
            <w:vAlign w:val="bottom"/>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Item 6.</w:t>
              </w:r>
            </w:hyperlink>
          </w:p>
        </w:tc>
        <w:tc>
          <w:tcPr>
            <w:tcW w:w="9640" w:type="dxa"/>
            <w:vAlign w:val="bottom"/>
            <w:gridSpan w:val="2"/>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Exhibits</w:t>
              </w:r>
            </w:hyperlink>
          </w:p>
        </w:tc>
        <w:tc>
          <w:tcPr>
            <w:tcW w:w="760" w:type="dxa"/>
            <w:vAlign w:val="bottom"/>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42</w:t>
              </w:r>
            </w:hyperlink>
          </w:p>
        </w:tc>
      </w:tr>
      <w:tr>
        <w:trPr>
          <w:trHeight w:val="230"/>
        </w:trPr>
        <w:tc>
          <w:tcPr>
            <w:tcW w:w="1020" w:type="dxa"/>
            <w:vAlign w:val="bottom"/>
            <w:shd w:val="clear" w:color="auto" w:fill="CCEEFF"/>
          </w:tcPr>
          <w:p>
            <w:pPr>
              <w:spacing w:after="0"/>
              <w:rPr>
                <w:sz w:val="19"/>
                <w:szCs w:val="19"/>
                <w:color w:val="auto"/>
              </w:rPr>
            </w:pPr>
          </w:p>
        </w:tc>
        <w:tc>
          <w:tcPr>
            <w:tcW w:w="9640" w:type="dxa"/>
            <w:vAlign w:val="bottom"/>
            <w:gridSpan w:val="2"/>
            <w:shd w:val="clear" w:color="auto" w:fill="CCEEFF"/>
          </w:tcPr>
          <w:p>
            <w:pPr>
              <w:ind w:left="140"/>
              <w:spacing w:after="0"/>
              <w:rPr>
                <w:rFonts w:ascii="Arial" w:cs="Arial" w:eastAsia="Arial" w:hAnsi="Arial"/>
                <w:sz w:val="18"/>
                <w:szCs w:val="18"/>
                <w:color w:val="auto"/>
              </w:rPr>
            </w:pPr>
            <w:hyperlink w:anchor="page42">
              <w:r>
                <w:rPr>
                  <w:rFonts w:ascii="Arial" w:cs="Arial" w:eastAsia="Arial" w:hAnsi="Arial"/>
                  <w:sz w:val="18"/>
                  <w:szCs w:val="18"/>
                  <w:color w:val="auto"/>
                </w:rPr>
                <w:t>Signatures</w:t>
              </w:r>
            </w:hyperlink>
          </w:p>
        </w:tc>
        <w:tc>
          <w:tcPr>
            <w:tcW w:w="760" w:type="dxa"/>
            <w:vAlign w:val="bottom"/>
            <w:shd w:val="clear" w:color="auto" w:fill="CCEEFF"/>
          </w:tcPr>
          <w:p>
            <w:pPr>
              <w:jc w:val="center"/>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43</w:t>
              </w:r>
            </w:hyperlink>
          </w:p>
        </w:tc>
      </w:tr>
    </w:tbl>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6420" w:type="dxa"/>
            <w:vAlign w:val="bottom"/>
          </w:tcPr>
          <w:p>
            <w:pPr>
              <w:ind w:left="286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7"/>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 – Unaudited</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140" w:type="dxa"/>
            <w:vAlign w:val="bottom"/>
            <w:gridSpan w:val="3"/>
          </w:tcPr>
          <w:p>
            <w:pPr>
              <w:jc w:val="right"/>
              <w:ind w:right="870"/>
              <w:spacing w:after="0"/>
              <w:rPr>
                <w:sz w:val="20"/>
                <w:szCs w:val="20"/>
                <w:color w:val="auto"/>
              </w:rPr>
            </w:pPr>
            <w:r>
              <w:rPr>
                <w:rFonts w:ascii="Arial" w:cs="Arial" w:eastAsia="Arial" w:hAnsi="Arial"/>
                <w:sz w:val="18"/>
                <w:szCs w:val="18"/>
                <w:color w:val="auto"/>
              </w:rPr>
              <w:t>Three Months Ended</w:t>
            </w:r>
          </w:p>
        </w:tc>
      </w:tr>
      <w:tr>
        <w:trPr>
          <w:trHeight w:val="230"/>
        </w:trPr>
        <w:tc>
          <w:tcPr>
            <w:tcW w:w="12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November 30,</w:t>
            </w:r>
          </w:p>
        </w:tc>
        <w:tc>
          <w:tcPr>
            <w:tcW w:w="1100" w:type="dxa"/>
            <w:vAlign w:val="bottom"/>
          </w:tcPr>
          <w:p>
            <w:pPr>
              <w:spacing w:after="0"/>
              <w:rPr>
                <w:sz w:val="20"/>
                <w:szCs w:val="20"/>
                <w:color w:val="auto"/>
              </w:rPr>
            </w:pPr>
          </w:p>
        </w:tc>
      </w:tr>
      <w:tr>
        <w:trPr>
          <w:trHeight w:val="270"/>
        </w:trPr>
        <w:tc>
          <w:tcPr>
            <w:tcW w:w="77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00" w:type="dxa"/>
            <w:vAlign w:val="bottom"/>
          </w:tcPr>
          <w:p>
            <w:pPr>
              <w:spacing w:after="0"/>
              <w:rPr>
                <w:sz w:val="23"/>
                <w:szCs w:val="23"/>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3"/>
                <w:szCs w:val="23"/>
                <w:color w:val="auto"/>
              </w:rPr>
            </w:pPr>
          </w:p>
        </w:tc>
        <w:tc>
          <w:tcPr>
            <w:tcW w:w="1100" w:type="dxa"/>
            <w:vAlign w:val="bottom"/>
          </w:tcPr>
          <w:p>
            <w:pPr>
              <w:jc w:val="right"/>
              <w:ind w:right="550"/>
              <w:spacing w:after="0"/>
              <w:rPr>
                <w:sz w:val="20"/>
                <w:szCs w:val="20"/>
                <w:color w:val="auto"/>
              </w:rPr>
            </w:pPr>
            <w:r>
              <w:rPr>
                <w:rFonts w:ascii="Arial" w:cs="Arial" w:eastAsia="Arial" w:hAnsi="Arial"/>
                <w:sz w:val="18"/>
                <w:szCs w:val="18"/>
                <w:color w:val="auto"/>
              </w:rPr>
              <w:t>2018</w:t>
            </w:r>
          </w:p>
        </w:tc>
      </w:tr>
      <w:tr>
        <w:trPr>
          <w:trHeight w:val="27"/>
        </w:trPr>
        <w:tc>
          <w:tcPr>
            <w:tcW w:w="7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366,658</w:t>
            </w:r>
          </w:p>
        </w:tc>
        <w:tc>
          <w:tcPr>
            <w:tcW w:w="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351,640</w:t>
            </w:r>
          </w:p>
        </w:tc>
      </w:tr>
      <w:tr>
        <w:trPr>
          <w:trHeight w:val="243"/>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164,957</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166,776</w:t>
            </w:r>
          </w:p>
        </w:tc>
      </w:tr>
      <w:tr>
        <w:trPr>
          <w:trHeight w:val="243"/>
        </w:trPr>
        <w:tc>
          <w:tcPr>
            <w:tcW w:w="770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88,515</w:t>
            </w:r>
          </w:p>
        </w:tc>
        <w:tc>
          <w:tcPr>
            <w:tcW w:w="8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84,325</w:t>
            </w:r>
          </w:p>
        </w:tc>
      </w:tr>
      <w:tr>
        <w:trPr>
          <w:trHeight w:val="27"/>
        </w:trPr>
        <w:tc>
          <w:tcPr>
            <w:tcW w:w="77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253,472</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251,101</w:t>
            </w:r>
          </w:p>
        </w:tc>
      </w:tr>
      <w:tr>
        <w:trPr>
          <w:trHeight w:val="257"/>
        </w:trPr>
        <w:tc>
          <w:tcPr>
            <w:tcW w:w="770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77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113,186</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100,539</w:t>
            </w:r>
          </w:p>
        </w:tc>
      </w:tr>
      <w:tr>
        <w:trPr>
          <w:trHeight w:val="257"/>
        </w:trPr>
        <w:tc>
          <w:tcPr>
            <w:tcW w:w="770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(3,131)</w:t>
            </w:r>
          </w:p>
        </w:tc>
        <w:tc>
          <w:tcPr>
            <w:tcW w:w="8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(4,459)</w:t>
            </w:r>
          </w:p>
        </w:tc>
      </w:tr>
      <w:tr>
        <w:trPr>
          <w:trHeight w:val="27"/>
        </w:trPr>
        <w:tc>
          <w:tcPr>
            <w:tcW w:w="7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(1,314)</w:t>
            </w:r>
          </w:p>
        </w:tc>
        <w:tc>
          <w:tcPr>
            <w:tcW w:w="8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37"/>
        </w:trPr>
        <w:tc>
          <w:tcPr>
            <w:tcW w:w="7700" w:type="dxa"/>
            <w:vAlign w:val="bottom"/>
            <w:gridSpan w:val="2"/>
          </w:tcPr>
          <w:p>
            <w:pPr>
              <w:ind w:left="66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108,741</w:t>
            </w:r>
          </w:p>
        </w:tc>
        <w:tc>
          <w:tcPr>
            <w:tcW w:w="8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95,943</w:t>
            </w:r>
          </w:p>
        </w:tc>
      </w:tr>
      <w:tr>
        <w:trPr>
          <w:trHeight w:val="27"/>
        </w:trPr>
        <w:tc>
          <w:tcPr>
            <w:tcW w:w="7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7700" w:type="dxa"/>
            <w:vAlign w:val="bottom"/>
            <w:gridSpan w:val="2"/>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14,784</w:t>
            </w:r>
          </w:p>
        </w:tc>
        <w:tc>
          <w:tcPr>
            <w:tcW w:w="8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11,647</w:t>
            </w:r>
          </w:p>
        </w:tc>
      </w:tr>
      <w:tr>
        <w:trPr>
          <w:trHeight w:val="27"/>
        </w:trPr>
        <w:tc>
          <w:tcPr>
            <w:tcW w:w="77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7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93,957</w:t>
            </w:r>
          </w:p>
        </w:tc>
        <w:tc>
          <w:tcPr>
            <w:tcW w:w="8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84,296</w:t>
            </w:r>
          </w:p>
        </w:tc>
      </w:tr>
      <w:tr>
        <w:trPr>
          <w:trHeight w:val="20"/>
        </w:trPr>
        <w:tc>
          <w:tcPr>
            <w:tcW w:w="77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2.47</w:t>
            </w:r>
          </w:p>
        </w:tc>
        <w:tc>
          <w:tcPr>
            <w:tcW w:w="8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r>
      <w:tr>
        <w:trPr>
          <w:trHeight w:val="243"/>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2.43</w:t>
            </w: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2.17</w:t>
            </w:r>
          </w:p>
        </w:tc>
      </w:tr>
      <w:tr>
        <w:trPr>
          <w:trHeight w:val="27"/>
        </w:trPr>
        <w:tc>
          <w:tcPr>
            <w:tcW w:w="7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7700" w:type="dxa"/>
            <w:vAlign w:val="bottom"/>
            <w:gridSpan w:val="2"/>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shares</w:t>
            </w:r>
          </w:p>
        </w:tc>
        <w:tc>
          <w:tcPr>
            <w:tcW w:w="30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37,978</w:t>
            </w:r>
          </w:p>
        </w:tc>
        <w:tc>
          <w:tcPr>
            <w:tcW w:w="8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38,106</w:t>
            </w:r>
          </w:p>
        </w:tc>
      </w:tr>
      <w:tr>
        <w:trPr>
          <w:trHeight w:val="27"/>
        </w:trPr>
        <w:tc>
          <w:tcPr>
            <w:tcW w:w="7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38,587</w:t>
            </w:r>
          </w:p>
        </w:tc>
        <w:tc>
          <w:tcPr>
            <w:tcW w:w="8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38,809</w:t>
            </w:r>
          </w:p>
        </w:tc>
      </w:tr>
      <w:tr>
        <w:trPr>
          <w:trHeight w:val="27"/>
        </w:trPr>
        <w:tc>
          <w:tcPr>
            <w:tcW w:w="128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08"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772"/>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360" w:type="dxa"/>
            <w:vAlign w:val="bottom"/>
            <w:gridSpan w:val="3"/>
          </w:tcPr>
          <w:p>
            <w:pPr>
              <w:jc w:val="right"/>
              <w:ind w:right="1030"/>
              <w:spacing w:after="0"/>
              <w:rPr>
                <w:sz w:val="20"/>
                <w:szCs w:val="20"/>
                <w:color w:val="auto"/>
              </w:rPr>
            </w:pPr>
            <w:r>
              <w:rPr>
                <w:rFonts w:ascii="Arial" w:cs="Arial" w:eastAsia="Arial" w:hAnsi="Arial"/>
                <w:sz w:val="18"/>
                <w:szCs w:val="18"/>
                <w:color w:val="auto"/>
              </w:rPr>
              <w:t>Three Months Ended</w:t>
            </w:r>
          </w:p>
        </w:tc>
      </w:tr>
      <w:tr>
        <w:trPr>
          <w:trHeight w:val="230"/>
        </w:trPr>
        <w:tc>
          <w:tcPr>
            <w:tcW w:w="12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gridSpan w:val="2"/>
          </w:tcPr>
          <w:p>
            <w:pPr>
              <w:jc w:val="right"/>
              <w:ind w:right="10"/>
              <w:spacing w:after="0"/>
              <w:rPr>
                <w:sz w:val="20"/>
                <w:szCs w:val="20"/>
                <w:color w:val="auto"/>
              </w:rPr>
            </w:pPr>
            <w:r>
              <w:rPr>
                <w:rFonts w:ascii="Arial" w:cs="Arial" w:eastAsia="Arial" w:hAnsi="Arial"/>
                <w:sz w:val="18"/>
                <w:szCs w:val="18"/>
                <w:color w:val="auto"/>
              </w:rPr>
              <w:t>November 30,</w:t>
            </w:r>
          </w:p>
        </w:tc>
        <w:tc>
          <w:tcPr>
            <w:tcW w:w="1260" w:type="dxa"/>
            <w:vAlign w:val="bottom"/>
          </w:tcPr>
          <w:p>
            <w:pPr>
              <w:spacing w:after="0"/>
              <w:rPr>
                <w:sz w:val="20"/>
                <w:szCs w:val="20"/>
                <w:color w:val="auto"/>
              </w:rPr>
            </w:pPr>
          </w:p>
        </w:tc>
      </w:tr>
      <w:tr>
        <w:trPr>
          <w:trHeight w:val="270"/>
        </w:trPr>
        <w:tc>
          <w:tcPr>
            <w:tcW w:w="76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23"/>
                <w:szCs w:val="23"/>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color w:val="auto"/>
              </w:rPr>
              <w:t>2018</w:t>
            </w:r>
          </w:p>
        </w:tc>
      </w:tr>
      <w:tr>
        <w:trPr>
          <w:trHeight w:val="27"/>
        </w:trPr>
        <w:tc>
          <w:tcPr>
            <w:tcW w:w="76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93,957</w:t>
            </w:r>
          </w:p>
        </w:tc>
        <w:tc>
          <w:tcPr>
            <w:tcW w:w="8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84,296</w:t>
            </w:r>
          </w:p>
        </w:tc>
      </w:tr>
      <w:tr>
        <w:trPr>
          <w:trHeight w:val="257"/>
        </w:trPr>
        <w:tc>
          <w:tcPr>
            <w:tcW w:w="768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Net unrealized gain on cash flow hedges*</w:t>
            </w:r>
          </w:p>
        </w:tc>
        <w:tc>
          <w:tcPr>
            <w:tcW w:w="3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2,051</w:t>
            </w:r>
          </w:p>
        </w:tc>
        <w:tc>
          <w:tcPr>
            <w:tcW w:w="8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1,038</w:t>
            </w:r>
          </w:p>
        </w:tc>
      </w:tr>
      <w:tr>
        <w:trPr>
          <w:trHeight w:val="27"/>
        </w:trPr>
        <w:tc>
          <w:tcPr>
            <w:tcW w:w="76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6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7,787</w:t>
            </w:r>
          </w:p>
        </w:tc>
        <w:tc>
          <w:tcPr>
            <w:tcW w:w="8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r>
      <w:tr>
        <w:trPr>
          <w:trHeight w:val="237"/>
        </w:trPr>
        <w:tc>
          <w:tcPr>
            <w:tcW w:w="7680" w:type="dxa"/>
            <w:vAlign w:val="bottom"/>
            <w:gridSpan w:val="2"/>
          </w:tcPr>
          <w:p>
            <w:pPr>
              <w:ind w:left="78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9,838</w:t>
            </w:r>
          </w:p>
        </w:tc>
        <w:tc>
          <w:tcPr>
            <w:tcW w:w="8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(8,466)</w:t>
            </w:r>
          </w:p>
        </w:tc>
      </w:tr>
      <w:tr>
        <w:trPr>
          <w:trHeight w:val="27"/>
        </w:trPr>
        <w:tc>
          <w:tcPr>
            <w:tcW w:w="76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103,795</w:t>
            </w:r>
          </w:p>
        </w:tc>
        <w:tc>
          <w:tcPr>
            <w:tcW w:w="8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75,830</w:t>
            </w:r>
          </w:p>
        </w:tc>
      </w:tr>
      <w:tr>
        <w:trPr>
          <w:trHeight w:val="27"/>
        </w:trPr>
        <w:tc>
          <w:tcPr>
            <w:tcW w:w="1280" w:type="dxa"/>
            <w:vAlign w:val="bottom"/>
            <w:shd w:val="clear" w:color="auto" w:fill="CCEEFF"/>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86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months ended November 30, 2019 and 2018, the unrealized gains on cash flow hedges were net of a tax expense of $714 and $588,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 Unaudited</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w w:val="97"/>
              </w:rPr>
              <w:t>November 30,</w:t>
            </w:r>
          </w:p>
        </w:tc>
        <w:tc>
          <w:tcPr>
            <w:tcW w:w="300" w:type="dxa"/>
            <w:vAlign w:val="bottom"/>
          </w:tcPr>
          <w:p>
            <w:pPr>
              <w:spacing w:after="0"/>
              <w:rPr>
                <w:sz w:val="22"/>
                <w:szCs w:val="22"/>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w w:val="97"/>
              </w:rPr>
              <w:t>August 31,</w:t>
            </w: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2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336,217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359,799</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26,051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25,813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reserves of $8,901 at November 30, 2019 and $10,511 at August 31, 2019</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145,434</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146,309</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15,033</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38,513</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546,215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583,812</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137,726</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119,384</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691,321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685,729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131,679</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133,691</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10,514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20"/>
              <w:spacing w:after="0"/>
              <w:rPr>
                <w:sz w:val="20"/>
                <w:szCs w:val="20"/>
                <w:color w:val="auto"/>
              </w:rPr>
            </w:pPr>
            <w:r>
              <w:rPr>
                <w:rFonts w:ascii="Arial" w:cs="Arial" w:eastAsia="Arial" w:hAnsi="Arial"/>
                <w:sz w:val="18"/>
                <w:szCs w:val="18"/>
                <w:color w:val="auto"/>
              </w:rPr>
              <w:t>Lease right-of-use assets, net</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216,957</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27,820</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29,943</w:t>
            </w:r>
          </w:p>
        </w:tc>
        <w:tc>
          <w:tcPr>
            <w:tcW w:w="0" w:type="dxa"/>
            <w:vAlign w:val="bottom"/>
          </w:tcPr>
          <w:p>
            <w:pPr>
              <w:spacing w:after="0"/>
              <w:rPr>
                <w:sz w:val="1"/>
                <w:szCs w:val="1"/>
                <w:color w:val="auto"/>
              </w:rPr>
            </w:pPr>
          </w:p>
        </w:tc>
      </w:tr>
      <w:tr>
        <w:trPr>
          <w:trHeight w:val="264"/>
        </w:trPr>
        <w:tc>
          <w:tcPr>
            <w:tcW w:w="8320" w:type="dxa"/>
            <w:vAlign w:val="bottom"/>
            <w:gridSpan w:val="2"/>
          </w:tcPr>
          <w:p>
            <w:pPr>
              <w:ind w:left="9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1,762,232</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1,560,130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87,172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79,620</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29,406</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18,632</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64,202</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fees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41,325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47,656</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3,825</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27,290</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37"/>
        </w:trPr>
        <w:tc>
          <w:tcPr>
            <w:tcW w:w="832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207,650</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218,923</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574,219</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574,174</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13,471</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16,391</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fees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9,932</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25,115</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237,040</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2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2,927</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42,006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1,070,354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887,874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Commitments and contingencies (see Note 16)</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3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Common stock, $0.01 par value, 150,000,000 shares authorized, 40,239,308 and 40,104,192 shares issued,</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402</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37,904,178 and 38,117,840 shares outstanding at November 30, 2019 and August 31, 2019, respectively</w:t>
            </w: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835,968</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806,973</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89"/>
              </w:rPr>
              <w:t>Treasury stock, at cost: 2,335,130 and 1,986,352 shares at November 30, 2019 and August 31, 2019,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(519,678)</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(433,799)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439,892</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373,225</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(64,706)</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(74,544)</w:t>
            </w:r>
          </w:p>
        </w:tc>
        <w:tc>
          <w:tcPr>
            <w:tcW w:w="0" w:type="dxa"/>
            <w:vAlign w:val="bottom"/>
          </w:tcPr>
          <w:p>
            <w:pPr>
              <w:spacing w:after="0"/>
              <w:rPr>
                <w:sz w:val="1"/>
                <w:szCs w:val="1"/>
                <w:color w:val="auto"/>
              </w:rPr>
            </w:pPr>
          </w:p>
        </w:tc>
      </w:tr>
      <w:tr>
        <w:trPr>
          <w:trHeight w:val="237"/>
        </w:trPr>
        <w:tc>
          <w:tcPr>
            <w:tcW w:w="832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691,878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672,256</w:t>
            </w:r>
          </w:p>
        </w:tc>
        <w:tc>
          <w:tcPr>
            <w:tcW w:w="0" w:type="dxa"/>
            <w:vAlign w:val="bottom"/>
          </w:tcPr>
          <w:p>
            <w:pPr>
              <w:spacing w:after="0"/>
              <w:rPr>
                <w:sz w:val="1"/>
                <w:szCs w:val="1"/>
                <w:color w:val="auto"/>
              </w:rPr>
            </w:pP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1,762,232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1,560,130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7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 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128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8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r>
      <w:tr>
        <w:trPr>
          <w:trHeight w:val="230"/>
        </w:trPr>
        <w:tc>
          <w:tcPr>
            <w:tcW w:w="12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860" w:type="dxa"/>
            <w:vAlign w:val="bottom"/>
          </w:tcPr>
          <w:p>
            <w:pPr>
              <w:spacing w:after="0"/>
              <w:rPr>
                <w:sz w:val="20"/>
                <w:szCs w:val="20"/>
                <w:color w:val="auto"/>
              </w:rPr>
            </w:pPr>
          </w:p>
        </w:tc>
      </w:tr>
      <w:tr>
        <w:trPr>
          <w:trHeight w:val="270"/>
        </w:trPr>
        <w:tc>
          <w:tcPr>
            <w:tcW w:w="86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3"/>
                <w:szCs w:val="23"/>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3"/>
                <w:szCs w:val="23"/>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w w:val="89"/>
              </w:rPr>
              <w:t>2018</w:t>
            </w:r>
          </w:p>
        </w:tc>
      </w:tr>
      <w:tr>
        <w:trPr>
          <w:trHeight w:val="27"/>
        </w:trPr>
        <w:tc>
          <w:tcPr>
            <w:tcW w:w="86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93,957</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84,296</w:t>
            </w:r>
          </w:p>
        </w:tc>
      </w:tr>
      <w:tr>
        <w:trPr>
          <w:trHeight w:val="27"/>
        </w:trPr>
        <w:tc>
          <w:tcPr>
            <w:tcW w:w="8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14,390</w:t>
            </w:r>
          </w:p>
        </w:tc>
        <w:tc>
          <w:tcPr>
            <w:tcW w:w="5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14,241</w:t>
            </w:r>
          </w:p>
        </w:tc>
      </w:tr>
      <w:tr>
        <w:trPr>
          <w:trHeight w:val="27"/>
        </w:trPr>
        <w:tc>
          <w:tcPr>
            <w:tcW w:w="8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9,814</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8,435</w:t>
            </w:r>
          </w:p>
        </w:tc>
      </w:tr>
      <w:tr>
        <w:trPr>
          <w:trHeight w:val="243"/>
        </w:trPr>
        <w:tc>
          <w:tcPr>
            <w:tcW w:w="8620" w:type="dxa"/>
            <w:vAlign w:val="bottom"/>
            <w:gridSpan w:val="2"/>
          </w:tcPr>
          <w:p>
            <w:pPr>
              <w:ind w:left="1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(6,624)</w:t>
            </w:r>
          </w:p>
        </w:tc>
        <w:tc>
          <w:tcPr>
            <w:tcW w:w="5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(689)</w:t>
            </w:r>
          </w:p>
        </w:tc>
      </w:tr>
      <w:tr>
        <w:trPr>
          <w:trHeight w:val="27"/>
        </w:trPr>
        <w:tc>
          <w:tcPr>
            <w:tcW w:w="8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Loss on sale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r>
      <w:tr>
        <w:trPr>
          <w:trHeight w:val="243"/>
        </w:trPr>
        <w:tc>
          <w:tcPr>
            <w:tcW w:w="8620" w:type="dxa"/>
            <w:vAlign w:val="bottom"/>
            <w:gridSpan w:val="2"/>
          </w:tcPr>
          <w:p>
            <w:pPr>
              <w:ind w:left="1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 of reserves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875</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(3,583)</w:t>
            </w:r>
          </w:p>
        </w:tc>
      </w:tr>
      <w:tr>
        <w:trPr>
          <w:trHeight w:val="243"/>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13,165</w:t>
            </w:r>
          </w:p>
        </w:tc>
        <w:tc>
          <w:tcPr>
            <w:tcW w:w="5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(10,522)</w:t>
            </w:r>
          </w:p>
        </w:tc>
      </w:tr>
      <w:tr>
        <w:trPr>
          <w:trHeight w:val="27"/>
        </w:trPr>
        <w:tc>
          <w:tcPr>
            <w:tcW w:w="8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(45,780)</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(44,051)</w:t>
            </w:r>
          </w:p>
        </w:tc>
      </w:tr>
      <w:tr>
        <w:trPr>
          <w:trHeight w:val="243"/>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Deferred fees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(6,483)</w:t>
            </w:r>
          </w:p>
        </w:tc>
        <w:tc>
          <w:tcPr>
            <w:tcW w:w="5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(7,250)</w:t>
            </w:r>
          </w:p>
        </w:tc>
      </w:tr>
      <w:tr>
        <w:trPr>
          <w:trHeight w:val="27"/>
        </w:trPr>
        <w:tc>
          <w:tcPr>
            <w:tcW w:w="8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Taxes payable, net of prepaid taxes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16,616</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7,489</w:t>
            </w:r>
          </w:p>
        </w:tc>
      </w:tr>
      <w:tr>
        <w:trPr>
          <w:trHeight w:val="243"/>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5,861</w:t>
            </w:r>
          </w:p>
        </w:tc>
        <w:tc>
          <w:tcPr>
            <w:tcW w:w="5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(2,227)</w:t>
            </w:r>
          </w:p>
        </w:tc>
      </w:tr>
      <w:tr>
        <w:trPr>
          <w:trHeight w:val="27"/>
        </w:trPr>
        <w:tc>
          <w:tcPr>
            <w:tcW w:w="86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95,791</w:t>
            </w:r>
          </w:p>
        </w:tc>
        <w:tc>
          <w:tcPr>
            <w:tcW w:w="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46,320</w:t>
            </w:r>
          </w:p>
        </w:tc>
      </w:tr>
      <w:tr>
        <w:trPr>
          <w:trHeight w:val="196"/>
        </w:trPr>
        <w:tc>
          <w:tcPr>
            <w:tcW w:w="128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Purchases of property, equipment and leasehold improvements, net of proceeds from dispositions</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(26,780)</w:t>
            </w:r>
          </w:p>
        </w:tc>
        <w:tc>
          <w:tcPr>
            <w:tcW w:w="5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(9,526)</w:t>
            </w:r>
          </w:p>
        </w:tc>
      </w:tr>
      <w:tr>
        <w:trPr>
          <w:trHeight w:val="27"/>
        </w:trPr>
        <w:tc>
          <w:tcPr>
            <w:tcW w:w="8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(4,356)</w:t>
            </w: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Proceeds from maturity or sale of investments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2,257</w:t>
            </w:r>
          </w:p>
        </w:tc>
        <w:tc>
          <w:tcPr>
            <w:tcW w:w="5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6,573</w:t>
            </w:r>
          </w:p>
        </w:tc>
      </w:tr>
      <w:tr>
        <w:trPr>
          <w:trHeight w:val="27"/>
        </w:trPr>
        <w:tc>
          <w:tcPr>
            <w:tcW w:w="86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(27,143)</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(7,309)</w:t>
            </w:r>
          </w:p>
        </w:tc>
      </w:tr>
      <w:tr>
        <w:trPr>
          <w:trHeight w:val="216"/>
        </w:trPr>
        <w:tc>
          <w:tcPr>
            <w:tcW w:w="86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(84,423)</w:t>
            </w:r>
          </w:p>
        </w:tc>
        <w:tc>
          <w:tcPr>
            <w:tcW w:w="5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(64,718)</w:t>
            </w:r>
          </w:p>
        </w:tc>
      </w:tr>
      <w:tr>
        <w:trPr>
          <w:trHeight w:val="27"/>
        </w:trPr>
        <w:tc>
          <w:tcPr>
            <w:tcW w:w="8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Dividend payments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(27,259)</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(24,252)</w:t>
            </w: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Proceeds from employee stock plans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16,727</w:t>
            </w:r>
          </w:p>
        </w:tc>
        <w:tc>
          <w:tcPr>
            <w:tcW w:w="5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13,965</w:t>
            </w:r>
          </w:p>
        </w:tc>
      </w:tr>
      <w:tr>
        <w:trPr>
          <w:trHeight w:val="27"/>
        </w:trPr>
        <w:tc>
          <w:tcPr>
            <w:tcW w:w="86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(94,955)</w:t>
            </w:r>
          </w:p>
        </w:tc>
        <w:tc>
          <w:tcPr>
            <w:tcW w:w="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(75,005)</w:t>
            </w:r>
          </w:p>
        </w:tc>
      </w:tr>
      <w:tr>
        <w:trPr>
          <w:trHeight w:val="237"/>
        </w:trPr>
        <w:tc>
          <w:tcPr>
            <w:tcW w:w="12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2,725</w:t>
            </w: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(2,251)</w:t>
            </w:r>
          </w:p>
        </w:tc>
      </w:tr>
      <w:tr>
        <w:trPr>
          <w:trHeight w:val="264"/>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(23,582)</w:t>
            </w:r>
          </w:p>
        </w:tc>
        <w:tc>
          <w:tcPr>
            <w:tcW w:w="5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(38,245)</w:t>
            </w:r>
          </w:p>
        </w:tc>
      </w:tr>
      <w:tr>
        <w:trPr>
          <w:trHeight w:val="27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359,799</w:t>
            </w: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208,623</w:t>
            </w:r>
          </w:p>
        </w:tc>
      </w:tr>
      <w:tr>
        <w:trPr>
          <w:trHeight w:val="264"/>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336,217</w:t>
            </w: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170,378</w:t>
            </w:r>
          </w:p>
        </w:tc>
      </w:tr>
      <w:tr>
        <w:trPr>
          <w:trHeight w:val="21"/>
        </w:trPr>
        <w:tc>
          <w:tcPr>
            <w:tcW w:w="12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November 30,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12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gridSpan w:val="3"/>
            <w:vMerge w:val="restart"/>
          </w:tcPr>
          <w:p>
            <w:pPr>
              <w:jc w:val="right"/>
              <w:ind w:right="677"/>
              <w:spacing w:after="0"/>
              <w:rPr>
                <w:sz w:val="20"/>
                <w:szCs w:val="20"/>
                <w:color w:val="auto"/>
              </w:rPr>
            </w:pPr>
            <w:r>
              <w:rPr>
                <w:rFonts w:ascii="Arial" w:cs="Arial" w:eastAsia="Arial" w:hAnsi="Arial"/>
                <w:sz w:val="13"/>
                <w:szCs w:val="13"/>
                <w:color w:val="auto"/>
              </w:rPr>
              <w:t>Treasury Stock</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87"/>
              </w:rPr>
              <w:t>Accumulated</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660" w:type="dxa"/>
            <w:vAlign w:val="bottom"/>
          </w:tcPr>
          <w:p>
            <w:pPr>
              <w:spacing w:after="0"/>
              <w:rPr>
                <w:sz w:val="11"/>
                <w:szCs w:val="11"/>
                <w:color w:val="auto"/>
              </w:rPr>
            </w:pPr>
          </w:p>
        </w:tc>
        <w:tc>
          <w:tcPr>
            <w:tcW w:w="2120" w:type="dxa"/>
            <w:vAlign w:val="bottom"/>
            <w:tcBorders>
              <w:bottom w:val="single" w:sz="8" w:color="auto"/>
            </w:tcBorders>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137"/>
              <w:spacing w:after="0" w:line="136" w:lineRule="exact"/>
              <w:rPr>
                <w:sz w:val="20"/>
                <w:szCs w:val="20"/>
                <w:color w:val="auto"/>
              </w:rPr>
            </w:pPr>
            <w:r>
              <w:rPr>
                <w:rFonts w:ascii="Arial" w:cs="Arial" w:eastAsia="Arial" w:hAnsi="Arial"/>
                <w:sz w:val="13"/>
                <w:szCs w:val="13"/>
                <w:color w:val="auto"/>
              </w:rPr>
              <w:t>Additional</w:t>
            </w:r>
          </w:p>
        </w:tc>
        <w:tc>
          <w:tcPr>
            <w:tcW w:w="2240" w:type="dxa"/>
            <w:vAlign w:val="bottom"/>
            <w:tcBorders>
              <w:bottom w:val="single" w:sz="8" w:color="auto"/>
            </w:tcBorders>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92"/>
              </w:rPr>
              <w:t>Other</w:t>
            </w:r>
          </w:p>
        </w:tc>
        <w:tc>
          <w:tcPr>
            <w:tcW w:w="240" w:type="dxa"/>
            <w:vAlign w:val="bottom"/>
          </w:tcPr>
          <w:p>
            <w:pPr>
              <w:spacing w:after="0"/>
              <w:rPr>
                <w:sz w:val="11"/>
                <w:szCs w:val="11"/>
                <w:color w:val="auto"/>
              </w:rPr>
            </w:pPr>
          </w:p>
        </w:tc>
        <w:tc>
          <w:tcPr>
            <w:tcW w:w="980" w:type="dxa"/>
            <w:vAlign w:val="bottom"/>
          </w:tcPr>
          <w:p>
            <w:pPr>
              <w:jc w:val="center"/>
              <w:ind w:right="97"/>
              <w:spacing w:after="0" w:line="136"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14"/>
        </w:trPr>
        <w:tc>
          <w:tcPr>
            <w:tcW w:w="2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ind w:right="217"/>
              <w:spacing w:after="0" w:line="114" w:lineRule="exact"/>
              <w:rPr>
                <w:sz w:val="20"/>
                <w:szCs w:val="20"/>
                <w:color w:val="auto"/>
              </w:rPr>
            </w:pPr>
            <w:r>
              <w:rPr>
                <w:rFonts w:ascii="Arial" w:cs="Arial" w:eastAsia="Arial" w:hAnsi="Arial"/>
                <w:sz w:val="13"/>
                <w:szCs w:val="13"/>
                <w:color w:val="auto"/>
              </w:rPr>
              <w:t>Paid-in</w:t>
            </w: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right"/>
              <w:ind w:right="197"/>
              <w:spacing w:after="0" w:line="114" w:lineRule="exact"/>
              <w:rPr>
                <w:sz w:val="20"/>
                <w:szCs w:val="20"/>
                <w:color w:val="auto"/>
              </w:rPr>
            </w:pPr>
            <w:r>
              <w:rPr>
                <w:rFonts w:ascii="Arial" w:cs="Arial" w:eastAsia="Arial" w:hAnsi="Arial"/>
                <w:sz w:val="13"/>
                <w:szCs w:val="13"/>
                <w:color w:val="auto"/>
                <w:w w:val="99"/>
              </w:rPr>
              <w:t>Retained</w:t>
            </w:r>
          </w:p>
        </w:tc>
        <w:tc>
          <w:tcPr>
            <w:tcW w:w="220" w:type="dxa"/>
            <w:vAlign w:val="bottom"/>
          </w:tcPr>
          <w:p>
            <w:pPr>
              <w:spacing w:after="0"/>
              <w:rPr>
                <w:sz w:val="9"/>
                <w:szCs w:val="9"/>
                <w:color w:val="auto"/>
              </w:rPr>
            </w:pPr>
          </w:p>
        </w:tc>
        <w:tc>
          <w:tcPr>
            <w:tcW w:w="1000" w:type="dxa"/>
            <w:vAlign w:val="bottom"/>
          </w:tcPr>
          <w:p>
            <w:pPr>
              <w:jc w:val="center"/>
              <w:ind w:right="77"/>
              <w:spacing w:after="0" w:line="114" w:lineRule="exact"/>
              <w:rPr>
                <w:sz w:val="20"/>
                <w:szCs w:val="20"/>
                <w:color w:val="auto"/>
              </w:rPr>
            </w:pPr>
            <w:r>
              <w:rPr>
                <w:rFonts w:ascii="Arial" w:cs="Arial" w:eastAsia="Arial" w:hAnsi="Arial"/>
                <w:sz w:val="13"/>
                <w:szCs w:val="13"/>
                <w:color w:val="auto"/>
                <w:w w:val="85"/>
              </w:rPr>
              <w:t>Comprehensive</w:t>
            </w:r>
          </w:p>
        </w:tc>
        <w:tc>
          <w:tcPr>
            <w:tcW w:w="240" w:type="dxa"/>
            <w:vAlign w:val="bottom"/>
          </w:tcPr>
          <w:p>
            <w:pPr>
              <w:spacing w:after="0"/>
              <w:rPr>
                <w:sz w:val="9"/>
                <w:szCs w:val="9"/>
                <w:color w:val="auto"/>
              </w:rPr>
            </w:pPr>
          </w:p>
        </w:tc>
        <w:tc>
          <w:tcPr>
            <w:tcW w:w="980" w:type="dxa"/>
            <w:vAlign w:val="bottom"/>
          </w:tcPr>
          <w:p>
            <w:pPr>
              <w:jc w:val="center"/>
              <w:ind w:right="97"/>
              <w:spacing w:after="0" w:line="11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94"/>
              </w:rPr>
              <w:t>Par Value</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Capital</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Amount</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79"/>
              </w:rPr>
              <w:t>Loss</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August 31, 2019</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40,104,192</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401</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806,973</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1,986,352</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(433,799)</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373,225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(74,544)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672,256</w:t>
            </w:r>
          </w:p>
        </w:tc>
        <w:tc>
          <w:tcPr>
            <w:tcW w:w="0" w:type="dxa"/>
            <w:vAlign w:val="bottom"/>
          </w:tcPr>
          <w:p>
            <w:pPr>
              <w:spacing w:after="0"/>
              <w:rPr>
                <w:sz w:val="1"/>
                <w:szCs w:val="1"/>
                <w:color w:val="auto"/>
              </w:rPr>
            </w:pPr>
          </w:p>
        </w:tc>
      </w:tr>
      <w:tr>
        <w:trPr>
          <w:trHeight w:val="181"/>
        </w:trPr>
        <w:tc>
          <w:tcPr>
            <w:tcW w:w="26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93,957</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93,957</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 income</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9,838</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9,838</w:t>
            </w:r>
          </w:p>
        </w:tc>
        <w:tc>
          <w:tcPr>
            <w:tcW w:w="0" w:type="dxa"/>
            <w:vAlign w:val="bottom"/>
          </w:tcPr>
          <w:p>
            <w:pPr>
              <w:spacing w:after="0"/>
              <w:rPr>
                <w:sz w:val="1"/>
                <w:szCs w:val="1"/>
                <w:color w:val="auto"/>
              </w:rPr>
            </w:pPr>
          </w:p>
        </w:tc>
      </w:tr>
      <w:tr>
        <w:trPr>
          <w:trHeight w:val="181"/>
        </w:trPr>
        <w:tc>
          <w:tcPr>
            <w:tcW w:w="2660" w:type="dxa"/>
            <w:vAlign w:val="bottom"/>
          </w:tcPr>
          <w:p>
            <w:pPr>
              <w:ind w:left="120"/>
              <w:spacing w:after="0"/>
              <w:rPr>
                <w:sz w:val="20"/>
                <w:szCs w:val="20"/>
                <w:color w:val="auto"/>
              </w:rPr>
            </w:pPr>
            <w:r>
              <w:rPr>
                <w:rFonts w:ascii="Arial" w:cs="Arial" w:eastAsia="Arial" w:hAnsi="Arial"/>
                <w:sz w:val="13"/>
                <w:szCs w:val="13"/>
                <w:color w:val="auto"/>
                <w:w w:val="91"/>
              </w:rPr>
              <w:t>Common stock issued for employee stock plans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119,740</w:t>
            </w:r>
          </w:p>
        </w:tc>
        <w:tc>
          <w:tcPr>
            <w:tcW w:w="280" w:type="dxa"/>
            <w:vAlign w:val="bottom"/>
          </w:tcPr>
          <w:p>
            <w:pPr>
              <w:spacing w:after="0"/>
              <w:rPr>
                <w:sz w:val="15"/>
                <w:szCs w:val="15"/>
                <w:color w:val="auto"/>
              </w:rPr>
            </w:pP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19,181</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19,182</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15,376</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5,778</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(1,456)</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(1,456)</w:t>
            </w:r>
          </w:p>
        </w:tc>
        <w:tc>
          <w:tcPr>
            <w:tcW w:w="0" w:type="dxa"/>
            <w:vAlign w:val="bottom"/>
          </w:tcPr>
          <w:p>
            <w:pPr>
              <w:spacing w:after="0"/>
              <w:rPr>
                <w:sz w:val="1"/>
                <w:szCs w:val="1"/>
                <w:color w:val="auto"/>
              </w:rPr>
            </w:pPr>
          </w:p>
        </w:tc>
      </w:tr>
      <w:tr>
        <w:trPr>
          <w:trHeight w:val="181"/>
        </w:trPr>
        <w:tc>
          <w:tcPr>
            <w:tcW w:w="266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343,000</w:t>
            </w:r>
          </w:p>
        </w:tc>
        <w:tc>
          <w:tcPr>
            <w:tcW w:w="300" w:type="dxa"/>
            <w:vAlign w:val="bottom"/>
          </w:tcPr>
          <w:p>
            <w:pPr>
              <w:spacing w:after="0"/>
              <w:rPr>
                <w:sz w:val="15"/>
                <w:szCs w:val="15"/>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(84,423)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(84,423)</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9,814</w:t>
            </w: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9,814</w:t>
            </w:r>
          </w:p>
        </w:tc>
        <w:tc>
          <w:tcPr>
            <w:tcW w:w="0" w:type="dxa"/>
            <w:vAlign w:val="bottom"/>
          </w:tcPr>
          <w:p>
            <w:pPr>
              <w:spacing w:after="0"/>
              <w:rPr>
                <w:sz w:val="1"/>
                <w:szCs w:val="1"/>
                <w:color w:val="auto"/>
              </w:rPr>
            </w:pPr>
          </w:p>
        </w:tc>
      </w:tr>
      <w:tr>
        <w:trPr>
          <w:trHeight w:val="181"/>
        </w:trPr>
        <w:tc>
          <w:tcPr>
            <w:tcW w:w="2660" w:type="dxa"/>
            <w:vAlign w:val="bottom"/>
          </w:tcPr>
          <w:p>
            <w:pPr>
              <w:ind w:left="120"/>
              <w:spacing w:after="0"/>
              <w:rPr>
                <w:sz w:val="20"/>
                <w:szCs w:val="20"/>
                <w:color w:val="auto"/>
              </w:rPr>
            </w:pPr>
            <w:r>
              <w:rPr>
                <w:rFonts w:ascii="Arial" w:cs="Arial" w:eastAsia="Arial" w:hAnsi="Arial"/>
                <w:sz w:val="13"/>
                <w:szCs w:val="13"/>
                <w:color w:val="auto"/>
              </w:rPr>
              <w:t>Dividends declared</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(27,290)</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(27,290)</w:t>
            </w:r>
          </w:p>
        </w:tc>
        <w:tc>
          <w:tcPr>
            <w:tcW w:w="0" w:type="dxa"/>
            <w:vAlign w:val="bottom"/>
          </w:tcPr>
          <w:p>
            <w:pPr>
              <w:spacing w:after="0"/>
              <w:rPr>
                <w:sz w:val="1"/>
                <w:szCs w:val="1"/>
                <w:color w:val="auto"/>
              </w:rPr>
            </w:pPr>
          </w:p>
        </w:tc>
      </w:tr>
      <w:tr>
        <w:trPr>
          <w:trHeight w:val="221"/>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November 30, 2019</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40,239,308</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402</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835,968</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2,335,130</w:t>
            </w: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(519,678)</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439,892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(64,706)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691,878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November 30, 2018</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77"/>
              <w:spacing w:after="0"/>
              <w:rPr>
                <w:sz w:val="20"/>
                <w:szCs w:val="20"/>
                <w:color w:val="auto"/>
              </w:rPr>
            </w:pPr>
            <w:r>
              <w:rPr>
                <w:rFonts w:ascii="Arial" w:cs="Arial" w:eastAsia="Arial" w:hAnsi="Arial"/>
                <w:sz w:val="13"/>
                <w:szCs w:val="13"/>
                <w:color w:val="auto"/>
                <w:w w:val="87"/>
              </w:rPr>
              <w:t>Accumulated</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restart"/>
          </w:tcPr>
          <w:p>
            <w:pPr>
              <w:jc w:val="right"/>
              <w:ind w:right="137"/>
              <w:spacing w:after="0" w:line="135" w:lineRule="exact"/>
              <w:rPr>
                <w:sz w:val="20"/>
                <w:szCs w:val="20"/>
                <w:color w:val="auto"/>
              </w:rPr>
            </w:pPr>
            <w:r>
              <w:rPr>
                <w:rFonts w:ascii="Arial" w:cs="Arial" w:eastAsia="Arial" w:hAnsi="Arial"/>
                <w:sz w:val="13"/>
                <w:szCs w:val="13"/>
                <w:color w:val="auto"/>
              </w:rPr>
              <w:t>Additional</w:t>
            </w:r>
          </w:p>
        </w:tc>
        <w:tc>
          <w:tcPr>
            <w:tcW w:w="15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92"/>
              </w:rPr>
              <w:t>Other</w:t>
            </w:r>
          </w:p>
        </w:tc>
        <w:tc>
          <w:tcPr>
            <w:tcW w:w="240" w:type="dxa"/>
            <w:vAlign w:val="bottom"/>
          </w:tcPr>
          <w:p>
            <w:pPr>
              <w:spacing w:after="0"/>
              <w:rPr>
                <w:sz w:val="3"/>
                <w:szCs w:val="3"/>
                <w:color w:val="auto"/>
              </w:rPr>
            </w:pPr>
          </w:p>
        </w:tc>
        <w:tc>
          <w:tcPr>
            <w:tcW w:w="980" w:type="dxa"/>
            <w:vAlign w:val="bottom"/>
            <w:vMerge w:val="restart"/>
          </w:tcPr>
          <w:p>
            <w:pPr>
              <w:jc w:val="center"/>
              <w:ind w:right="97"/>
              <w:spacing w:after="0" w:line="135"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212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3"/>
                <w:szCs w:val="13"/>
                <w:color w:val="auto"/>
              </w:rPr>
              <w:t>Shares Amount</w:t>
            </w: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660" w:type="dxa"/>
            <w:vAlign w:val="bottom"/>
          </w:tcPr>
          <w:p>
            <w:pPr>
              <w:spacing w:after="0"/>
              <w:rPr>
                <w:sz w:val="6"/>
                <w:szCs w:val="6"/>
                <w:color w:val="auto"/>
              </w:rPr>
            </w:pPr>
          </w:p>
        </w:tc>
        <w:tc>
          <w:tcPr>
            <w:tcW w:w="2120" w:type="dxa"/>
            <w:vAlign w:val="bottom"/>
            <w:tcBorders>
              <w:bottom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217"/>
              <w:spacing w:after="0" w:line="135" w:lineRule="exact"/>
              <w:rPr>
                <w:sz w:val="20"/>
                <w:szCs w:val="20"/>
                <w:color w:val="auto"/>
              </w:rPr>
            </w:pPr>
            <w:r>
              <w:rPr>
                <w:rFonts w:ascii="Arial" w:cs="Arial" w:eastAsia="Arial" w:hAnsi="Arial"/>
                <w:sz w:val="13"/>
                <w:szCs w:val="13"/>
                <w:color w:val="auto"/>
              </w:rPr>
              <w:t>Paid-in</w:t>
            </w:r>
          </w:p>
        </w:tc>
        <w:tc>
          <w:tcPr>
            <w:tcW w:w="1520" w:type="dxa"/>
            <w:vAlign w:val="bottom"/>
            <w:tcBorders>
              <w:bottom w:val="single" w:sz="8" w:color="auto"/>
            </w:tcBorders>
            <w:gridSpan w:val="2"/>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restart"/>
          </w:tcPr>
          <w:p>
            <w:pPr>
              <w:jc w:val="right"/>
              <w:ind w:right="197"/>
              <w:spacing w:after="0" w:line="135" w:lineRule="exact"/>
              <w:rPr>
                <w:sz w:val="20"/>
                <w:szCs w:val="20"/>
                <w:color w:val="auto"/>
              </w:rPr>
            </w:pPr>
            <w:r>
              <w:rPr>
                <w:rFonts w:ascii="Arial" w:cs="Arial" w:eastAsia="Arial" w:hAnsi="Arial"/>
                <w:sz w:val="13"/>
                <w:szCs w:val="13"/>
                <w:color w:val="auto"/>
                <w:w w:val="99"/>
              </w:rPr>
              <w:t>Retained</w:t>
            </w:r>
          </w:p>
        </w:tc>
        <w:tc>
          <w:tcPr>
            <w:tcW w:w="220" w:type="dxa"/>
            <w:vAlign w:val="bottom"/>
          </w:tcPr>
          <w:p>
            <w:pPr>
              <w:spacing w:after="0"/>
              <w:rPr>
                <w:sz w:val="6"/>
                <w:szCs w:val="6"/>
                <w:color w:val="auto"/>
              </w:rPr>
            </w:pPr>
          </w:p>
        </w:tc>
        <w:tc>
          <w:tcPr>
            <w:tcW w:w="100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5"/>
              </w:rPr>
              <w:t>Comprehensive</w:t>
            </w:r>
          </w:p>
        </w:tc>
        <w:tc>
          <w:tcPr>
            <w:tcW w:w="240" w:type="dxa"/>
            <w:vAlign w:val="bottom"/>
          </w:tcPr>
          <w:p>
            <w:pPr>
              <w:spacing w:after="0"/>
              <w:rPr>
                <w:sz w:val="6"/>
                <w:szCs w:val="6"/>
                <w:color w:val="auto"/>
              </w:rPr>
            </w:pPr>
          </w:p>
        </w:tc>
        <w:tc>
          <w:tcPr>
            <w:tcW w:w="980" w:type="dxa"/>
            <w:vAlign w:val="bottom"/>
            <w:vMerge w:val="restart"/>
          </w:tcPr>
          <w:p>
            <w:pPr>
              <w:jc w:val="center"/>
              <w:ind w:right="97"/>
              <w:spacing w:after="0" w:line="135"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40"/>
        </w:trPr>
        <w:tc>
          <w:tcPr>
            <w:tcW w:w="2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94"/>
              </w:rPr>
              <w:t>Par Value</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Capital</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79"/>
              </w:rPr>
              <w:t>Loss</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August 31, 2018</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39,264,849</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393</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667,531</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1,072,263</w:t>
            </w:r>
          </w:p>
        </w:tc>
        <w:tc>
          <w:tcPr>
            <w:tcW w:w="4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9"/>
              </w:rPr>
              <w:t>(213,428)</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122,843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(51,439)</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525,900</w:t>
            </w:r>
          </w:p>
        </w:tc>
        <w:tc>
          <w:tcPr>
            <w:tcW w:w="0" w:type="dxa"/>
            <w:vAlign w:val="bottom"/>
          </w:tcPr>
          <w:p>
            <w:pPr>
              <w:spacing w:after="0"/>
              <w:rPr>
                <w:sz w:val="1"/>
                <w:szCs w:val="1"/>
                <w:color w:val="auto"/>
              </w:rPr>
            </w:pPr>
          </w:p>
        </w:tc>
      </w:tr>
      <w:tr>
        <w:trPr>
          <w:trHeight w:val="181"/>
        </w:trPr>
        <w:tc>
          <w:tcPr>
            <w:tcW w:w="26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84,296</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84,296</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 income</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(8,466)</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(8,466)</w:t>
            </w:r>
          </w:p>
        </w:tc>
        <w:tc>
          <w:tcPr>
            <w:tcW w:w="0" w:type="dxa"/>
            <w:vAlign w:val="bottom"/>
          </w:tcPr>
          <w:p>
            <w:pPr>
              <w:spacing w:after="0"/>
              <w:rPr>
                <w:sz w:val="1"/>
                <w:szCs w:val="1"/>
                <w:color w:val="auto"/>
              </w:rPr>
            </w:pPr>
          </w:p>
        </w:tc>
      </w:tr>
      <w:tr>
        <w:trPr>
          <w:trHeight w:val="181"/>
        </w:trPr>
        <w:tc>
          <w:tcPr>
            <w:tcW w:w="2660" w:type="dxa"/>
            <w:vAlign w:val="bottom"/>
          </w:tcPr>
          <w:p>
            <w:pPr>
              <w:ind w:left="120"/>
              <w:spacing w:after="0"/>
              <w:rPr>
                <w:sz w:val="20"/>
                <w:szCs w:val="20"/>
                <w:color w:val="auto"/>
              </w:rPr>
            </w:pPr>
            <w:r>
              <w:rPr>
                <w:rFonts w:ascii="Arial" w:cs="Arial" w:eastAsia="Arial" w:hAnsi="Arial"/>
                <w:sz w:val="13"/>
                <w:szCs w:val="13"/>
                <w:color w:val="auto"/>
                <w:w w:val="91"/>
              </w:rPr>
              <w:t>Common stock issued for employee stock plans</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130,031</w:t>
            </w:r>
          </w:p>
        </w:tc>
        <w:tc>
          <w:tcPr>
            <w:tcW w:w="280" w:type="dxa"/>
            <w:vAlign w:val="bottom"/>
          </w:tcPr>
          <w:p>
            <w:pPr>
              <w:spacing w:after="0"/>
              <w:rPr>
                <w:sz w:val="15"/>
                <w:szCs w:val="15"/>
                <w:color w:val="auto"/>
              </w:rPr>
            </w:pP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18,112</w:t>
            </w: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18,113</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52,611</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19,350</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(4,277)</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(4,277)</w:t>
            </w:r>
          </w:p>
        </w:tc>
        <w:tc>
          <w:tcPr>
            <w:tcW w:w="0" w:type="dxa"/>
            <w:vAlign w:val="bottom"/>
          </w:tcPr>
          <w:p>
            <w:pPr>
              <w:spacing w:after="0"/>
              <w:rPr>
                <w:sz w:val="1"/>
                <w:szCs w:val="1"/>
                <w:color w:val="auto"/>
              </w:rPr>
            </w:pPr>
          </w:p>
        </w:tc>
      </w:tr>
      <w:tr>
        <w:trPr>
          <w:trHeight w:val="181"/>
        </w:trPr>
        <w:tc>
          <w:tcPr>
            <w:tcW w:w="266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275,000</w:t>
            </w:r>
          </w:p>
        </w:tc>
        <w:tc>
          <w:tcPr>
            <w:tcW w:w="46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color w:val="auto"/>
              </w:rPr>
              <w:t>(60,441)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(60,441)</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8,435</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8,435</w:t>
            </w:r>
          </w:p>
        </w:tc>
        <w:tc>
          <w:tcPr>
            <w:tcW w:w="0" w:type="dxa"/>
            <w:vAlign w:val="bottom"/>
          </w:tcPr>
          <w:p>
            <w:pPr>
              <w:spacing w:after="0"/>
              <w:rPr>
                <w:sz w:val="1"/>
                <w:szCs w:val="1"/>
                <w:color w:val="auto"/>
              </w:rPr>
            </w:pPr>
          </w:p>
        </w:tc>
      </w:tr>
      <w:tr>
        <w:trPr>
          <w:trHeight w:val="181"/>
        </w:trPr>
        <w:tc>
          <w:tcPr>
            <w:tcW w:w="2660" w:type="dxa"/>
            <w:vAlign w:val="bottom"/>
          </w:tcPr>
          <w:p>
            <w:pPr>
              <w:ind w:left="120"/>
              <w:spacing w:after="0"/>
              <w:rPr>
                <w:sz w:val="20"/>
                <w:szCs w:val="20"/>
                <w:color w:val="auto"/>
              </w:rPr>
            </w:pPr>
            <w:r>
              <w:rPr>
                <w:rFonts w:ascii="Arial" w:cs="Arial" w:eastAsia="Arial" w:hAnsi="Arial"/>
                <w:sz w:val="13"/>
                <w:szCs w:val="13"/>
                <w:color w:val="auto"/>
              </w:rPr>
              <w:t>Dividends declared</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(24,372)</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(24,372)</w:t>
            </w:r>
          </w:p>
        </w:tc>
        <w:tc>
          <w:tcPr>
            <w:tcW w:w="0" w:type="dxa"/>
            <w:vAlign w:val="bottom"/>
          </w:tcPr>
          <w:p>
            <w:pPr>
              <w:spacing w:after="0"/>
              <w:rPr>
                <w:sz w:val="1"/>
                <w:szCs w:val="1"/>
                <w:color w:val="auto"/>
              </w:rPr>
            </w:pPr>
          </w:p>
        </w:tc>
      </w:tr>
      <w:tr>
        <w:trPr>
          <w:trHeight w:val="156"/>
        </w:trPr>
        <w:tc>
          <w:tcPr>
            <w:tcW w:w="2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Cumulative effect of adoption of accounting</w:t>
            </w: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1,304</w:t>
            </w:r>
          </w:p>
        </w:tc>
        <w:tc>
          <w:tcPr>
            <w:tcW w:w="2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717</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93"/>
        </w:trPr>
        <w:tc>
          <w:tcPr>
            <w:tcW w:w="266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standards*</w:t>
            </w:r>
          </w:p>
        </w:tc>
        <w:tc>
          <w:tcPr>
            <w:tcW w:w="9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660" w:type="dxa"/>
            <w:vAlign w:val="bottom"/>
            <w:vMerge w:val="continue"/>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3"/>
                <w:szCs w:val="13"/>
                <w:color w:val="auto"/>
              </w:rPr>
              <w:t>Balance as of November 30, 2018</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39,447,491</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394</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694,078</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1,366,613</w:t>
            </w:r>
          </w:p>
        </w:tc>
        <w:tc>
          <w:tcPr>
            <w:tcW w:w="4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9"/>
              </w:rPr>
              <w:t>(278,146)</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184,071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(59,188)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541,209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8"/>
        <w:spacing w:after="0" w:line="259" w:lineRule="auto"/>
        <w:tabs>
          <w:tab w:leader="none" w:pos="1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U.S. Tax Cuts and Jobs Act ("TCJA") providing for the reclassification from accumulated other comprehensive loss to retained earnings for stranded tax effects. See Note 4 for additional revenue recognition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the Company's content and multi-asset class solutions across each stage of the investment process. FactSet's goal is to provide a seamless user experience spanning idea generation, research, portfolio construction, trade execution, performance measurement, risk management, reporting, and portfolio analysis, in which the Company serves the front, middle, and back offices to drive productivity and improved performance. FactSet's flexible, open data and technology solutions can be implemented both across the investment portfolio lifecycle or as standalone components serving different workflows in the organization. FactSet is focused on growing the business throughout each of its three segments, the Americas, Europe, and Asia Pacific. The Company primarily delivers insight and information through the workflow solutions of Research, Analytics and Trading, Content and Technology Solutions ("CTS") and Wealth.</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currently serves financial professionals, which include portfolio managers, investment research professionals, investment bankers, risk and performance analysts, wealth advisors and corporate clients. FactSet provides both insights on global market trends and intelligence on companies and industries, as well as capabilities to monitor portfolio risk and performance and to execute trades. The Company combines dedicated client service with open and flexible technology offerings, such as a configurable desktop and mobile platform, comprehensive data feeds, an open marketplace and digital portals and application programming interfaces ("APIs"). The Company’s revenue is primarily derived from subscriptions to products and services such as workstations, analytics, enterprise data, and research management.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FactSet conducts business globally and is managed on a geographic basis. The accompanying unaudited consolidated financial statements and notes of FactSet and its wholly-owned subsidiaries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The accompanying consolidated financial statements include the accounts of the Company and our wholly-owned subsidiaries. All intercompany activity and balances have been eliminated.</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normal recurring adjustments, transactions or events discretely impacting the interim periods considered necessary to present fairly the Company’s financial position, results of operations, equity and cash flows. Certain notes and other information have been condensed or omitted in this Quarterly Report on Form 10-Q, therefore the information in this Quarterly Report on Form 10-Q should be read in conjunction with the audited consolidated financial statements and notes thereto included in the Company’s Annual Report on Form 10-K for the fiscal year ended August 31, 2019, filed with the Securities and Exchange Commission ("SEC") on October 30,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that the financial statements were issued.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reclassified certain capitalized software from Property, equipment and leasehold improvements, net to Intangible assets, net in the prior year comparative figures in the Consolidated Balance Sheets to conform to the current year's presentation.</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reclassified certain prior year comparative figures from Interest expense net, to Other expense, net including non-operational foreign exchange gains and losses in the Consolidated Statement of Income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November 30, 2019, the Company implemented all applicable new accounting standards and updates issued by the Financial Accounting Standards Board ("FASB") that were in effect. There were no new standards or updates adopted during the first three months of fiscal 2020 that had a material impact on the consolidated financial statements other than the new lease accounting standard discussed below. Refer to Note 15 Leases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or Updates Recently Adopted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February 2016, the FASB issued an accounting standard update related to accounting for leases. </w:t>
      </w:r>
      <w:r>
        <w:rPr>
          <w:rFonts w:ascii="Arial" w:cs="Arial" w:eastAsia="Arial" w:hAnsi="Arial"/>
          <w:sz w:val="16"/>
          <w:szCs w:val="16"/>
          <w:color w:val="212529"/>
        </w:rPr>
        <w:t>The update requires the recognition of lease right-of use</w:t>
      </w:r>
      <w:r>
        <w:rPr>
          <w:rFonts w:ascii="Arial" w:cs="Arial" w:eastAsia="Arial" w:hAnsi="Arial"/>
          <w:sz w:val="16"/>
          <w:szCs w:val="16"/>
          <w:color w:val="auto"/>
        </w:rPr>
        <w:t xml:space="preserve"> </w:t>
      </w:r>
      <w:r>
        <w:rPr>
          <w:rFonts w:ascii="Arial" w:cs="Arial" w:eastAsia="Arial" w:hAnsi="Arial"/>
          <w:sz w:val="16"/>
          <w:szCs w:val="16"/>
          <w:color w:val="212529"/>
        </w:rPr>
        <w:t>(“ROU”) assets and liabilities on the balance sheet and the disclosure of qualitative and quantitative information about leasing arrangements</w:t>
      </w:r>
      <w:r>
        <w:rPr>
          <w:rFonts w:ascii="Arial" w:cs="Arial" w:eastAsia="Arial" w:hAnsi="Arial"/>
          <w:sz w:val="16"/>
          <w:szCs w:val="16"/>
          <w:color w:val="000000"/>
        </w:rPr>
        <w:t>. The guidance</w:t>
      </w:r>
      <w:r>
        <w:rPr>
          <w:rFonts w:ascii="Arial" w:cs="Arial" w:eastAsia="Arial" w:hAnsi="Arial"/>
          <w:sz w:val="16"/>
          <w:szCs w:val="16"/>
          <w:color w:val="212529"/>
        </w:rPr>
        <w:t xml:space="preserve"> </w:t>
      </w:r>
      <w:r>
        <w:rPr>
          <w:rFonts w:ascii="Arial" w:cs="Arial" w:eastAsia="Arial" w:hAnsi="Arial"/>
          <w:sz w:val="16"/>
          <w:szCs w:val="16"/>
          <w:color w:val="000000"/>
        </w:rPr>
        <w:t>also eliminates the requirement for an entity to use bright-line tests in determining lease classification. FactSet adopted the new accounting standard effective September 1, 2019, using a modified retrospective approach to record the required cumulative effect adjustments to the opening balance sheet in the period of adoption, rather than in the earliest comparative period presented. As such, the Company's historical consolidated financial statements were not restated and follow the Company's previous policy under ASC 840, Leases. Refer to FactSet’s Annual Report on Form 10-K for the fiscal year ended August 31, 2019, filed with the Securities and Exchange Commission on October 30, 2019, for further details of the Company’s policy prior to adoption of ASC 842.</w:t>
      </w:r>
    </w:p>
    <w:p>
      <w:pPr>
        <w:spacing w:after="0" w:line="1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FactSet elected the package of practical expedients permitted under the transition guidance, which permits the Company not to reassess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The Company has also elected to apply the short-term lease exception not to recognize lease liabilities and right-of-use assets for leases with a term of 12 months or less. FactSet will recognize lease payments on a straight-line basis over the lease term.</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November 30, 2019, the Company recognized right-of-use (“ROU”) assets, net of amortization of $217.0 million and corresponding current and non-current lease liabilities of $266.4 million, related primarily to the Company’s real estate leases. There was no material impact to the Company’s Consolidated Statements of Income, Consolidated Statements of Comprehensive Income, Consolidated Statements of Cash Flows and Consolidated Statement of Changes in Stockholders' Equity. Refer to Note 15 Leases for more information regarding the Company's lease accounting.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2020, FactSet adopted the accounting standard updated issued by the FASB in August 2017, which focused on reducing the complexity of and simplifying the application of hedge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The adoption of this standard had no impact on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or Updates Not Yet Effective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FASB issued an accounting standard that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The guidance will be effective for the Company beginning in the first quarter of fiscal 2021. The Company is currently evaluating the impact of this accounting standard update but it is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The accounting standard update will be effective for the Company beginning in the first quarter of fiscal 2021, with early adoption permitted for any impairment tests performed after January 1, 2017. The Company is currently evaluating the impact of this accounting standard update but it is not expected to have a material impact on the Company's consolidated financial statements.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other new accounting pronouncements issued or effective as of November 30, 2019 have had or are expected to have a material impact on the Company’s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derives most of its revenue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analytics, enterprise data, and research management. The Company determined that the subscription-based service represents a single performance obligation covering a series of distinct products and services that are substantially the same and that have the same pattern of transfer to the client. The Company determined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is satisfied. FactSet does not consider payment terms a performance obligation for customers with contractual terms that are one year or less and has elected the practical expedient.</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 for providing the services. There are no significant judgments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disaggregates revenue from contracts with clients by demographic region, which includes Americas, Europe and Asia Pacific. FactSet believes these geographic regions are reflective of how the Company manages the business and the demographic markets in which it serves. The geographic regions best depict the nature, amount, timing and uncertainty of revenue and cash flows related to contracts with clients. Refer to Note 8 Segment Information for further information on revenue by geographic region.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The following table presents this disaggregation of revenue by geography:</w:t>
            </w: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97"/>
        </w:trPr>
        <w:tc>
          <w:tcPr>
            <w:tcW w:w="64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Three months ended November 30,</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0"/>
                <w:szCs w:val="20"/>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color w:val="auto"/>
              </w:rPr>
              <w:t>2019</w:t>
            </w:r>
          </w:p>
        </w:tc>
        <w:tc>
          <w:tcPr>
            <w:tcW w:w="700" w:type="dxa"/>
            <w:vAlign w:val="bottom"/>
          </w:tcPr>
          <w:p>
            <w:pPr>
              <w:spacing w:after="0"/>
              <w:rPr>
                <w:sz w:val="20"/>
                <w:szCs w:val="20"/>
                <w:color w:val="auto"/>
              </w:rPr>
            </w:pPr>
          </w:p>
        </w:tc>
        <w:tc>
          <w:tcPr>
            <w:tcW w:w="1880" w:type="dxa"/>
            <w:vAlign w:val="bottom"/>
          </w:tcPr>
          <w:p>
            <w:pPr>
              <w:jc w:val="right"/>
              <w:ind w:right="950"/>
              <w:spacing w:after="0"/>
              <w:rPr>
                <w:sz w:val="20"/>
                <w:szCs w:val="20"/>
                <w:color w:val="auto"/>
              </w:rPr>
            </w:pPr>
            <w:r>
              <w:rPr>
                <w:rFonts w:ascii="Arial" w:cs="Arial" w:eastAsia="Arial" w:hAnsi="Arial"/>
                <w:sz w:val="18"/>
                <w:szCs w:val="18"/>
                <w:color w:val="auto"/>
              </w:rPr>
              <w:t>2018</w:t>
            </w:r>
          </w:p>
        </w:tc>
      </w:tr>
      <w:tr>
        <w:trPr>
          <w:trHeight w:val="27"/>
        </w:trPr>
        <w:tc>
          <w:tcPr>
            <w:tcW w:w="6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231,330</w:t>
            </w:r>
          </w:p>
        </w:tc>
        <w:tc>
          <w:tcPr>
            <w:tcW w:w="7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222,203</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Europe</w:t>
            </w:r>
          </w:p>
        </w:tc>
        <w:tc>
          <w:tcPr>
            <w:tcW w:w="580" w:type="dxa"/>
            <w:vAlign w:val="bottom"/>
          </w:tcPr>
          <w:p>
            <w:pPr>
              <w:spacing w:after="0"/>
              <w:rPr>
                <w:sz w:val="21"/>
                <w:szCs w:val="21"/>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100,830</w:t>
            </w:r>
          </w:p>
        </w:tc>
        <w:tc>
          <w:tcPr>
            <w:tcW w:w="700" w:type="dxa"/>
            <w:vAlign w:val="bottom"/>
          </w:tcPr>
          <w:p>
            <w:pPr>
              <w:spacing w:after="0"/>
              <w:rPr>
                <w:sz w:val="21"/>
                <w:szCs w:val="21"/>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97,765</w:t>
            </w:r>
          </w:p>
        </w:tc>
      </w:tr>
      <w:tr>
        <w:trPr>
          <w:trHeight w:val="27"/>
        </w:trPr>
        <w:tc>
          <w:tcPr>
            <w:tcW w:w="6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5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34,498</w:t>
            </w:r>
          </w:p>
        </w:tc>
        <w:tc>
          <w:tcPr>
            <w:tcW w:w="7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31,672</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366,658</w:t>
            </w:r>
          </w:p>
        </w:tc>
        <w:tc>
          <w:tcPr>
            <w:tcW w:w="7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351,640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FactSet has categorized its cash equivalents, investments and derivatives within the fair value hierarchy as follows: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Company’s corporate money market funds that are classified as cash equivalents.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3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Level 3</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unobservable inputs to the valuation methodology that are significant to the measurement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assets or liabilities. There were no Level 3 assets or liabilities held by the Company as of November 30, 2019 or August 31,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shows by level within the fair value hierarchy the Company’s assets and liabilities that are measured at fair value on a recurring basis at November 30, 2019 and August 31, 2019. The Company did not have any transfers between Level 1 and Level 2 fair value measurements during the periods presented.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6"/>
          </w:tcPr>
          <w:p>
            <w:pPr>
              <w:jc w:val="right"/>
              <w:ind w:right="10"/>
              <w:spacing w:after="0"/>
              <w:rPr>
                <w:sz w:val="20"/>
                <w:szCs w:val="20"/>
                <w:color w:val="auto"/>
              </w:rPr>
            </w:pPr>
            <w:r>
              <w:rPr>
                <w:rFonts w:ascii="Arial" w:cs="Arial" w:eastAsia="Arial" w:hAnsi="Arial"/>
                <w:sz w:val="18"/>
                <w:szCs w:val="18"/>
                <w:color w:val="auto"/>
              </w:rPr>
              <w:t>Fair Value Measurements at November 30, 2019</w:t>
            </w:r>
          </w:p>
        </w:tc>
        <w:tc>
          <w:tcPr>
            <w:tcW w:w="9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74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3"/>
                <w:szCs w:val="23"/>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Level 2</w:t>
            </w:r>
          </w:p>
        </w:tc>
        <w:tc>
          <w:tcPr>
            <w:tcW w:w="380" w:type="dxa"/>
            <w:vAlign w:val="bottom"/>
          </w:tcPr>
          <w:p>
            <w:pPr>
              <w:spacing w:after="0"/>
              <w:rPr>
                <w:sz w:val="23"/>
                <w:szCs w:val="23"/>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Level 3</w:t>
            </w:r>
          </w:p>
        </w:tc>
        <w:tc>
          <w:tcPr>
            <w:tcW w:w="480" w:type="dxa"/>
            <w:vAlign w:val="bottom"/>
          </w:tcPr>
          <w:p>
            <w:pPr>
              <w:spacing w:after="0"/>
              <w:rPr>
                <w:sz w:val="23"/>
                <w:szCs w:val="23"/>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526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76,293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76,293</w:t>
            </w:r>
          </w:p>
        </w:tc>
      </w:tr>
      <w:tr>
        <w:trPr>
          <w:trHeight w:val="270"/>
        </w:trPr>
        <w:tc>
          <w:tcPr>
            <w:tcW w:w="20" w:type="dxa"/>
            <w:vAlign w:val="bottom"/>
            <w:shd w:val="clear" w:color="auto" w:fill="CCEEFF"/>
          </w:tcPr>
          <w:p>
            <w:pPr>
              <w:spacing w:after="0"/>
              <w:rPr>
                <w:sz w:val="23"/>
                <w:szCs w:val="23"/>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18,710</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18,710</w:t>
            </w:r>
          </w:p>
        </w:tc>
      </w:tr>
      <w:tr>
        <w:trPr>
          <w:trHeight w:val="270"/>
        </w:trPr>
        <w:tc>
          <w:tcPr>
            <w:tcW w:w="20" w:type="dxa"/>
            <w:vAlign w:val="bottom"/>
          </w:tcPr>
          <w:p>
            <w:pPr>
              <w:spacing w:after="0"/>
              <w:rPr>
                <w:sz w:val="23"/>
                <w:szCs w:val="23"/>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7,341</w:t>
            </w:r>
          </w:p>
        </w:tc>
        <w:tc>
          <w:tcPr>
            <w:tcW w:w="380" w:type="dxa"/>
            <w:vAlign w:val="bottom"/>
          </w:tcPr>
          <w:p>
            <w:pPr>
              <w:spacing w:after="0"/>
              <w:rPr>
                <w:sz w:val="23"/>
                <w:szCs w:val="23"/>
                <w:color w:val="auto"/>
              </w:rPr>
            </w:pP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7,341</w:t>
            </w:r>
          </w:p>
        </w:tc>
      </w:tr>
      <w:tr>
        <w:trPr>
          <w:trHeight w:val="270"/>
        </w:trPr>
        <w:tc>
          <w:tcPr>
            <w:tcW w:w="20" w:type="dxa"/>
            <w:vAlign w:val="bottom"/>
            <w:shd w:val="clear" w:color="auto" w:fill="CCEEFF"/>
          </w:tcPr>
          <w:p>
            <w:pPr>
              <w:spacing w:after="0"/>
              <w:rPr>
                <w:sz w:val="23"/>
                <w:szCs w:val="23"/>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984</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984</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76,293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27,035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103,328</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1,275</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1,275</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1,275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760" w:type="dxa"/>
            <w:vAlign w:val="bottom"/>
            <w:gridSpan w:val="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gridSpan w:val="5"/>
          </w:tcPr>
          <w:p>
            <w:pPr>
              <w:jc w:val="right"/>
              <w:ind w:right="70"/>
              <w:spacing w:after="0"/>
              <w:rPr>
                <w:sz w:val="20"/>
                <w:szCs w:val="20"/>
                <w:color w:val="auto"/>
              </w:rPr>
            </w:pPr>
            <w:r>
              <w:rPr>
                <w:rFonts w:ascii="Arial" w:cs="Arial" w:eastAsia="Arial" w:hAnsi="Arial"/>
                <w:sz w:val="18"/>
                <w:szCs w:val="18"/>
                <w:color w:val="auto"/>
                <w:w w:val="89"/>
              </w:rPr>
              <w:t>Fair Value Measurements at August 31, 2019</w:t>
            </w:r>
          </w:p>
        </w:tc>
        <w:tc>
          <w:tcPr>
            <w:tcW w:w="10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Level 1</w:t>
            </w:r>
          </w:p>
        </w:tc>
        <w:tc>
          <w:tcPr>
            <w:tcW w:w="50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Level 2</w:t>
            </w:r>
          </w:p>
        </w:tc>
        <w:tc>
          <w:tcPr>
            <w:tcW w:w="380" w:type="dxa"/>
            <w:vAlign w:val="bottom"/>
          </w:tcPr>
          <w:p>
            <w:pPr>
              <w:spacing w:after="0"/>
              <w:rPr>
                <w:sz w:val="23"/>
                <w:szCs w:val="23"/>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Level 3</w:t>
            </w:r>
          </w:p>
        </w:tc>
        <w:tc>
          <w:tcPr>
            <w:tcW w:w="42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526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75,849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75,849</w:t>
            </w:r>
          </w:p>
        </w:tc>
      </w:tr>
      <w:tr>
        <w:trPr>
          <w:trHeight w:val="270"/>
        </w:trPr>
        <w:tc>
          <w:tcPr>
            <w:tcW w:w="20" w:type="dxa"/>
            <w:vAlign w:val="bottom"/>
            <w:shd w:val="clear" w:color="auto" w:fill="CCEEFF"/>
          </w:tcPr>
          <w:p>
            <w:pPr>
              <w:spacing w:after="0"/>
              <w:rPr>
                <w:sz w:val="23"/>
                <w:szCs w:val="23"/>
                <w:color w:val="auto"/>
              </w:rPr>
            </w:pPr>
          </w:p>
        </w:tc>
        <w:tc>
          <w:tcPr>
            <w:tcW w:w="5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18,583</w:t>
            </w: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18,583</w:t>
            </w:r>
          </w:p>
        </w:tc>
      </w:tr>
      <w:tr>
        <w:trPr>
          <w:trHeight w:val="270"/>
        </w:trPr>
        <w:tc>
          <w:tcPr>
            <w:tcW w:w="20" w:type="dxa"/>
            <w:vAlign w:val="bottom"/>
          </w:tcPr>
          <w:p>
            <w:pPr>
              <w:spacing w:after="0"/>
              <w:rPr>
                <w:sz w:val="23"/>
                <w:szCs w:val="23"/>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7,090</w:t>
            </w:r>
          </w:p>
        </w:tc>
        <w:tc>
          <w:tcPr>
            <w:tcW w:w="380" w:type="dxa"/>
            <w:vAlign w:val="bottom"/>
          </w:tcPr>
          <w:p>
            <w:pPr>
              <w:spacing w:after="0"/>
              <w:rPr>
                <w:sz w:val="23"/>
                <w:szCs w:val="23"/>
                <w:color w:val="auto"/>
              </w:rPr>
            </w:pP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7,090</w:t>
            </w:r>
          </w:p>
        </w:tc>
      </w:tr>
      <w:tr>
        <w:trPr>
          <w:trHeight w:val="270"/>
        </w:trPr>
        <w:tc>
          <w:tcPr>
            <w:tcW w:w="20" w:type="dxa"/>
            <w:vAlign w:val="bottom"/>
            <w:shd w:val="clear" w:color="auto" w:fill="CCEEFF"/>
          </w:tcPr>
          <w:p>
            <w:pPr>
              <w:spacing w:after="0"/>
              <w:rPr>
                <w:sz w:val="23"/>
                <w:szCs w:val="23"/>
                <w:color w:val="auto"/>
              </w:rPr>
            </w:pPr>
          </w:p>
        </w:tc>
        <w:tc>
          <w:tcPr>
            <w:tcW w:w="5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75,849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26,193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102,042</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40" w:type="dxa"/>
            <w:vAlign w:val="bottom"/>
            <w:gridSpan w:val="4"/>
          </w:tcPr>
          <w:p>
            <w:pPr>
              <w:spacing w:after="0" w:line="202" w:lineRule="exact"/>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3,575</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3,575</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60" w:type="dxa"/>
            <w:vAlign w:val="bottom"/>
            <w:gridSpan w:val="3"/>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3,575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3,575</w:t>
            </w:r>
          </w:p>
        </w:tc>
      </w:tr>
    </w:tbl>
    <w:p>
      <w:pPr>
        <w:spacing w:after="0" w:line="337" w:lineRule="exact"/>
        <w:rPr>
          <w:sz w:val="20"/>
          <w:szCs w:val="20"/>
          <w:color w:val="auto"/>
        </w:rPr>
      </w:pPr>
    </w:p>
    <w:p>
      <w:pPr>
        <w:jc w:val="both"/>
        <w:ind w:left="500" w:hanging="330"/>
        <w:spacing w:after="0" w:line="264" w:lineRule="auto"/>
        <w:tabs>
          <w:tab w:leader="none" w:pos="50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Company’s corporate money market funds are readily convertible into cash and the net asset value of each fund on the last day of the quarter is used to determine its fair value. As such, the Company’s corporate money market funds are classified as Level 1 assets and included in Cash and cash equivalents within the </w:t>
      </w:r>
      <w:r>
        <w:rPr>
          <w:rFonts w:ascii="Arial" w:cs="Arial" w:eastAsia="Arial" w:hAnsi="Arial"/>
          <w:sz w:val="18"/>
          <w:szCs w:val="18"/>
          <w:color w:val="auto"/>
        </w:rPr>
        <w:t>C</w:t>
      </w:r>
      <w:r>
        <w:rPr>
          <w:rFonts w:ascii="Arial" w:cs="Arial" w:eastAsia="Arial" w:hAnsi="Arial"/>
          <w:sz w:val="18"/>
          <w:szCs w:val="18"/>
          <w:i w:val="1"/>
          <w:iCs w:val="1"/>
          <w:color w:val="auto"/>
        </w:rPr>
        <w:t>onsolidated balance sheets.</w:t>
      </w:r>
    </w:p>
    <w:p>
      <w:pPr>
        <w:spacing w:after="0" w:line="140" w:lineRule="exact"/>
        <w:rPr>
          <w:rFonts w:ascii="Arial" w:cs="Arial" w:eastAsia="Arial" w:hAnsi="Arial"/>
          <w:sz w:val="18"/>
          <w:szCs w:val="18"/>
          <w:i w:val="1"/>
          <w:iCs w:val="1"/>
          <w:color w:val="auto"/>
        </w:rPr>
      </w:pPr>
    </w:p>
    <w:p>
      <w:pPr>
        <w:jc w:val="both"/>
        <w:ind w:left="500" w:hanging="330"/>
        <w:spacing w:after="0" w:line="286" w:lineRule="auto"/>
        <w:tabs>
          <w:tab w:leader="none" w:pos="500" w:val="left"/>
        </w:tabs>
        <w:numPr>
          <w:ilvl w:val="1"/>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138" w:lineRule="exact"/>
        <w:rPr>
          <w:rFonts w:ascii="Arial" w:cs="Arial" w:eastAsia="Arial" w:hAnsi="Arial"/>
          <w:sz w:val="17"/>
          <w:szCs w:val="17"/>
          <w:i w:val="1"/>
          <w:iCs w:val="1"/>
          <w:color w:val="auto"/>
        </w:rPr>
      </w:pPr>
    </w:p>
    <w:p>
      <w:pPr>
        <w:jc w:val="both"/>
        <w:ind w:left="500" w:hanging="330"/>
        <w:spacing w:after="0" w:line="264" w:lineRule="auto"/>
        <w:tabs>
          <w:tab w:leader="none" w:pos="50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certificates of deposit held for investment are not debt securities and are classified as Level 2 assets. These certificates of deposit have original maturities greater than three months, but less than one year and, as such, are classified as Investments (short-term) within the Consolidated balance sheets.</w:t>
      </w:r>
    </w:p>
    <w:p>
      <w:pPr>
        <w:spacing w:after="0" w:line="140" w:lineRule="exact"/>
        <w:rPr>
          <w:rFonts w:ascii="Arial" w:cs="Arial" w:eastAsia="Arial" w:hAnsi="Arial"/>
          <w:sz w:val="18"/>
          <w:szCs w:val="18"/>
          <w:i w:val="1"/>
          <w:iCs w:val="1"/>
          <w:color w:val="auto"/>
        </w:rPr>
      </w:pPr>
    </w:p>
    <w:p>
      <w:pPr>
        <w:jc w:val="both"/>
        <w:ind w:left="500" w:hanging="330"/>
        <w:spacing w:after="0" w:line="264" w:lineRule="auto"/>
        <w:tabs>
          <w:tab w:leader="none" w:pos="50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utilizes the income approach to measure fair value for its derivative instruments (foreign exchange forward contracts). The income approach uses pricing models that rely on market observable inputs such as spot, forward and interest rates, as well as credit default swap spreads and therefore, are classified as Level 2 assets.</w:t>
      </w:r>
    </w:p>
    <w:p>
      <w:pPr>
        <w:spacing w:after="0" w:line="140"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Goodwill is tested for impairment using a qualitative approach. The fair values of other non-financial assets and liabilities are determined based on valuation techniques using the best information available, and may include quoted market prices, market comparable information, and discounted cash flow projections. An impairment charge is recorded when the cost exceeds its fair value, based upon the results of such valuations. During the three months ended November 30, 2019, no fair value adjustments or material fair value measurements were required for the Company’s non-financial assets or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Assets and Liabilities Measured at Fair Value for Disclosure Purposes Only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November 30, 2019, and August 31, 2019, the fair value of the Company’s Long-term debt was $575.0 million, which approximated its carrying amount given the application of a floating interest rate equal to the daily LIBOR rate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760" w:firstLine="8"/>
        <w:spacing w:after="0" w:line="464"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Cash Flow Hedges</w:t>
      </w:r>
    </w:p>
    <w:p>
      <w:pPr>
        <w:jc w:val="both"/>
        <w:spacing w:after="0" w:line="276" w:lineRule="auto"/>
        <w:rPr>
          <w:sz w:val="20"/>
          <w:szCs w:val="20"/>
          <w:color w:val="auto"/>
        </w:rPr>
      </w:pPr>
      <w:r>
        <w:rPr>
          <w:rFonts w:ascii="Arial" w:cs="Arial" w:eastAsia="Arial" w:hAnsi="Arial"/>
          <w:sz w:val="17"/>
          <w:szCs w:val="17"/>
          <w:color w:val="auto"/>
        </w:rPr>
        <w:t>FactSet conducts business outside the U.S. in several currencies including British Pound Sterling, Euro, Indian Rupee, and Philippine Peso. As such, the Company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See Note 16, Commitments and Contingencies – Concentrations of Credit Risk, for further discussion on counterparty credit risk.</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first three months of fiscal 2019 or 2018, and as such, no corresponding gains or losses related to changes in the value of the Company’s contracts were reclassified into earnings prior to settlement.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2019, FactSet maintained the following foreign currency forward contracts to hedge its exposures:</w:t>
      </w:r>
    </w:p>
    <w:p>
      <w:pPr>
        <w:spacing w:after="0" w:line="198" w:lineRule="exact"/>
        <w:rPr>
          <w:sz w:val="20"/>
          <w:szCs w:val="20"/>
          <w:color w:val="auto"/>
        </w:rPr>
      </w:pPr>
    </w:p>
    <w:p>
      <w:pPr>
        <w:ind w:left="660" w:right="1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50% of its Euro exposure through the third quarter of fiscal 2020, and 25%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during the fourth quarter of fiscal 2020</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its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 and 25% of its exposure through the fourth quarter of fiscal 2020</w:t>
      </w:r>
    </w:p>
    <w:p>
      <w:pPr>
        <w:spacing w:after="0" w:line="129"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50% of its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25% of its exposure through the fourth quarter of fiscal 2020</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all hedging positions and corresponding fair values: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Currency Hedged</w:t>
            </w:r>
          </w:p>
        </w:tc>
        <w:tc>
          <w:tcPr>
            <w:tcW w:w="180" w:type="dxa"/>
            <w:vAlign w:val="bottom"/>
          </w:tcPr>
          <w:p>
            <w:pPr>
              <w:spacing w:after="0"/>
              <w:rPr>
                <w:sz w:val="20"/>
                <w:szCs w:val="20"/>
                <w:color w:val="auto"/>
              </w:rPr>
            </w:pPr>
          </w:p>
        </w:tc>
        <w:tc>
          <w:tcPr>
            <w:tcW w:w="3600" w:type="dxa"/>
            <w:vAlign w:val="bottom"/>
            <w:gridSpan w:val="4"/>
          </w:tcPr>
          <w:p>
            <w:pPr>
              <w:ind w:left="880"/>
              <w:spacing w:after="0"/>
              <w:rPr>
                <w:sz w:val="20"/>
                <w:szCs w:val="20"/>
                <w:color w:val="auto"/>
              </w:rPr>
            </w:pPr>
            <w:r>
              <w:rPr>
                <w:rFonts w:ascii="Arial" w:cs="Arial" w:eastAsia="Arial" w:hAnsi="Arial"/>
                <w:sz w:val="18"/>
                <w:szCs w:val="18"/>
                <w:color w:val="auto"/>
              </w:rPr>
              <w:t>Gross Notional Value</w:t>
            </w:r>
          </w:p>
        </w:tc>
        <w:tc>
          <w:tcPr>
            <w:tcW w:w="200" w:type="dxa"/>
            <w:vAlign w:val="bottom"/>
          </w:tcPr>
          <w:p>
            <w:pPr>
              <w:spacing w:after="0"/>
              <w:rPr>
                <w:sz w:val="20"/>
                <w:szCs w:val="20"/>
                <w:color w:val="auto"/>
              </w:rPr>
            </w:pPr>
          </w:p>
        </w:tc>
        <w:tc>
          <w:tcPr>
            <w:tcW w:w="3540" w:type="dxa"/>
            <w:vAlign w:val="bottom"/>
            <w:gridSpan w:val="3"/>
          </w:tcPr>
          <w:p>
            <w:pPr>
              <w:jc w:val="right"/>
              <w:ind w:right="790"/>
              <w:spacing w:after="0"/>
              <w:rPr>
                <w:sz w:val="20"/>
                <w:szCs w:val="20"/>
                <w:color w:val="auto"/>
              </w:rPr>
            </w:pPr>
            <w:r>
              <w:rPr>
                <w:rFonts w:ascii="Arial" w:cs="Arial" w:eastAsia="Arial" w:hAnsi="Arial"/>
                <w:sz w:val="18"/>
                <w:szCs w:val="18"/>
                <w:color w:val="auto"/>
              </w:rPr>
              <w:t>Fair Value Asset (Liability)</w:t>
            </w:r>
          </w:p>
        </w:tc>
        <w:tc>
          <w:tcPr>
            <w:tcW w:w="0" w:type="dxa"/>
            <w:vAlign w:val="bottom"/>
          </w:tcPr>
          <w:p>
            <w:pPr>
              <w:spacing w:after="0"/>
              <w:rPr>
                <w:sz w:val="1"/>
                <w:szCs w:val="1"/>
                <w:color w:val="auto"/>
              </w:rPr>
            </w:pPr>
          </w:p>
        </w:tc>
      </w:tr>
      <w:tr>
        <w:trPr>
          <w:trHeight w:val="27"/>
        </w:trPr>
        <w:tc>
          <w:tcPr>
            <w:tcW w:w="390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39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vMerge w:val="restart"/>
          </w:tcPr>
          <w:p>
            <w:pPr>
              <w:jc w:val="right"/>
              <w:ind w:right="150"/>
              <w:spacing w:after="0"/>
              <w:rPr>
                <w:sz w:val="20"/>
                <w:szCs w:val="20"/>
                <w:color w:val="auto"/>
              </w:rPr>
            </w:pPr>
            <w:r>
              <w:rPr>
                <w:rFonts w:ascii="Arial" w:cs="Arial" w:eastAsia="Arial" w:hAnsi="Arial"/>
                <w:sz w:val="18"/>
                <w:szCs w:val="18"/>
                <w:color w:val="auto"/>
                <w:w w:val="93"/>
              </w:rPr>
              <w:t>November 30, 2019</w:t>
            </w:r>
          </w:p>
        </w:tc>
        <w:tc>
          <w:tcPr>
            <w:tcW w:w="280" w:type="dxa"/>
            <w:vAlign w:val="bottom"/>
          </w:tcPr>
          <w:p>
            <w:pPr>
              <w:spacing w:after="0"/>
              <w:rPr>
                <w:sz w:val="2"/>
                <w:szCs w:val="2"/>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August 31, 2019</w:t>
            </w:r>
          </w:p>
        </w:tc>
        <w:tc>
          <w:tcPr>
            <w:tcW w:w="200" w:type="dxa"/>
            <w:vAlign w:val="bottom"/>
          </w:tcPr>
          <w:p>
            <w:pPr>
              <w:spacing w:after="0"/>
              <w:rPr>
                <w:sz w:val="2"/>
                <w:szCs w:val="2"/>
                <w:color w:val="auto"/>
              </w:rPr>
            </w:pPr>
          </w:p>
        </w:tc>
        <w:tc>
          <w:tcPr>
            <w:tcW w:w="1800" w:type="dxa"/>
            <w:vAlign w:val="bottom"/>
            <w:vMerge w:val="restart"/>
          </w:tcPr>
          <w:p>
            <w:pPr>
              <w:jc w:val="right"/>
              <w:ind w:right="210"/>
              <w:spacing w:after="0"/>
              <w:rPr>
                <w:sz w:val="20"/>
                <w:szCs w:val="20"/>
                <w:color w:val="auto"/>
              </w:rPr>
            </w:pPr>
            <w:r>
              <w:rPr>
                <w:rFonts w:ascii="Arial" w:cs="Arial" w:eastAsia="Arial" w:hAnsi="Arial"/>
                <w:sz w:val="18"/>
                <w:szCs w:val="18"/>
                <w:color w:val="auto"/>
                <w:w w:val="93"/>
              </w:rPr>
              <w:t>November 30, 2019</w:t>
            </w:r>
          </w:p>
        </w:tc>
        <w:tc>
          <w:tcPr>
            <w:tcW w:w="260" w:type="dxa"/>
            <w:vAlign w:val="bottom"/>
          </w:tcPr>
          <w:p>
            <w:pPr>
              <w:spacing w:after="0"/>
              <w:rPr>
                <w:sz w:val="2"/>
                <w:szCs w:val="2"/>
                <w:color w:val="auto"/>
              </w:rPr>
            </w:pPr>
          </w:p>
        </w:tc>
        <w:tc>
          <w:tcPr>
            <w:tcW w:w="1480" w:type="dxa"/>
            <w:vAlign w:val="bottom"/>
            <w:vMerge w:val="restart"/>
          </w:tcPr>
          <w:p>
            <w:pPr>
              <w:jc w:val="right"/>
              <w:ind w:right="130"/>
              <w:spacing w:after="0"/>
              <w:rPr>
                <w:sz w:val="20"/>
                <w:szCs w:val="20"/>
                <w:color w:val="auto"/>
              </w:rPr>
            </w:pPr>
            <w:r>
              <w:rPr>
                <w:rFonts w:ascii="Arial" w:cs="Arial" w:eastAsia="Arial" w:hAnsi="Arial"/>
                <w:sz w:val="18"/>
                <w:szCs w:val="18"/>
                <w:color w:val="auto"/>
                <w:w w:val="94"/>
              </w:rPr>
              <w:t>August 31, 2019</w:t>
            </w:r>
          </w:p>
        </w:tc>
        <w:tc>
          <w:tcPr>
            <w:tcW w:w="0" w:type="dxa"/>
            <w:vAlign w:val="bottom"/>
          </w:tcPr>
          <w:p>
            <w:pPr>
              <w:spacing w:after="0" w:line="20" w:lineRule="exact"/>
              <w:rPr>
                <w:sz w:val="1"/>
                <w:szCs w:val="1"/>
                <w:color w:val="auto"/>
              </w:rPr>
            </w:pPr>
          </w:p>
        </w:tc>
      </w:tr>
      <w:tr>
        <w:trPr>
          <w:trHeight w:val="23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in U.S. dollars)</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Indian Rupee</w:t>
            </w:r>
          </w:p>
        </w:tc>
        <w:tc>
          <w:tcPr>
            <w:tcW w:w="18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12,920</w:t>
            </w:r>
          </w:p>
        </w:tc>
        <w:tc>
          <w:tcPr>
            <w:tcW w:w="2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Philippine Peso</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19,000</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955</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British Pound Sterling</w:t>
            </w:r>
          </w:p>
        </w:tc>
        <w:tc>
          <w:tcPr>
            <w:tcW w:w="18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16,587</w:t>
            </w:r>
          </w:p>
        </w:tc>
        <w:tc>
          <w:tcPr>
            <w:tcW w:w="2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26,436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73,439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113,700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2019, the gross notional value of foreign currency forward contracts to purchase Philippine Pesos and Indian Rupees with U.S. dollars was ₱1.0 billion and Rs906.4 billion, respectively. The gross notional value of foreign currency forward contracts to purchase U.S. dollars with Euros and British Pound Sterling was €21.7 million and £12.8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line="209" w:lineRule="auto"/>
        <w:framePr w:w="7520" w:h="160" w:wrap="auto" w:vAnchor="page" w:hAnchor="page" w:x="200" w:y="3964"/>
        <w:rPr>
          <w:rFonts w:ascii="Arial" w:cs="Arial" w:eastAsia="Arial" w:hAnsi="Arial"/>
          <w:sz w:val="16"/>
          <w:szCs w:val="16"/>
          <w:color w:val="auto"/>
        </w:rPr>
      </w:pPr>
      <w:r>
        <w:rPr>
          <w:rFonts w:ascii="Arial" w:cs="Arial" w:eastAsia="Arial" w:hAnsi="Arial"/>
          <w:sz w:val="16"/>
          <w:szCs w:val="16"/>
          <w:color w:val="auto"/>
        </w:rPr>
        <w:t>All derivatives were designated as hedging instruments as of November 30, 2019 and August 31, 2019.</w:t>
      </w:r>
    </w:p>
    <w:p>
      <w:pPr>
        <w:spacing w:after="0" w:line="209" w:lineRule="auto"/>
        <w:framePr w:w="3800" w:h="160" w:wrap="auto" w:vAnchor="page" w:hAnchor="page" w:x="200" w:y="4355"/>
        <w:rPr>
          <w:rFonts w:ascii="Arial" w:cs="Arial" w:eastAsia="Arial" w:hAnsi="Arial"/>
          <w:sz w:val="16"/>
          <w:szCs w:val="16"/>
          <w:b w:val="1"/>
          <w:bCs w:val="1"/>
          <w:color w:val="auto"/>
        </w:rPr>
      </w:pPr>
      <w:r>
        <w:rPr>
          <w:rFonts w:ascii="Arial" w:cs="Arial" w:eastAsia="Arial" w:hAnsi="Arial"/>
          <w:sz w:val="16"/>
          <w:szCs w:val="16"/>
          <w:b w:val="1"/>
          <w:bCs w:val="1"/>
          <w:color w:val="auto"/>
        </w:rPr>
        <w:t>Derivatives in Cash Flow Hedging Relationships</w:t>
      </w:r>
    </w:p>
    <w:p>
      <w:pPr>
        <w:spacing w:after="0" w:line="218" w:lineRule="auto"/>
        <w:framePr w:w="11500" w:h="376" w:wrap="auto" w:vAnchor="page" w:hAnchor="page" w:x="200" w:y="4747"/>
        <w:rPr>
          <w:rFonts w:ascii="Arial" w:cs="Arial" w:eastAsia="Arial" w:hAnsi="Arial"/>
          <w:sz w:val="18"/>
          <w:szCs w:val="18"/>
          <w:b w:val="1"/>
          <w:bCs w:val="1"/>
          <w:color w:val="auto"/>
        </w:rPr>
      </w:pPr>
      <w:r>
        <w:rPr>
          <w:rFonts w:ascii="Arial" w:cs="Arial" w:eastAsia="Arial" w:hAnsi="Arial"/>
          <w:sz w:val="18"/>
          <w:szCs w:val="18"/>
          <w:b w:val="1"/>
          <w:bCs w:val="1"/>
          <w:color w:val="auto"/>
        </w:rPr>
        <w:t>The following table provides the pre-tax effect of derivative instruments in cash flow hedging relationships for the three months ended November 30, 2019 and 2018, respectively:</w:t>
      </w:r>
    </w:p>
    <w:p>
      <w:pPr>
        <w:spacing w:after="0" w:line="209" w:lineRule="auto"/>
        <w:framePr w:w="1360" w:h="160" w:wrap="auto" w:vAnchor="page" w:hAnchor="page" w:x="200" w:y="142"/>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9" w:lineRule="auto"/>
        <w:framePr w:w="2920" w:h="160" w:wrap="auto" w:vAnchor="page" w:hAnchor="page" w:x="200" w:y="1236"/>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Fair Value of Derivative Instruments</w:t>
      </w:r>
    </w:p>
    <w:p>
      <w:pPr>
        <w:spacing w:after="0" w:line="171"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7900" w:type="dxa"/>
            <w:vAlign w:val="bottom"/>
            <w:gridSpan w:val="4"/>
          </w:tcPr>
          <w:p>
            <w:pPr>
              <w:spacing w:after="0"/>
              <w:rPr>
                <w:sz w:val="20"/>
                <w:szCs w:val="20"/>
                <w:color w:val="auto"/>
              </w:rPr>
            </w:pPr>
            <w:r>
              <w:rPr>
                <w:rFonts w:ascii="Arial" w:cs="Arial" w:eastAsia="Arial" w:hAnsi="Arial"/>
                <w:sz w:val="18"/>
                <w:szCs w:val="18"/>
                <w:color w:val="auto"/>
              </w:rPr>
              <w:t>The following tables provide a summary of the fair value amounts of derivative instruments:</w:t>
            </w: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Designation of Derivatives</w:t>
            </w:r>
          </w:p>
        </w:tc>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Balance Sheet Location</w:t>
            </w:r>
          </w:p>
        </w:tc>
        <w:tc>
          <w:tcPr>
            <w:tcW w:w="2000" w:type="dxa"/>
            <w:vAlign w:val="bottom"/>
            <w:gridSpan w:val="2"/>
            <w:vMerge w:val="restart"/>
          </w:tcPr>
          <w:p>
            <w:pPr>
              <w:jc w:val="right"/>
              <w:spacing w:after="0"/>
              <w:rPr>
                <w:sz w:val="20"/>
                <w:szCs w:val="20"/>
                <w:color w:val="auto"/>
              </w:rPr>
            </w:pPr>
            <w:r>
              <w:rPr>
                <w:rFonts w:ascii="Arial" w:cs="Arial" w:eastAsia="Arial" w:hAnsi="Arial"/>
                <w:sz w:val="18"/>
                <w:szCs w:val="18"/>
                <w:color w:val="auto"/>
              </w:rPr>
              <w:t>November 30, 2019</w:t>
            </w:r>
          </w:p>
        </w:tc>
        <w:tc>
          <w:tcPr>
            <w:tcW w:w="160" w:type="dxa"/>
            <w:vAlign w:val="bottom"/>
          </w:tcPr>
          <w:p>
            <w:pPr>
              <w:spacing w:after="0"/>
              <w:rPr>
                <w:sz w:val="17"/>
                <w:szCs w:val="17"/>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w w:val="91"/>
              </w:rPr>
              <w:t>August 31, 2019</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980" w:type="dxa"/>
            <w:vAlign w:val="bottom"/>
            <w:tcBorders>
              <w:bottom w:val="single" w:sz="8" w:color="auto"/>
            </w:tcBorders>
            <w:gridSpan w:val="3"/>
            <w:vMerge w:val="continue"/>
          </w:tcPr>
          <w:p>
            <w:pPr>
              <w:spacing w:after="0"/>
              <w:rPr>
                <w:sz w:val="19"/>
                <w:szCs w:val="19"/>
                <w:color w:val="auto"/>
              </w:rPr>
            </w:pPr>
          </w:p>
        </w:tc>
        <w:tc>
          <w:tcPr>
            <w:tcW w:w="20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3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 Foreign Currency Forward Contracts</w:t>
            </w:r>
          </w:p>
        </w:tc>
        <w:tc>
          <w:tcPr>
            <w:tcW w:w="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3980" w:type="dxa"/>
            <w:vAlign w:val="bottom"/>
            <w:gridSpan w:val="3"/>
          </w:tcPr>
          <w:p>
            <w:pPr>
              <w:spacing w:after="0" w:line="202" w:lineRule="exact"/>
              <w:rPr>
                <w:sz w:val="20"/>
                <w:szCs w:val="20"/>
                <w:color w:val="auto"/>
              </w:rPr>
            </w:pPr>
            <w:r>
              <w:rPr>
                <w:rFonts w:ascii="Arial" w:cs="Arial" w:eastAsia="Arial" w:hAnsi="Arial"/>
                <w:sz w:val="18"/>
                <w:szCs w:val="18"/>
                <w:color w:val="auto"/>
              </w:rPr>
              <w:t>Liabilities: Foreign Currency Forward Contracts</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rPr>
                <w:sz w:val="21"/>
                <w:szCs w:val="21"/>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162" w:lineRule="exact"/>
        <w:rPr>
          <w:rFonts w:ascii="Arial" w:cs="Arial" w:eastAsia="Arial" w:hAnsi="Arial"/>
          <w:sz w:val="16"/>
          <w:szCs w:val="16"/>
          <w:b w:val="1"/>
          <w:bCs w:val="1"/>
          <w:u w:val="single" w:color="auto"/>
          <w:color w:val="0000FF"/>
        </w:rPr>
      </w:pPr>
    </w:p>
    <w:p>
      <w:pPr>
        <w:spacing w:after="0" w:line="98"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03"/>
        </w:trPr>
        <w:tc>
          <w:tcPr>
            <w:tcW w:w="41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16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Gain Recognized</w:t>
            </w:r>
          </w:p>
        </w:tc>
        <w:tc>
          <w:tcPr>
            <w:tcW w:w="520" w:type="dxa"/>
            <w:vAlign w:val="bottom"/>
          </w:tcPr>
          <w:p>
            <w:pPr>
              <w:spacing w:after="0"/>
              <w:rPr>
                <w:sz w:val="17"/>
                <w:szCs w:val="17"/>
                <w:color w:val="auto"/>
              </w:rPr>
            </w:pPr>
          </w:p>
        </w:tc>
        <w:tc>
          <w:tcPr>
            <w:tcW w:w="2360" w:type="dxa"/>
            <w:vAlign w:val="bottom"/>
            <w:vMerge w:val="restart"/>
          </w:tcPr>
          <w:p>
            <w:pPr>
              <w:jc w:val="center"/>
              <w:spacing w:after="0"/>
              <w:rPr>
                <w:sz w:val="20"/>
                <w:szCs w:val="20"/>
                <w:color w:val="auto"/>
              </w:rPr>
            </w:pPr>
            <w:r>
              <w:rPr>
                <w:rFonts w:ascii="Arial" w:cs="Arial" w:eastAsia="Arial" w:hAnsi="Arial"/>
                <w:sz w:val="16"/>
                <w:szCs w:val="16"/>
                <w:color w:val="auto"/>
                <w:w w:val="94"/>
              </w:rPr>
              <w:t>Location of (Loss) Gain</w:t>
            </w:r>
          </w:p>
        </w:tc>
        <w:tc>
          <w:tcPr>
            <w:tcW w:w="200" w:type="dxa"/>
            <w:vAlign w:val="bottom"/>
          </w:tcPr>
          <w:p>
            <w:pPr>
              <w:spacing w:after="0"/>
              <w:rPr>
                <w:sz w:val="17"/>
                <w:szCs w:val="17"/>
                <w:color w:val="auto"/>
              </w:rPr>
            </w:pPr>
          </w:p>
        </w:tc>
        <w:tc>
          <w:tcPr>
            <w:tcW w:w="2060" w:type="dxa"/>
            <w:vAlign w:val="bottom"/>
            <w:gridSpan w:val="3"/>
          </w:tcPr>
          <w:p>
            <w:pPr>
              <w:jc w:val="center"/>
              <w:ind w:right="119"/>
              <w:spacing w:after="0"/>
              <w:rPr>
                <w:sz w:val="20"/>
                <w:szCs w:val="20"/>
                <w:color w:val="auto"/>
              </w:rPr>
            </w:pPr>
            <w:r>
              <w:rPr>
                <w:rFonts w:ascii="Arial" w:cs="Arial" w:eastAsia="Arial" w:hAnsi="Arial"/>
                <w:sz w:val="16"/>
                <w:szCs w:val="16"/>
                <w:color w:val="auto"/>
                <w:w w:val="91"/>
              </w:rPr>
              <w:t>Loss Reclassified</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2160" w:type="dxa"/>
            <w:vAlign w:val="bottom"/>
            <w:gridSpan w:val="3"/>
            <w:vMerge w:val="restart"/>
          </w:tcPr>
          <w:p>
            <w:pPr>
              <w:jc w:val="center"/>
              <w:ind w:left="439"/>
              <w:spacing w:after="0"/>
              <w:rPr>
                <w:sz w:val="20"/>
                <w:szCs w:val="20"/>
                <w:color w:val="auto"/>
              </w:rPr>
            </w:pPr>
            <w:r>
              <w:rPr>
                <w:rFonts w:ascii="Arial" w:cs="Arial" w:eastAsia="Arial" w:hAnsi="Arial"/>
                <w:sz w:val="16"/>
                <w:szCs w:val="16"/>
                <w:color w:val="auto"/>
                <w:w w:val="96"/>
              </w:rPr>
              <w:t>in AOCL on Derivatives</w:t>
            </w:r>
          </w:p>
        </w:tc>
        <w:tc>
          <w:tcPr>
            <w:tcW w:w="5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gridSpan w:val="3"/>
            <w:vMerge w:val="restart"/>
          </w:tcPr>
          <w:p>
            <w:pPr>
              <w:jc w:val="center"/>
              <w:ind w:right="119"/>
              <w:spacing w:after="0"/>
              <w:rPr>
                <w:sz w:val="20"/>
                <w:szCs w:val="20"/>
                <w:color w:val="auto"/>
              </w:rPr>
            </w:pPr>
            <w:r>
              <w:rPr>
                <w:rFonts w:ascii="Arial" w:cs="Arial" w:eastAsia="Arial" w:hAnsi="Arial"/>
                <w:sz w:val="16"/>
                <w:szCs w:val="16"/>
                <w:color w:val="auto"/>
                <w:w w:val="96"/>
              </w:rPr>
              <w:t>from AOCL into Income</w:t>
            </w: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2360" w:type="dxa"/>
            <w:vAlign w:val="bottom"/>
            <w:vMerge w:val="restart"/>
          </w:tcPr>
          <w:p>
            <w:pPr>
              <w:jc w:val="center"/>
              <w:spacing w:after="0"/>
              <w:rPr>
                <w:sz w:val="20"/>
                <w:szCs w:val="20"/>
                <w:color w:val="auto"/>
              </w:rPr>
            </w:pPr>
            <w:r>
              <w:rPr>
                <w:rFonts w:ascii="Arial" w:cs="Arial" w:eastAsia="Arial" w:hAnsi="Arial"/>
                <w:sz w:val="16"/>
                <w:szCs w:val="16"/>
                <w:color w:val="auto"/>
                <w:w w:val="96"/>
              </w:rPr>
              <w:t>Reclassified from AOCL</w:t>
            </w:r>
          </w:p>
        </w:tc>
        <w:tc>
          <w:tcPr>
            <w:tcW w:w="20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2160" w:type="dxa"/>
            <w:vAlign w:val="bottom"/>
            <w:gridSpan w:val="3"/>
            <w:vMerge w:val="restart"/>
          </w:tcPr>
          <w:p>
            <w:pPr>
              <w:jc w:val="center"/>
              <w:ind w:left="459"/>
              <w:spacing w:after="0"/>
              <w:rPr>
                <w:sz w:val="20"/>
                <w:szCs w:val="20"/>
                <w:color w:val="auto"/>
              </w:rPr>
            </w:pPr>
            <w:r>
              <w:rPr>
                <w:rFonts w:ascii="Arial" w:cs="Arial" w:eastAsia="Arial" w:hAnsi="Arial"/>
                <w:sz w:val="16"/>
                <w:szCs w:val="16"/>
                <w:color w:val="auto"/>
                <w:w w:val="95"/>
              </w:rPr>
              <w:t>(Effective Portion)</w:t>
            </w:r>
          </w:p>
        </w:tc>
        <w:tc>
          <w:tcPr>
            <w:tcW w:w="52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gridSpan w:val="3"/>
            <w:vMerge w:val="restart"/>
          </w:tcPr>
          <w:p>
            <w:pPr>
              <w:jc w:val="center"/>
              <w:ind w:right="119"/>
              <w:spacing w:after="0"/>
              <w:rPr>
                <w:sz w:val="20"/>
                <w:szCs w:val="20"/>
                <w:color w:val="auto"/>
              </w:rPr>
            </w:pPr>
            <w:r>
              <w:rPr>
                <w:rFonts w:ascii="Arial" w:cs="Arial" w:eastAsia="Arial" w:hAnsi="Arial"/>
                <w:sz w:val="16"/>
                <w:szCs w:val="16"/>
                <w:color w:val="auto"/>
                <w:w w:val="95"/>
              </w:rPr>
              <w:t>(Effective Portion)</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2"/>
                <w:szCs w:val="12"/>
                <w:color w:val="auto"/>
              </w:rPr>
            </w:pPr>
          </w:p>
        </w:tc>
        <w:tc>
          <w:tcPr>
            <w:tcW w:w="2160" w:type="dxa"/>
            <w:vAlign w:val="bottom"/>
            <w:tcBorders>
              <w:bottom w:val="single" w:sz="8" w:color="auto"/>
            </w:tcBorders>
            <w:gridSpan w:val="3"/>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360" w:type="dxa"/>
            <w:vAlign w:val="bottom"/>
          </w:tcPr>
          <w:p>
            <w:pPr>
              <w:jc w:val="center"/>
              <w:spacing w:after="0" w:line="138" w:lineRule="exact"/>
              <w:rPr>
                <w:sz w:val="20"/>
                <w:szCs w:val="20"/>
                <w:color w:val="auto"/>
              </w:rPr>
            </w:pPr>
            <w:r>
              <w:rPr>
                <w:rFonts w:ascii="Arial" w:cs="Arial" w:eastAsia="Arial" w:hAnsi="Arial"/>
                <w:sz w:val="16"/>
                <w:szCs w:val="16"/>
                <w:color w:val="auto"/>
                <w:w w:val="94"/>
              </w:rPr>
              <w:t>into Income</w:t>
            </w:r>
          </w:p>
        </w:tc>
        <w:tc>
          <w:tcPr>
            <w:tcW w:w="2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Derivatives in Cash Flow Hedging Relationships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2018</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(Effective Portion)</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forward contracts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4"/>
              </w:rPr>
              <w:t>2,030</w:t>
            </w:r>
          </w:p>
        </w:tc>
        <w:tc>
          <w:tcPr>
            <w:tcW w:w="8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1,943</w:t>
            </w:r>
          </w:p>
        </w:tc>
        <w:tc>
          <w:tcPr>
            <w:tcW w:w="2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bl>
    <w:p>
      <w:pPr>
        <w:spacing w:after="0" w:line="175" w:lineRule="exact"/>
        <w:rPr>
          <w:rFonts w:ascii="Arial" w:cs="Arial" w:eastAsia="Arial" w:hAnsi="Arial"/>
          <w:sz w:val="16"/>
          <w:szCs w:val="16"/>
          <w:b w:val="1"/>
          <w:bCs w:val="1"/>
          <w:u w:val="single" w:color="auto"/>
          <w:color w:val="0000FF"/>
        </w:rPr>
      </w:pPr>
    </w:p>
    <w:p>
      <w:pPr>
        <w:jc w:val="both"/>
        <w:spacing w:after="0" w:line="286" w:lineRule="auto"/>
        <w:rPr>
          <w:sz w:val="20"/>
          <w:szCs w:val="20"/>
          <w:color w:val="auto"/>
        </w:rPr>
      </w:pPr>
      <w:r>
        <w:rPr>
          <w:rFonts w:ascii="Arial" w:cs="Arial" w:eastAsia="Arial" w:hAnsi="Arial"/>
          <w:sz w:val="17"/>
          <w:szCs w:val="17"/>
          <w:color w:val="auto"/>
        </w:rPr>
        <w:t>As of November 30, 2019, the Company assessed that these cash flow hedges were effective. All components of each derivative’s gain or loss were recorded in the Consolidated Statement of Income in Selling, general, and administrative ("SG&amp;A"). As of November 30, 2019, the Company estimates that $0.3 million of net derivative losses related to its cash flow hedges included in AOCL will be reclassified into earnings within the next 12 months.</w:t>
      </w:r>
    </w:p>
    <w:p>
      <w:pPr>
        <w:spacing w:after="0" w:line="121" w:lineRule="exact"/>
        <w:rPr>
          <w:rFonts w:ascii="Arial" w:cs="Arial" w:eastAsia="Arial" w:hAnsi="Arial"/>
          <w:sz w:val="16"/>
          <w:szCs w:val="16"/>
          <w:b w:val="1"/>
          <w:bCs w:val="1"/>
          <w:u w:val="single" w:color="auto"/>
          <w:color w:val="0000FF"/>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189" w:lineRule="exact"/>
        <w:rPr>
          <w:rFonts w:ascii="Arial" w:cs="Arial" w:eastAsia="Arial" w:hAnsi="Arial"/>
          <w:sz w:val="16"/>
          <w:szCs w:val="16"/>
          <w:b w:val="1"/>
          <w:bCs w:val="1"/>
          <w:u w:val="single" w:color="auto"/>
          <w:color w:val="0000FF"/>
        </w:rPr>
      </w:pPr>
    </w:p>
    <w:p>
      <w:pPr>
        <w:jc w:val="both"/>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November 30, 2019, and August 31, 2019, there were no material amounts recorded net on the Consolidated Balance Sheets.</w:t>
      </w:r>
    </w:p>
    <w:p>
      <w:pPr>
        <w:spacing w:after="0" w:line="275" w:lineRule="exact"/>
        <w:rPr>
          <w:rFonts w:ascii="Arial" w:cs="Arial" w:eastAsia="Arial" w:hAnsi="Arial"/>
          <w:sz w:val="16"/>
          <w:szCs w:val="16"/>
          <w:b w:val="1"/>
          <w:bCs w:val="1"/>
          <w:u w:val="single" w:color="auto"/>
          <w:color w:val="0000FF"/>
        </w:rPr>
      </w:pPr>
    </w:p>
    <w:p>
      <w:pPr>
        <w:spacing w:after="0"/>
        <w:rPr>
          <w:sz w:val="20"/>
          <w:szCs w:val="20"/>
          <w:color w:val="auto"/>
        </w:rPr>
      </w:pPr>
      <w:r>
        <w:rPr>
          <w:rFonts w:ascii="Arial" w:cs="Arial" w:eastAsia="Arial" w:hAnsi="Arial"/>
          <w:sz w:val="18"/>
          <w:szCs w:val="18"/>
          <w:b w:val="1"/>
          <w:bCs w:val="1"/>
          <w:color w:val="auto"/>
        </w:rPr>
        <w:t>7. OTHER COMPREHENSIVE INCOME (LOSS) AND ACCUMULATED OTHER COMPREHENSIVE LOSS</w:t>
      </w:r>
    </w:p>
    <w:p>
      <w:pPr>
        <w:spacing w:after="0" w:line="202"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8820" w:type="dxa"/>
            <w:vAlign w:val="bottom"/>
            <w:gridSpan w:val="6"/>
          </w:tcPr>
          <w:p>
            <w:pPr>
              <w:spacing w:after="0"/>
              <w:rPr>
                <w:sz w:val="20"/>
                <w:szCs w:val="20"/>
                <w:color w:val="auto"/>
              </w:rPr>
            </w:pPr>
            <w:r>
              <w:rPr>
                <w:rFonts w:ascii="Arial" w:cs="Arial" w:eastAsia="Arial" w:hAnsi="Arial"/>
                <w:sz w:val="18"/>
                <w:szCs w:val="18"/>
                <w:color w:val="auto"/>
                <w:w w:val="90"/>
              </w:rPr>
              <w:t>The components of other comprehensive income for the three months ended November 30, 2019 and 2018 are as follows: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gridSpan w:val="4"/>
          </w:tcPr>
          <w:p>
            <w:pPr>
              <w:jc w:val="right"/>
              <w:ind w:right="530"/>
              <w:spacing w:after="0"/>
              <w:rPr>
                <w:sz w:val="20"/>
                <w:szCs w:val="20"/>
                <w:color w:val="auto"/>
              </w:rPr>
            </w:pPr>
            <w:r>
              <w:rPr>
                <w:rFonts w:ascii="Arial" w:cs="Arial" w:eastAsia="Arial" w:hAnsi="Arial"/>
                <w:sz w:val="18"/>
                <w:szCs w:val="18"/>
                <w:color w:val="auto"/>
              </w:rPr>
              <w:t>November 30, 2019</w:t>
            </w:r>
          </w:p>
        </w:tc>
        <w:tc>
          <w:tcPr>
            <w:tcW w:w="140" w:type="dxa"/>
            <w:vAlign w:val="bottom"/>
          </w:tcPr>
          <w:p>
            <w:pPr>
              <w:spacing w:after="0"/>
              <w:rPr>
                <w:sz w:val="23"/>
                <w:szCs w:val="23"/>
                <w:color w:val="auto"/>
              </w:rPr>
            </w:pPr>
          </w:p>
        </w:tc>
        <w:tc>
          <w:tcPr>
            <w:tcW w:w="2400" w:type="dxa"/>
            <w:vAlign w:val="bottom"/>
            <w:gridSpan w:val="4"/>
          </w:tcPr>
          <w:p>
            <w:pPr>
              <w:jc w:val="right"/>
              <w:ind w:right="450"/>
              <w:spacing w:after="0"/>
              <w:rPr>
                <w:sz w:val="20"/>
                <w:szCs w:val="20"/>
                <w:color w:val="auto"/>
              </w:rPr>
            </w:pPr>
            <w:r>
              <w:rPr>
                <w:rFonts w:ascii="Arial" w:cs="Arial" w:eastAsia="Arial" w:hAnsi="Arial"/>
                <w:sz w:val="18"/>
                <w:szCs w:val="18"/>
                <w:color w:val="auto"/>
              </w:rPr>
              <w:t>November 30, 2018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Pre-tax</w:t>
            </w:r>
          </w:p>
        </w:tc>
        <w:tc>
          <w:tcPr>
            <w:tcW w:w="300" w:type="dxa"/>
            <w:vAlign w:val="bottom"/>
          </w:tcPr>
          <w:p>
            <w:pPr>
              <w:spacing w:after="0"/>
              <w:rPr>
                <w:sz w:val="20"/>
                <w:szCs w:val="20"/>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Pre-tax</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Net of tax</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7,787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(9,504)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Net unrealized gain on cash flow hedges recognized in AOCL</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2,765</w:t>
            </w:r>
          </w:p>
        </w:tc>
        <w:tc>
          <w:tcPr>
            <w:tcW w:w="300" w:type="dxa"/>
            <w:vAlign w:val="bottom"/>
          </w:tcPr>
          <w:p>
            <w:pPr>
              <w:spacing w:after="0"/>
              <w:rPr>
                <w:sz w:val="21"/>
                <w:szCs w:val="21"/>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2,051</w:t>
            </w:r>
          </w:p>
        </w:tc>
        <w:tc>
          <w:tcPr>
            <w:tcW w:w="14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1,626</w:t>
            </w:r>
          </w:p>
        </w:tc>
        <w:tc>
          <w:tcPr>
            <w:tcW w:w="340" w:type="dxa"/>
            <w:vAlign w:val="bottom"/>
          </w:tcPr>
          <w:p>
            <w:pPr>
              <w:spacing w:after="0"/>
              <w:rPr>
                <w:sz w:val="21"/>
                <w:szCs w:val="21"/>
                <w:color w:val="auto"/>
              </w:rPr>
            </w:pP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88"/>
              </w:rPr>
              <w:t>1,038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Other comprehensive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10,552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9,838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(8,466)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6220" w:type="dxa"/>
            <w:vAlign w:val="bottom"/>
          </w:tcPr>
          <w:p>
            <w:pPr>
              <w:spacing w:after="0"/>
              <w:rPr>
                <w:sz w:val="20"/>
                <w:szCs w:val="20"/>
                <w:color w:val="auto"/>
              </w:rPr>
            </w:pPr>
            <w:r>
              <w:rPr>
                <w:rFonts w:ascii="Arial" w:cs="Arial" w:eastAsia="Arial" w:hAnsi="Arial"/>
                <w:sz w:val="18"/>
                <w:szCs w:val="18"/>
                <w:color w:val="auto"/>
              </w:rPr>
              <w:t>The components of AOCL are as follows: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80" w:type="dxa"/>
            <w:vAlign w:val="bottom"/>
            <w:gridSpan w:val="3"/>
          </w:tcPr>
          <w:p>
            <w:pPr>
              <w:jc w:val="right"/>
              <w:ind w:right="210"/>
              <w:spacing w:after="0"/>
              <w:rPr>
                <w:sz w:val="20"/>
                <w:szCs w:val="20"/>
                <w:color w:val="auto"/>
              </w:rPr>
            </w:pPr>
            <w:r>
              <w:rPr>
                <w:rFonts w:ascii="Arial" w:cs="Arial" w:eastAsia="Arial" w:hAnsi="Arial"/>
                <w:sz w:val="18"/>
                <w:szCs w:val="18"/>
                <w:color w:val="auto"/>
              </w:rPr>
              <w:t>November 30, 2019</w:t>
            </w:r>
          </w:p>
        </w:tc>
        <w:tc>
          <w:tcPr>
            <w:tcW w:w="220" w:type="dxa"/>
            <w:vAlign w:val="bottom"/>
          </w:tcPr>
          <w:p>
            <w:pPr>
              <w:spacing w:after="0"/>
              <w:rPr>
                <w:sz w:val="23"/>
                <w:szCs w:val="23"/>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August 31, 2019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unrealized losses on cash flow hedges,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2"/>
              </w:rPr>
              <w:t>(64,491)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accumulated other comprehensive loss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2"/>
              </w:rPr>
              <w:t>(64,706)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399"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it engages in business activities from which they may earn revenue and incur expense, (ii) its operating results are regularly reviewed by the company's chief operating decision maker ("CODM") for resource allocation decisions and performance assessment, and (iii) its discrete financial information is available. The Company's Chief Executive Officer functions as the CODM.</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operating segments are aligned with how the Company, including its CODM, manages the business and the demographic markets in which it serves, with a primary focus on providing integrated global financial and economic information. The Company’s internal financial reporting structure is based on three segments: the Americas, Europe and Asia Pacific. The primary workflow solutions within the Americas, Europe and Asia Pacific segments are Research, Analytics and Trading, Content and Technology Solutions and Wealth. These workflow solutions provide global financial and economic information to investment managers, investment banks and other financial services professionals.</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Americas segment serves investment professionals including financial institutions throughout the Americas. The Europe and Asia Pacific segments serve investment professionals located throughout Europe and Asia Pacific, respectively. Segment revenue reflects direct sales to clients based in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Expenditures associated with the Company’s data centers, third-party data costs and corporate headquarters charges are recorded by the Americas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results of operations of the Company's segments: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5760" w:type="dxa"/>
            <w:vAlign w:val="bottom"/>
          </w:tcPr>
          <w:p>
            <w:pPr>
              <w:ind w:left="20"/>
              <w:spacing w:after="0"/>
              <w:rPr>
                <w:sz w:val="20"/>
                <w:szCs w:val="20"/>
                <w:color w:val="auto"/>
              </w:rPr>
            </w:pPr>
            <w:r>
              <w:rPr>
                <w:rFonts w:ascii="Arial" w:cs="Arial" w:eastAsia="Arial" w:hAnsi="Arial"/>
                <w:sz w:val="18"/>
                <w:szCs w:val="18"/>
                <w:color w:val="auto"/>
              </w:rPr>
              <w:t>For the three months ended November 30, 2019</w:t>
            </w: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Asia Pacific</w:t>
            </w:r>
          </w:p>
        </w:tc>
        <w:tc>
          <w:tcPr>
            <w:tcW w:w="360" w:type="dxa"/>
            <w:vAlign w:val="bottom"/>
          </w:tcPr>
          <w:p>
            <w:pPr>
              <w:spacing w:after="0"/>
              <w:rPr>
                <w:sz w:val="23"/>
                <w:szCs w:val="23"/>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27"/>
        </w:trPr>
        <w:tc>
          <w:tcPr>
            <w:tcW w:w="5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Revenue from clients</w:t>
            </w: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231,330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366,658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140"/>
              <w:spacing w:after="0"/>
              <w:rPr>
                <w:sz w:val="20"/>
                <w:szCs w:val="20"/>
                <w:color w:val="auto"/>
              </w:rPr>
            </w:pPr>
            <w:r>
              <w:rPr>
                <w:rFonts w:ascii="Arial" w:cs="Arial" w:eastAsia="Arial" w:hAnsi="Arial"/>
                <w:sz w:val="18"/>
                <w:szCs w:val="18"/>
                <w:color w:val="auto"/>
              </w:rPr>
              <w:t>Segment operating income</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49,623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22,345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113,186</w:t>
            </w:r>
          </w:p>
        </w:tc>
        <w:tc>
          <w:tcPr>
            <w:tcW w:w="2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954,636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162,303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1,762,232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24,024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26,780</w:t>
            </w:r>
          </w:p>
        </w:tc>
        <w:tc>
          <w:tcPr>
            <w:tcW w:w="20" w:type="dxa"/>
            <w:vAlign w:val="bottom"/>
          </w:tcPr>
          <w:p>
            <w:pPr>
              <w:spacing w:after="0"/>
              <w:rPr>
                <w:sz w:val="21"/>
                <w:szCs w:val="21"/>
                <w:color w:val="auto"/>
              </w:rPr>
            </w:pPr>
          </w:p>
        </w:tc>
      </w:tr>
      <w:tr>
        <w:trPr>
          <w:trHeight w:val="648"/>
        </w:trPr>
        <w:tc>
          <w:tcPr>
            <w:tcW w:w="5760" w:type="dxa"/>
            <w:vAlign w:val="bottom"/>
          </w:tcPr>
          <w:p>
            <w:pPr>
              <w:ind w:left="20"/>
              <w:spacing w:after="0"/>
              <w:rPr>
                <w:sz w:val="20"/>
                <w:szCs w:val="20"/>
                <w:color w:val="auto"/>
              </w:rPr>
            </w:pPr>
            <w:r>
              <w:rPr>
                <w:rFonts w:ascii="Arial" w:cs="Arial" w:eastAsia="Arial" w:hAnsi="Arial"/>
                <w:sz w:val="18"/>
                <w:szCs w:val="18"/>
                <w:color w:val="auto"/>
              </w:rPr>
              <w:t>For the three months ended November 30, 2018</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Asia Pacific</w:t>
            </w:r>
          </w:p>
        </w:tc>
        <w:tc>
          <w:tcPr>
            <w:tcW w:w="36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27"/>
        </w:trPr>
        <w:tc>
          <w:tcPr>
            <w:tcW w:w="5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Revenue from clients</w:t>
            </w: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222,203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31,672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351,640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140"/>
              <w:spacing w:after="0"/>
              <w:rPr>
                <w:sz w:val="20"/>
                <w:szCs w:val="20"/>
                <w:color w:val="auto"/>
              </w:rPr>
            </w:pPr>
            <w:r>
              <w:rPr>
                <w:rFonts w:ascii="Arial" w:cs="Arial" w:eastAsia="Arial" w:hAnsi="Arial"/>
                <w:sz w:val="18"/>
                <w:szCs w:val="18"/>
                <w:color w:val="auto"/>
              </w:rPr>
              <w:t>Segment operating income</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43,841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39,089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17,609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100,539</w:t>
            </w:r>
          </w:p>
        </w:tc>
        <w:tc>
          <w:tcPr>
            <w:tcW w:w="20" w:type="dxa"/>
            <w:vAlign w:val="bottom"/>
          </w:tcPr>
          <w:p>
            <w:pPr>
              <w:spacing w:after="0"/>
              <w:rPr>
                <w:sz w:val="21"/>
                <w:szCs w:val="21"/>
                <w:color w:val="auto"/>
              </w:rPr>
            </w:pPr>
          </w:p>
        </w:tc>
      </w:tr>
      <w:tr>
        <w:trPr>
          <w:trHeight w:val="27"/>
        </w:trPr>
        <w:tc>
          <w:tcPr>
            <w:tcW w:w="5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719,961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109,924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1,365,927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4,105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4,158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9,526</w:t>
            </w:r>
          </w:p>
        </w:tc>
        <w:tc>
          <w:tcPr>
            <w:tcW w:w="20" w:type="dxa"/>
            <w:vAlign w:val="bottom"/>
          </w:tcPr>
          <w:p>
            <w:pPr>
              <w:spacing w:after="0"/>
              <w:rPr>
                <w:sz w:val="21"/>
                <w:szCs w:val="21"/>
                <w:color w:val="auto"/>
              </w:rPr>
            </w:pPr>
          </w:p>
        </w:tc>
      </w:tr>
      <w:tr>
        <w:trPr>
          <w:trHeight w:val="729"/>
        </w:trPr>
        <w:tc>
          <w:tcPr>
            <w:tcW w:w="5760" w:type="dxa"/>
            <w:vAlign w:val="bottom"/>
          </w:tcPr>
          <w:p>
            <w:pPr>
              <w:spacing w:after="0"/>
              <w:rPr>
                <w:sz w:val="20"/>
                <w:szCs w:val="20"/>
                <w:color w:val="auto"/>
              </w:rPr>
            </w:pPr>
            <w:r>
              <w:rPr>
                <w:rFonts w:ascii="Arial" w:cs="Arial" w:eastAsia="Arial" w:hAnsi="Arial"/>
                <w:sz w:val="18"/>
                <w:szCs w:val="18"/>
                <w:b w:val="1"/>
                <w:bCs w:val="1"/>
                <w:color w:val="auto"/>
              </w:rPr>
              <w:t>9. GOODWILL</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8620" w:type="dxa"/>
            <w:vAlign w:val="bottom"/>
            <w:gridSpan w:val="6"/>
          </w:tcPr>
          <w:p>
            <w:pPr>
              <w:spacing w:after="0"/>
              <w:rPr>
                <w:sz w:val="20"/>
                <w:szCs w:val="20"/>
                <w:color w:val="auto"/>
              </w:rPr>
            </w:pPr>
            <w:r>
              <w:rPr>
                <w:rFonts w:ascii="Arial" w:cs="Arial" w:eastAsia="Arial" w:hAnsi="Arial"/>
                <w:sz w:val="18"/>
                <w:szCs w:val="18"/>
                <w:color w:val="auto"/>
                <w:w w:val="90"/>
              </w:rPr>
              <w:t>Changes in the carrying amount of goodwill by segment for the three months ended November 30, 2019 are as follows: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w w:val="96"/>
              </w:rPr>
              <w:t>Europe</w:t>
            </w:r>
          </w:p>
        </w:tc>
        <w:tc>
          <w:tcPr>
            <w:tcW w:w="22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2"/>
              </w:rPr>
              <w:t>Asia Pacific</w:t>
            </w:r>
          </w:p>
        </w:tc>
        <w:tc>
          <w:tcPr>
            <w:tcW w:w="36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244"/>
        </w:trPr>
        <w:tc>
          <w:tcPr>
            <w:tcW w:w="57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31, 2019</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386,195</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296,459</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3,075</w:t>
            </w:r>
          </w:p>
        </w:tc>
        <w:tc>
          <w:tcPr>
            <w:tcW w:w="3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685,729</w:t>
            </w:r>
          </w:p>
        </w:tc>
        <w:tc>
          <w:tcPr>
            <w:tcW w:w="20" w:type="dxa"/>
            <w:vAlign w:val="bottom"/>
          </w:tcPr>
          <w:p>
            <w:pPr>
              <w:spacing w:after="0"/>
              <w:rPr>
                <w:sz w:val="21"/>
                <w:szCs w:val="21"/>
                <w:color w:val="auto"/>
              </w:rPr>
            </w:pPr>
          </w:p>
        </w:tc>
      </w:tr>
      <w:tr>
        <w:trPr>
          <w:trHeight w:val="243"/>
        </w:trPr>
        <w:tc>
          <w:tcPr>
            <w:tcW w:w="5760" w:type="dxa"/>
            <w:vAlign w:val="bottom"/>
          </w:tcPr>
          <w:p>
            <w:pPr>
              <w:ind w:left="140"/>
              <w:spacing w:after="0"/>
              <w:rPr>
                <w:sz w:val="20"/>
                <w:szCs w:val="20"/>
                <w:color w:val="auto"/>
              </w:rPr>
            </w:pPr>
            <w:r>
              <w:rPr>
                <w:rFonts w:ascii="Arial" w:cs="Arial" w:eastAsia="Arial" w:hAnsi="Arial"/>
                <w:sz w:val="18"/>
                <w:szCs w:val="18"/>
                <w:color w:val="auto"/>
              </w:rPr>
              <w:t>Foreign currency translations</w:t>
            </w:r>
          </w:p>
        </w:tc>
        <w:tc>
          <w:tcPr>
            <w:tcW w:w="50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5,686</w:t>
            </w:r>
          </w:p>
        </w:tc>
        <w:tc>
          <w:tcPr>
            <w:tcW w:w="2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5,592</w:t>
            </w:r>
          </w:p>
        </w:tc>
        <w:tc>
          <w:tcPr>
            <w:tcW w:w="20" w:type="dxa"/>
            <w:vAlign w:val="bottom"/>
          </w:tcPr>
          <w:p>
            <w:pPr>
              <w:spacing w:after="0"/>
              <w:rPr>
                <w:sz w:val="21"/>
                <w:szCs w:val="2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November 30, 2019</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386,195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302,145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2,981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691,321</w:t>
            </w:r>
          </w:p>
        </w:tc>
        <w:tc>
          <w:tcPr>
            <w:tcW w:w="20" w:type="dxa"/>
            <w:vAlign w:val="bottom"/>
          </w:tcPr>
          <w:p>
            <w:pPr>
              <w:spacing w:after="0"/>
              <w:rPr>
                <w:sz w:val="20"/>
                <w:szCs w:val="20"/>
                <w:color w:val="auto"/>
              </w:rPr>
            </w:pPr>
          </w:p>
        </w:tc>
      </w:tr>
      <w:tr>
        <w:trPr>
          <w:trHeight w:val="27"/>
        </w:trPr>
        <w:tc>
          <w:tcPr>
            <w:tcW w:w="5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Americas, Europe and Asia Pacific, which reflect the level of internal reporting the Company uses to manage its business and operations. The three reporting units are consistent with the reported operating segments as there is no discrete financial information available for the subsidiaries within each operating segment. The Company performed its annual goodwill impairment test during the fourth quarter of fiscal 2019, consistent with the timing of previous years, utilizing a qualitative analysis and concluded it was more likely than not the fair value of each reporting unit was greater than its respective carrying value and no impairment charge was required.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AND EARNINGS PER SHARE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15, 2019, FactSet’s Board of Directors approved a regular quarterly dividend of $0.72 per share. The cash dividend of $27.1 million was paid on December 19, 2019 to common stockholders of record at the close of business on November 29,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Shares of common stock outstanding were as follows:</w:t>
            </w:r>
          </w:p>
        </w:tc>
        <w:tc>
          <w:tcPr>
            <w:tcW w:w="19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7820" w:type="dxa"/>
            <w:vAlign w:val="bottom"/>
          </w:tcPr>
          <w:p>
            <w:pPr>
              <w:spacing w:after="0"/>
              <w:rPr>
                <w:sz w:val="23"/>
                <w:szCs w:val="23"/>
                <w:color w:val="auto"/>
              </w:rPr>
            </w:pPr>
          </w:p>
        </w:tc>
        <w:tc>
          <w:tcPr>
            <w:tcW w:w="3600" w:type="dxa"/>
            <w:vAlign w:val="bottom"/>
            <w:gridSpan w:val="2"/>
          </w:tcPr>
          <w:p>
            <w:pPr>
              <w:jc w:val="right"/>
              <w:ind w:right="410"/>
              <w:spacing w:after="0"/>
              <w:rPr>
                <w:sz w:val="20"/>
                <w:szCs w:val="20"/>
                <w:color w:val="auto"/>
              </w:rPr>
            </w:pPr>
            <w:r>
              <w:rPr>
                <w:rFonts w:ascii="Arial" w:cs="Arial" w:eastAsia="Arial" w:hAnsi="Arial"/>
                <w:sz w:val="18"/>
                <w:szCs w:val="18"/>
                <w:color w:val="auto"/>
              </w:rPr>
              <w:t>Three Months Ended November 30,</w:t>
            </w:r>
          </w:p>
        </w:tc>
      </w:tr>
      <w:tr>
        <w:trPr>
          <w:trHeight w:val="270"/>
        </w:trPr>
        <w:tc>
          <w:tcPr>
            <w:tcW w:w="78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920" w:type="dxa"/>
            <w:vAlign w:val="bottom"/>
          </w:tcPr>
          <w:p>
            <w:pPr>
              <w:jc w:val="right"/>
              <w:ind w:right="890"/>
              <w:spacing w:after="0"/>
              <w:rPr>
                <w:sz w:val="20"/>
                <w:szCs w:val="20"/>
                <w:color w:val="auto"/>
              </w:rPr>
            </w:pPr>
            <w:r>
              <w:rPr>
                <w:rFonts w:ascii="Arial" w:cs="Arial" w:eastAsia="Arial" w:hAnsi="Arial"/>
                <w:sz w:val="18"/>
                <w:szCs w:val="18"/>
                <w:color w:val="auto"/>
              </w:rPr>
              <w:t>2019</w:t>
            </w:r>
          </w:p>
        </w:tc>
        <w:tc>
          <w:tcPr>
            <w:tcW w:w="1680" w:type="dxa"/>
            <w:vAlign w:val="bottom"/>
          </w:tcPr>
          <w:p>
            <w:pPr>
              <w:jc w:val="right"/>
              <w:ind w:right="710"/>
              <w:spacing w:after="0"/>
              <w:rPr>
                <w:sz w:val="20"/>
                <w:szCs w:val="20"/>
                <w:color w:val="auto"/>
              </w:rPr>
            </w:pPr>
            <w:r>
              <w:rPr>
                <w:rFonts w:ascii="Arial" w:cs="Arial" w:eastAsia="Arial" w:hAnsi="Arial"/>
                <w:sz w:val="18"/>
                <w:szCs w:val="18"/>
                <w:color w:val="auto"/>
              </w:rPr>
              <w:t>2018</w:t>
            </w:r>
          </w:p>
        </w:tc>
      </w:tr>
      <w:tr>
        <w:trPr>
          <w:trHeight w:val="27"/>
        </w:trPr>
        <w:tc>
          <w:tcPr>
            <w:tcW w:w="78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 at September 1, 2019 and 2018, respectively</w:t>
            </w:r>
          </w:p>
        </w:tc>
        <w:tc>
          <w:tcPr>
            <w:tcW w:w="19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38,118</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38,192</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Common stock issued for employee stock plans</w:t>
            </w:r>
          </w:p>
        </w:tc>
        <w:tc>
          <w:tcPr>
            <w:tcW w:w="1920" w:type="dxa"/>
            <w:vAlign w:val="bottom"/>
          </w:tcPr>
          <w:p>
            <w:pPr>
              <w:jc w:val="right"/>
              <w:ind w:right="470"/>
              <w:spacing w:after="0"/>
              <w:rPr>
                <w:sz w:val="20"/>
                <w:szCs w:val="20"/>
                <w:color w:val="auto"/>
              </w:rPr>
            </w:pPr>
            <w:r>
              <w:rPr>
                <w:rFonts w:ascii="Arial" w:cs="Arial" w:eastAsia="Arial" w:hAnsi="Arial"/>
                <w:sz w:val="18"/>
                <w:szCs w:val="18"/>
                <w:color w:val="auto"/>
              </w:rPr>
              <w:t>135</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183</w:t>
            </w:r>
          </w:p>
        </w:tc>
      </w:tr>
      <w:tr>
        <w:trPr>
          <w:trHeight w:val="27"/>
        </w:trPr>
        <w:tc>
          <w:tcPr>
            <w:tcW w:w="7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18"/>
                <w:szCs w:val="18"/>
                <w:color w:val="auto"/>
                <w:vertAlign w:val="superscript"/>
              </w:rPr>
              <w:t>(1)</w:t>
            </w:r>
          </w:p>
        </w:tc>
        <w:tc>
          <w:tcPr>
            <w:tcW w:w="1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Repurchase of common stock under the share repurchase program</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(343)</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78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November 30, 2019 and 2018, respectively</w:t>
            </w: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37,904</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38,081</w:t>
            </w:r>
          </w:p>
        </w:tc>
      </w:tr>
      <w:tr>
        <w:trPr>
          <w:trHeight w:val="27"/>
        </w:trPr>
        <w:tc>
          <w:tcPr>
            <w:tcW w:w="78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340" w:right="520" w:hanging="332"/>
        <w:spacing w:after="0" w:line="308" w:lineRule="auto"/>
        <w:tabs>
          <w:tab w:leader="none" w:pos="334"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For the three months ended November 30, 2019 and 2018, the Company repurchased 5,778 and 19,350 shares, or $1.5 million and $4.3 million, of common stock, respectively, in settlement of employee tax withholding obligations due upon the vesting of restricted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Net Income</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36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Per Share</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04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w w:val="98"/>
              </w:rPr>
              <w:t>(Numerator)</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(Denominator)</w:t>
            </w:r>
          </w:p>
        </w:tc>
        <w:tc>
          <w:tcPr>
            <w:tcW w:w="36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Amount</w:t>
            </w:r>
          </w:p>
        </w:tc>
      </w:tr>
      <w:tr>
        <w:trPr>
          <w:trHeight w:val="27"/>
        </w:trPr>
        <w:tc>
          <w:tcPr>
            <w:tcW w:w="5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three months ended November 30, 2019</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93,957</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37,978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609</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37"/>
        </w:trPr>
        <w:tc>
          <w:tcPr>
            <w:tcW w:w="5940" w:type="dxa"/>
            <w:vAlign w:val="bottom"/>
          </w:tcPr>
          <w:p>
            <w:pPr>
              <w:ind w:left="1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93,957</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38,587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2.43</w:t>
            </w:r>
          </w:p>
        </w:tc>
      </w:tr>
      <w:tr>
        <w:trPr>
          <w:trHeight w:val="27"/>
        </w:trPr>
        <w:tc>
          <w:tcPr>
            <w:tcW w:w="5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three months ended November 30, 2018</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84,296</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38,106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37"/>
        </w:trPr>
        <w:tc>
          <w:tcPr>
            <w:tcW w:w="5940" w:type="dxa"/>
            <w:vAlign w:val="bottom"/>
          </w:tcPr>
          <w:p>
            <w:pPr>
              <w:ind w:left="1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84,296</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38,809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2.17</w:t>
            </w:r>
          </w:p>
        </w:tc>
      </w:tr>
      <w:tr>
        <w:trPr>
          <w:trHeight w:val="27"/>
        </w:trPr>
        <w:tc>
          <w:tcPr>
            <w:tcW w:w="5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Dilutive potential common shares consist of stock options and unvested performance-based awards. Performance-based awards are omitted from the calculation of diluted EPS until it is determined that the performance criteria has been met at the end of the reporting period. There were 20,128 stock options excluded from the calculation of diluted EPS for the three months ended November 30, 2019, because their inclusion would have been anti-dilutive. In addition, there were 36,501 performance-based awards excluded from the calculation of diluted EPS. For the three months ended November 30, 2018, there were no stock options or performance-based awards excluded from the calculation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820" w:firstLine="8"/>
        <w:spacing w:after="0" w:line="464" w:lineRule="auto"/>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jc w:val="both"/>
        <w:ind w:right="20"/>
        <w:spacing w:after="0" w:line="342" w:lineRule="auto"/>
        <w:rPr>
          <w:sz w:val="20"/>
          <w:szCs w:val="20"/>
          <w:color w:val="auto"/>
        </w:rPr>
      </w:pPr>
      <w:r>
        <w:rPr>
          <w:rFonts w:ascii="Arial" w:cs="Arial" w:eastAsia="Arial" w:hAnsi="Arial"/>
          <w:sz w:val="16"/>
          <w:szCs w:val="16"/>
          <w:color w:val="auto"/>
        </w:rPr>
        <w:t>Repurchases will be made from time to time in the open market and privately negotiated transactions, subject to market conditions. For the three months ended November 30, 2019 and 2018, the Company repurchased 343,000 shares for $84.4 million and 275,000 shares for $60.4 million, respectively.</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2019, $154.2 million remains authorized for future share repurchases. There is no defined number of shares to be repurchased over a specified timeframe through the life of the share repurchase program. It is expected that share repurchases will be paid using existing and future cash generated by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Restricted stock entitles the holder to shares of common stock as the awards vest over time. During the first three months of fiscal 2020, previously granted restricted stock of 15,376 shares vested and were included in common stock outstanding as of November 30, 2019 (recorded net of 5,778 shares repurchased from employees at a cost of $1.5 million to cover their cost of taxes upon vesting of the restricted stock). During the same comparable period a year ago, 52,611 shares of previously granted restricted stock vested and were included in common stock outstanding as of November 30, 2018 (recorded net of 19,350 shares repurchased from employees at a cost of $4.3 million to cover their cost of taxes upon vesting of the restricted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dividends for the first three months of fiscal 2020 and 2019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color w:val="auto"/>
                <w:w w:val="92"/>
              </w:rPr>
              <w:t>Dividends per</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color w:val="auto"/>
                <w:w w:val="88"/>
              </w:rPr>
              <w:t>Share of</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i w:val="1"/>
                <w:iCs w:val="1"/>
                <w:color w:val="auto"/>
                <w:w w:val="93"/>
              </w:rPr>
              <w:t>Total $ Amount</w:t>
            </w:r>
          </w:p>
        </w:tc>
        <w:tc>
          <w:tcPr>
            <w:tcW w:w="2040" w:type="dxa"/>
            <w:vAlign w:val="bottom"/>
          </w:tcPr>
          <w:p>
            <w:pPr>
              <w:spacing w:after="0"/>
              <w:rPr>
                <w:sz w:val="18"/>
                <w:szCs w:val="18"/>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Year Ended</w:t>
            </w:r>
          </w:p>
        </w:tc>
        <w:tc>
          <w:tcPr>
            <w:tcW w:w="180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color w:val="auto"/>
                <w:w w:val="90"/>
              </w:rPr>
              <w:t>Common Stock</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Record Date</w:t>
            </w:r>
          </w:p>
        </w:tc>
        <w:tc>
          <w:tcPr>
            <w:tcW w:w="28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i w:val="1"/>
                <w:iCs w:val="1"/>
                <w:color w:val="auto"/>
                <w:w w:val="96"/>
              </w:rPr>
              <w:t>(in thousands)</w:t>
            </w:r>
          </w:p>
        </w:tc>
        <w:tc>
          <w:tcPr>
            <w:tcW w:w="2040" w:type="dxa"/>
            <w:vAlign w:val="bottom"/>
          </w:tcPr>
          <w:p>
            <w:pPr>
              <w:ind w:left="540"/>
              <w:spacing w:after="0"/>
              <w:rPr>
                <w:sz w:val="20"/>
                <w:szCs w:val="20"/>
                <w:color w:val="auto"/>
              </w:rPr>
            </w:pPr>
            <w:r>
              <w:rPr>
                <w:rFonts w:ascii="Arial" w:cs="Arial" w:eastAsia="Arial" w:hAnsi="Arial"/>
                <w:sz w:val="18"/>
                <w:szCs w:val="18"/>
                <w:color w:val="auto"/>
              </w:rPr>
              <w:t>Payment Date</w:t>
            </w:r>
          </w:p>
        </w:tc>
      </w:tr>
      <w:tr>
        <w:trPr>
          <w:trHeight w:val="27"/>
        </w:trPr>
        <w:tc>
          <w:tcPr>
            <w:tcW w:w="2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8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43"/>
        </w:trPr>
        <w:tc>
          <w:tcPr>
            <w:tcW w:w="270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0.72</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29,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27,290</w:t>
            </w:r>
          </w:p>
        </w:tc>
        <w:tc>
          <w:tcPr>
            <w:tcW w:w="2040" w:type="dxa"/>
            <w:vAlign w:val="bottom"/>
          </w:tcPr>
          <w:p>
            <w:pPr>
              <w:ind w:left="80"/>
              <w:spacing w:after="0"/>
              <w:rPr>
                <w:sz w:val="20"/>
                <w:szCs w:val="20"/>
                <w:color w:val="auto"/>
              </w:rPr>
            </w:pPr>
            <w:r>
              <w:rPr>
                <w:rFonts w:ascii="Arial" w:cs="Arial" w:eastAsia="Arial" w:hAnsi="Arial"/>
                <w:sz w:val="18"/>
                <w:szCs w:val="18"/>
                <w:color w:val="auto"/>
              </w:rPr>
              <w:t>December 19, 2019</w:t>
            </w:r>
          </w:p>
        </w:tc>
      </w:tr>
      <w:tr>
        <w:trPr>
          <w:trHeight w:val="27"/>
        </w:trPr>
        <w:tc>
          <w:tcPr>
            <w:tcW w:w="2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7"/>
        </w:trPr>
        <w:tc>
          <w:tcPr>
            <w:tcW w:w="27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Fiscal 2019</w:t>
            </w:r>
          </w:p>
        </w:tc>
        <w:tc>
          <w:tcPr>
            <w:tcW w:w="1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43"/>
        </w:trPr>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0.64</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30, 2018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24,372</w:t>
            </w:r>
          </w:p>
        </w:tc>
        <w:tc>
          <w:tcPr>
            <w:tcW w:w="2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December 18, 2018</w:t>
            </w:r>
          </w:p>
        </w:tc>
      </w:tr>
      <w:tr>
        <w:trPr>
          <w:trHeight w:val="27"/>
        </w:trPr>
        <w:tc>
          <w:tcPr>
            <w:tcW w:w="27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AND NON-EMPLOYEE DIRECTOR STOCK OPTION AND RETIREMENT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Awards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 options granted during the first three months of fiscal 2020, related to the employee grant on November 1, 2019 under the FactSet Research Systems Inc. Stock Option and Award Plan, as Amended and Restated (the "LTIP"). FactSet granted 412,098 non-performance-based employee stock options, with an exercise price of $255.87 and estimated fair value of $60.19 per share using the lattice-binomial option-pricing model. The stock options awards vest 20% annually on the anniversary date of the grant and are fully vested after five years, expiring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employee stock options granted on November 1, 2019 was determined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54875" cy="1509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15093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 2019 Grant Details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structure of risk-free interest rate</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- 1.79%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68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structure of volatility</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- 26%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$ 60.19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4680" w:type="dxa"/>
            <w:vAlign w:val="bottom"/>
          </w:tcPr>
          <w:p>
            <w:pPr>
              <w:jc w:val="right"/>
              <w:spacing w:after="0"/>
              <w:rPr>
                <w:sz w:val="20"/>
                <w:szCs w:val="20"/>
                <w:color w:val="auto"/>
              </w:rPr>
            </w:pPr>
            <w:r>
              <w:rPr>
                <w:rFonts w:ascii="Arial" w:cs="Arial" w:eastAsia="Arial" w:hAnsi="Arial"/>
                <w:sz w:val="18"/>
                <w:szCs w:val="18"/>
                <w:color w:val="auto"/>
              </w:rPr>
              <w:t>$ 255.87</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as a percentage of exercise price</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674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three months of fiscal 2020, FactSet granted 29,817 non-performance based restricted stock units ("RSUs") and 36,501 performance-based restricted stock units ("PRSUs") related to the annual employee grant on November 1, 2019, with a weighted average grant date fair value of $245.48 under the LTIP plan. The RSUs and PRSUs granted to employees entitle the holder to shares of common stock as the unit vests over time or the performance period, but not to dividends declared on the underlying shares, while the restricted stock is unvested. The grant date fair value of restricted stock units is measured by reducing the grant date price of FactSet's share by the present value of the dividends expected to be paid on the underlying stock during the requisite service period, discounted at the appropriate risk-free interest rate. The RSUs vest 20% annually on the anniversary date of grant and are fully vested after five years, expiring ten years from the date of grant. The PRSUs cliff vest three years from the anniversary date of grant based on the achievement of certain performance metrics and expire ten years from the date of grant.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the Company’s common stock on the first day or the last day of each three-month offering period. Employee purchases may not exceed 10% of their gross compensation and a $25,000 contribution limit during an offering period.</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November 30, 2019, employees purchased 11,159 shares at a weighted average price of $220.70 compared to 13,095 shares at a weighted average price of $197.34 for the three months ended November 30, 2018. At November 30, 2019, the ESPP had 209,251 shares reserved for future issuance.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recognized total stock-based compensation expense of $9.8 million and $8.4 million, during the three months ended November 30, 2019 and 2018, respectively. As of November 30, 2019, $107.4 million of total unrecognized compensation expense related to non-vested equity awards is expected to be recognized over a weighted average period of 3.5 years. Stock-based compensation expense related to the ESPP was $0.5 million for both the three months ended November 30, 2019 and 2018. There was no stock-based compensation capitalized for the three months ended November 30, 2019 or 2018.</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November 30, 2019, FactSet had 5.5 million share-based awards available for grant under the LTIP and 0.3 million share-based awards available for grant under the Non-Employee Directors' Stock Option and Award Plan, as Amended and Restated.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6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5"/>
        </w:trPr>
        <w:tc>
          <w:tcPr>
            <w:tcW w:w="6340" w:type="dxa"/>
            <w:vAlign w:val="bottom"/>
            <w:gridSpan w:val="2"/>
          </w:tcPr>
          <w:p>
            <w:pPr>
              <w:spacing w:after="0"/>
              <w:rPr>
                <w:sz w:val="20"/>
                <w:szCs w:val="20"/>
                <w:color w:val="auto"/>
              </w:rPr>
            </w:pPr>
            <w:r>
              <w:rPr>
                <w:rFonts w:ascii="Arial" w:cs="Arial" w:eastAsia="Arial" w:hAnsi="Arial"/>
                <w:sz w:val="18"/>
                <w:szCs w:val="18"/>
                <w:color w:val="auto"/>
              </w:rPr>
              <w:t>The provision for income taxes is as follows:</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00" w:type="dxa"/>
            <w:vAlign w:val="bottom"/>
            <w:gridSpan w:val="3"/>
          </w:tcPr>
          <w:p>
            <w:pPr>
              <w:jc w:val="right"/>
              <w:ind w:right="950"/>
              <w:spacing w:after="0"/>
              <w:rPr>
                <w:sz w:val="20"/>
                <w:szCs w:val="20"/>
                <w:color w:val="auto"/>
              </w:rPr>
            </w:pPr>
            <w:r>
              <w:rPr>
                <w:rFonts w:ascii="Arial" w:cs="Arial" w:eastAsia="Arial" w:hAnsi="Arial"/>
                <w:sz w:val="18"/>
                <w:szCs w:val="18"/>
                <w:color w:val="auto"/>
              </w:rPr>
              <w:t>Three Months Ended November 30,</w:t>
            </w:r>
          </w:p>
        </w:tc>
        <w:tc>
          <w:tcPr>
            <w:tcW w:w="200" w:type="dxa"/>
            <w:vAlign w:val="bottom"/>
          </w:tcPr>
          <w:p>
            <w:pPr>
              <w:spacing w:after="0"/>
              <w:rPr>
                <w:sz w:val="23"/>
                <w:szCs w:val="23"/>
                <w:color w:val="auto"/>
              </w:rPr>
            </w:pPr>
          </w:p>
        </w:tc>
      </w:tr>
      <w:tr>
        <w:trPr>
          <w:trHeight w:val="27"/>
        </w:trPr>
        <w:tc>
          <w:tcPr>
            <w:tcW w:w="6340" w:type="dxa"/>
            <w:vAlign w:val="bottom"/>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63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0"/>
                <w:szCs w:val="20"/>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color w:val="auto"/>
              </w:rPr>
              <w:t>2019</w:t>
            </w:r>
          </w:p>
        </w:tc>
        <w:tc>
          <w:tcPr>
            <w:tcW w:w="920" w:type="dxa"/>
            <w:vAlign w:val="bottom"/>
          </w:tcPr>
          <w:p>
            <w:pPr>
              <w:spacing w:after="0"/>
              <w:rPr>
                <w:sz w:val="20"/>
                <w:szCs w:val="20"/>
                <w:color w:val="auto"/>
              </w:rPr>
            </w:pPr>
          </w:p>
        </w:tc>
        <w:tc>
          <w:tcPr>
            <w:tcW w:w="1680" w:type="dxa"/>
            <w:vAlign w:val="bottom"/>
          </w:tcPr>
          <w:p>
            <w:pPr>
              <w:jc w:val="right"/>
              <w:ind w:right="7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r>
      <w:tr>
        <w:trPr>
          <w:trHeight w:val="27"/>
        </w:trPr>
        <w:tc>
          <w:tcPr>
            <w:tcW w:w="63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108,741</w:t>
            </w:r>
          </w:p>
        </w:tc>
        <w:tc>
          <w:tcPr>
            <w:tcW w:w="9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95,943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14,784</w:t>
            </w: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11,647</w:t>
            </w:r>
          </w:p>
        </w:tc>
        <w:tc>
          <w:tcPr>
            <w:tcW w:w="200" w:type="dxa"/>
            <w:vAlign w:val="bottom"/>
          </w:tcPr>
          <w:p>
            <w:pPr>
              <w:spacing w:after="0"/>
              <w:rPr>
                <w:sz w:val="21"/>
                <w:szCs w:val="21"/>
                <w:color w:val="auto"/>
              </w:rPr>
            </w:pPr>
          </w:p>
        </w:tc>
      </w:tr>
      <w:tr>
        <w:trPr>
          <w:trHeight w:val="27"/>
        </w:trPr>
        <w:tc>
          <w:tcPr>
            <w:tcW w:w="63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6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Effective tax rate</w:t>
            </w:r>
          </w:p>
        </w:tc>
        <w:tc>
          <w:tcPr>
            <w:tcW w:w="5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28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FactSet’s effective tax rate is lower than the applicable U.S. corporate income tax rate for the three months ended November 30, 2019 due to R&amp;D tax benefits, foreign derived intangible income deduction ("FDII"), and excess tax benefits associated with share-based payments.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November 30, 2019, the provision for income taxes was $14.8 million, an increase of 26.9% from the same period a year ago. The provision increased due to higher operating income and a reduction in income tax benefits for the three months ended November 30, 2019, compared to the prior year period. Income tax benefits for the three months ended November 30, 2019 were $5.9 million due to the remeasurement of a foreign net deferred tax position due to changes in the jurisdiction's tax rate, finalizing prior years' tax returns, and windfall tax benefits from stock-based compensation, compared to a $6.4 million benefit in the prior year period due to windfall tax benefits from stock-based compensation and the revision of the one-time transition tax on accumulated earnings and profits of foreign subsidiaries permitted by the TCJA.</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FactSet finalized the accounting for the tax effects of the TCJA with respect to the one-time transition tax, however the tax effects may be affected by changes in interpretations at the federal and state levels, and any additional regulatory guidance that may be issued.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14. DEBT</w:t>
            </w:r>
          </w:p>
        </w:tc>
        <w:tc>
          <w:tcPr>
            <w:tcW w:w="1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6080" w:type="dxa"/>
            <w:vAlign w:val="bottom"/>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80" w:type="dxa"/>
            <w:vAlign w:val="bottom"/>
          </w:tcPr>
          <w:p>
            <w:pPr>
              <w:spacing w:after="0"/>
              <w:rPr>
                <w:sz w:val="23"/>
                <w:szCs w:val="23"/>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color w:val="auto"/>
                <w:w w:val="94"/>
              </w:rPr>
              <w:t>November 30, 2019</w:t>
            </w:r>
          </w:p>
        </w:tc>
        <w:tc>
          <w:tcPr>
            <w:tcW w:w="320" w:type="dxa"/>
            <w:vAlign w:val="bottom"/>
          </w:tcPr>
          <w:p>
            <w:pPr>
              <w:spacing w:after="0"/>
              <w:rPr>
                <w:sz w:val="23"/>
                <w:szCs w:val="23"/>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color w:val="auto"/>
              </w:rPr>
              <w:t>August 31, 2019</w:t>
            </w:r>
          </w:p>
        </w:tc>
      </w:tr>
      <w:tr>
        <w:trPr>
          <w:trHeight w:val="27"/>
        </w:trPr>
        <w:tc>
          <w:tcPr>
            <w:tcW w:w="6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Revolving Credit Facility (maturity date of March 29, 2024)</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575,000</w:t>
            </w:r>
          </w:p>
        </w:tc>
      </w:tr>
      <w:tr>
        <w:trPr>
          <w:trHeight w:val="27"/>
        </w:trPr>
        <w:tc>
          <w:tcPr>
            <w:tcW w:w="60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29, 2019, the Company entered into the 2019 Credit Agreement (the "2019 Credit Agreement") between FactSet, as the borrower, and PNC Bank, National Association ("PNC"), as the administrative agent and lender.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borrowed $575.0 million of the available $750.0 million provided by the 2019 Revolving Credit Facility, resulting in $175.0 million available to be withdrawn. FactSet is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November 30, 2019. The principal balance is payable in full on the maturity date.</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the Company's long-term debt was $575.0 million as of November 30, 2019, which the Company believes approximates the carrying amount as the terms and interest rate approximate market rates given its floating interest rate basis. Borrowings under the loan bear interest on the outstanding principal amount at a rate equal to the daily LIBOR rate plus a spread using a debt leverage pricing grid, currently at 0.875%. For the three months ended November 30, 2019 and 2018, the Company recorded interest expense of $4.2 million and $4.7 million on its outstanding debt amounts, respectively. The weighted average interest rate on amounts outstanding under our credit facilities was 2.59% and 3.35% as of November 30, 2019 and August 31, 2019, respectively. Interest on the loan outstanding is payable quarterly, in arrears, and on the maturity date.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maintains a consolidated net leverage ratio, as measured by total net funded debt/EBITDA below a specified level as of the end of each fiscal quarter. The Company was in compliance with all the covenants and requirements within the 2019 Credit Agreement as of November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 February 2016, the FASB issued an accounting standard update related to accounting for leases. The update requires the recognition of lease right-of use (“ROU”) assets and liabilities on the balance sheet and the disclosure of qualitative and quantitative information about leasing arrangements. FactSet adopted the standard as of September 1, 2019, using a modified retrospective approach to record the required cumulative effect adjustments to the opening balance sheet in the period of adoption.</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12529"/>
        </w:rPr>
        <w:t>FactSet reviews new arrangements at inception to evaluate whether the Company obtains substantially all the economic benefits of and has the right to control the use of an asset. If FactSet determines that an arrangement qualifies as a lease, a lease liability and a corresponding lease right-of-use (“ROU”) asset is recognized on the lease commencement date which includes fixed lease payments and certain qualifying index-based variable payments.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In determining the amount of lease payments used in measuring ROU assets and lease liabilities, FactSet elected the package of practical expedients permitted under the transition guidance, which permits the Company not to reassess under the new standard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The Company has also elected to apply the short-term lease exception to not recognize lease liabilities and right-of-use assets for leases with a term of 12 months or less. FactSet will recognize these lease payments on a straight-line basis over the lease term in O</w:t>
      </w:r>
      <w:r>
        <w:rPr>
          <w:rFonts w:ascii="Arial" w:cs="Arial" w:eastAsia="Arial" w:hAnsi="Arial"/>
          <w:sz w:val="18"/>
          <w:szCs w:val="18"/>
          <w:color w:val="000000"/>
        </w:rPr>
        <w:t>ccupancy expense (a component of</w:t>
      </w:r>
      <w:r>
        <w:rPr>
          <w:rFonts w:ascii="Arial" w:cs="Arial" w:eastAsia="Arial" w:hAnsi="Arial"/>
          <w:sz w:val="18"/>
          <w:szCs w:val="18"/>
          <w:color w:val="212529"/>
        </w:rPr>
        <w:t xml:space="preserve"> </w:t>
      </w:r>
      <w:r>
        <w:rPr>
          <w:rFonts w:ascii="Arial" w:cs="Arial" w:eastAsia="Arial" w:hAnsi="Arial"/>
          <w:sz w:val="18"/>
          <w:szCs w:val="18"/>
          <w:color w:val="000000"/>
        </w:rPr>
        <w:t>SG&amp;A expense)</w:t>
      </w:r>
      <w:r>
        <w:rPr>
          <w:rFonts w:ascii="Arial" w:cs="Arial" w:eastAsia="Arial" w:hAnsi="Arial"/>
          <w:sz w:val="18"/>
          <w:szCs w:val="18"/>
          <w:color w:val="212529"/>
        </w:rPr>
        <w:t>.</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12529"/>
        </w:rPr>
        <w:t xml:space="preserve">The adoption of the lease standard primarily related to the Company’s real estate operating leases. As a result of the adoption of the standard, the Company recognized lease liabilities (initially measured at the present value of the future minimum lease payments over the remaining lease term at the commencement date) of $266.4 million as of </w:t>
      </w:r>
      <w:r>
        <w:rPr>
          <w:rFonts w:ascii="Arial" w:cs="Arial" w:eastAsia="Arial" w:hAnsi="Arial"/>
          <w:sz w:val="17"/>
          <w:szCs w:val="17"/>
          <w:color w:val="000000"/>
        </w:rPr>
        <w:t>November 30, 2019</w:t>
      </w:r>
      <w:r>
        <w:rPr>
          <w:rFonts w:ascii="Arial" w:cs="Arial" w:eastAsia="Arial" w:hAnsi="Arial"/>
          <w:sz w:val="17"/>
          <w:szCs w:val="17"/>
          <w:color w:val="212529"/>
        </w:rPr>
        <w:t xml:space="preserve">, included in </w:t>
      </w:r>
      <w:r>
        <w:rPr>
          <w:rFonts w:ascii="Arial" w:cs="Arial" w:eastAsia="Arial" w:hAnsi="Arial"/>
          <w:sz w:val="17"/>
          <w:szCs w:val="17"/>
          <w:color w:val="000000"/>
        </w:rPr>
        <w:t>Current lease liabilities</w:t>
      </w:r>
      <w:r>
        <w:rPr>
          <w:rFonts w:ascii="Arial" w:cs="Arial" w:eastAsia="Arial" w:hAnsi="Arial"/>
          <w:sz w:val="17"/>
          <w:szCs w:val="17"/>
          <w:color w:val="212529"/>
        </w:rPr>
        <w:t xml:space="preserve"> and </w:t>
      </w:r>
      <w:r>
        <w:rPr>
          <w:rFonts w:ascii="Arial" w:cs="Arial" w:eastAsia="Arial" w:hAnsi="Arial"/>
          <w:sz w:val="17"/>
          <w:szCs w:val="17"/>
          <w:color w:val="000000"/>
        </w:rPr>
        <w:t>Lease liabilities</w:t>
      </w:r>
      <w:r>
        <w:rPr>
          <w:rFonts w:ascii="Arial" w:cs="Arial" w:eastAsia="Arial" w:hAnsi="Arial"/>
          <w:sz w:val="17"/>
          <w:szCs w:val="17"/>
          <w:color w:val="212529"/>
        </w:rPr>
        <w:t xml:space="preserve"> on the Consolidated Balance Sheets. The Company also recognized right-of-use (“ROU”) assets (initially measured as the lease liabilities, adjusted for deferred rent and lease incentives) of $217.0 million as of </w:t>
      </w:r>
      <w:r>
        <w:rPr>
          <w:rFonts w:ascii="Arial" w:cs="Arial" w:eastAsia="Arial" w:hAnsi="Arial"/>
          <w:sz w:val="17"/>
          <w:szCs w:val="17"/>
          <w:color w:val="000000"/>
        </w:rPr>
        <w:t xml:space="preserve">November 30, 2019, </w:t>
      </w:r>
      <w:r>
        <w:rPr>
          <w:rFonts w:ascii="Arial" w:cs="Arial" w:eastAsia="Arial" w:hAnsi="Arial"/>
          <w:sz w:val="17"/>
          <w:szCs w:val="17"/>
          <w:color w:val="212529"/>
        </w:rPr>
        <w:t>included in Lease right-of-use assets, net on the Consolidated Balance Sheets.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12529"/>
        </w:rPr>
        <w:t>Lease liabilities are measured as the present value of the future minimum lease payments over the lease term using FactSet’s incremental borrowing rate within the geography where the leased asset is located, as there is no rate implicit in the Company’s operating lease arrangements. As FactSet does not have any outstanding public debt, the Company estimates the incremental borrowing rate based on FactSet’s estimated credit rating and available market information. The incremental borrowing rate was determined at lease commencement, or as of September 1, 2019 for operating leases in existence upon adoption of ASC 842. The incremental borrowing rate is subsequently reassessed upon a modification to the lease arrangement.</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November 30, 2019</w:t>
      </w:r>
      <w:r>
        <w:rPr>
          <w:rFonts w:ascii="Arial" w:cs="Arial" w:eastAsia="Arial" w:hAnsi="Arial"/>
          <w:sz w:val="18"/>
          <w:szCs w:val="18"/>
          <w:color w:val="212529"/>
        </w:rPr>
        <w:t xml:space="preserve">, the Company’s leases have remaining terms of less than one year to 16 years. The ROU assets and lease liabilities recognized did not include any renewal or termination options that were not yet reasonably certain to be exercised. FactSet’s operating lease net expense for the three months ended November 30, 2019 was $10.6 million. Charges related to our operating leases that are variable and therefore not included in the measurement of the lease liabilities were $5.0 million for the three months ended </w:t>
      </w:r>
      <w:r>
        <w:rPr>
          <w:rFonts w:ascii="Arial" w:cs="Arial" w:eastAsia="Arial" w:hAnsi="Arial"/>
          <w:sz w:val="18"/>
          <w:szCs w:val="18"/>
          <w:color w:val="000000"/>
        </w:rPr>
        <w:t>November 30, 2019</w:t>
      </w:r>
      <w:r>
        <w:rPr>
          <w:rFonts w:ascii="Arial" w:cs="Arial" w:eastAsia="Arial" w:hAnsi="Arial"/>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212529"/>
        </w:rPr>
        <w:t xml:space="preserve">The following table reconciles FactSet’s future undiscounted cash flows related to the Company’s operating leases and the reconciliation to the operating lease liability as of </w:t>
      </w:r>
      <w:r>
        <w:rPr>
          <w:rFonts w:ascii="Arial" w:cs="Arial" w:eastAsia="Arial" w:hAnsi="Arial"/>
          <w:sz w:val="18"/>
          <w:szCs w:val="18"/>
          <w:color w:val="000000"/>
        </w:rPr>
        <w:t>November 30, 2019</w:t>
      </w:r>
      <w:r>
        <w:rPr>
          <w:rFonts w:ascii="Arial" w:cs="Arial" w:eastAsia="Arial" w:hAnsi="Arial"/>
          <w:sz w:val="18"/>
          <w:szCs w:val="18"/>
          <w:color w:val="212529"/>
        </w:rPr>
        <w:t>:</w:t>
      </w:r>
    </w:p>
    <w:p>
      <w:pPr>
        <w:spacing w:after="0" w:line="200" w:lineRule="exact"/>
        <w:rPr>
          <w:sz w:val="20"/>
          <w:szCs w:val="20"/>
          <w:color w:val="auto"/>
        </w:rPr>
      </w:pPr>
    </w:p>
    <w:p>
      <w:pPr>
        <w:spacing w:after="0" w:line="227"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960" w:type="dxa"/>
            <w:vAlign w:val="bottom"/>
          </w:tcPr>
          <w:p>
            <w:pPr>
              <w:jc w:val="right"/>
              <w:ind w:right="470"/>
              <w:spacing w:after="0"/>
              <w:rPr>
                <w:sz w:val="20"/>
                <w:szCs w:val="20"/>
                <w:color w:val="auto"/>
              </w:rPr>
            </w:pPr>
            <w:r>
              <w:rPr>
                <w:rFonts w:ascii="Arial" w:cs="Arial" w:eastAsia="Arial" w:hAnsi="Arial"/>
                <w:sz w:val="18"/>
                <w:szCs w:val="18"/>
                <w:color w:val="auto"/>
              </w:rPr>
              <w:t>Minimum Lease</w:t>
            </w:r>
          </w:p>
        </w:tc>
      </w:tr>
      <w:tr>
        <w:trPr>
          <w:trHeight w:val="244"/>
        </w:trPr>
        <w:tc>
          <w:tcPr>
            <w:tcW w:w="4960" w:type="dxa"/>
            <w:vAlign w:val="bottom"/>
          </w:tcPr>
          <w:p>
            <w:pPr>
              <w:ind w:left="20"/>
              <w:spacing w:after="0"/>
              <w:rPr>
                <w:sz w:val="20"/>
                <w:szCs w:val="20"/>
                <w:color w:val="auto"/>
              </w:rPr>
            </w:pPr>
            <w:r>
              <w:rPr>
                <w:rFonts w:ascii="Arial" w:cs="Arial" w:eastAsia="Arial" w:hAnsi="Arial"/>
                <w:sz w:val="18"/>
                <w:szCs w:val="18"/>
                <w:color w:val="auto"/>
              </w:rPr>
              <w:t>Years ended August 31,</w:t>
            </w:r>
          </w:p>
        </w:tc>
        <w:tc>
          <w:tcPr>
            <w:tcW w:w="340" w:type="dxa"/>
            <w:vAlign w:val="bottom"/>
          </w:tcPr>
          <w:p>
            <w:pPr>
              <w:spacing w:after="0"/>
              <w:rPr>
                <w:sz w:val="21"/>
                <w:szCs w:val="21"/>
                <w:color w:val="auto"/>
              </w:rPr>
            </w:pPr>
          </w:p>
        </w:tc>
        <w:tc>
          <w:tcPr>
            <w:tcW w:w="1960" w:type="dxa"/>
            <w:vAlign w:val="bottom"/>
          </w:tcPr>
          <w:p>
            <w:pPr>
              <w:jc w:val="right"/>
              <w:ind w:right="710"/>
              <w:spacing w:after="0"/>
              <w:rPr>
                <w:sz w:val="20"/>
                <w:szCs w:val="20"/>
                <w:color w:val="auto"/>
              </w:rPr>
            </w:pPr>
            <w:r>
              <w:rPr>
                <w:rFonts w:ascii="Arial" w:cs="Arial" w:eastAsia="Arial" w:hAnsi="Arial"/>
                <w:sz w:val="18"/>
                <w:szCs w:val="18"/>
                <w:color w:val="auto"/>
              </w:rPr>
              <w:t>Payments</w:t>
            </w:r>
          </w:p>
        </w:tc>
      </w:tr>
      <w:tr>
        <w:trPr>
          <w:trHeight w:val="135"/>
        </w:trPr>
        <w:tc>
          <w:tcPr>
            <w:tcW w:w="49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28,448</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36,561</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31,601</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28,318</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26,888</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173,946</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325,762</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59,316</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9"/>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Present value of total lease payments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266,446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30, 2019, the Company has entered into an additional real estate lease in the Philippines which has not yet commenced and is therefore not part of the table above nor included in the lease right-of-use assets and liabilities. This lease will commence when the Company obtains possession of the underlying leased asset which is expected to be in phases during the second and third quarters of fiscal 2020. The lease is for approximately 10 years and has undiscounted future rent payments of approximately $74 million.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other information related to the operating leases recorded on the Consolidated Balance Sheets as of November 30,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848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(in millions)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$ 10.5</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Purchase commitments represent payments due in future periods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2019, the Company had total purchase commitments with suppliers of $69.9 million. There were no material changes in the Company’s purchase commitments during the first three months of fiscal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$2.9 million of standby letters of credit have been issued during the ordinary course of business in connection with the Company’s current leased office space as of November 30, 2019. These standby letters of credit utilize the same covenants included in the 2019 Credit Agreement, refer to Note 14 Debt for more information.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Uncertain income tax positions are accounted for in accordance with applicable accounting guidance, refer to Note 13 Income Taxes for further details.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accrues non-income 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November 30, 2019,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2019, FactSet received a Notice of Intent to Assess (the "Notice") additional sales taxes, interest and underpayment penalties from the Commonwealth of Massachusetts Department of Revenue relating to prior tax periods. The Notice follows FactSet's previously disclosed response to a letter from the Commonwealth requesting additional sales information. Based upon the Notice, it is the Commonwealth's intention to assess sales/use tax, interest and penalties on previously recorded sales transactions. The Company filed an appeal to the Notice and intends to contest any such assessment, if assessed, and continues to cooperate with the Commonwealth's inquiry. Due to the uncertainty surrounding the assessment process, the Company is unable to reasonably estimate the ultimate outcome of this matter and, as such, has not recorded a liability as of November 30, 2019. While FactSet believes that it will ultimately prevail if the Company is presented with a formal assessment; if FactSet does not prevail, the amount could have a material impact on the Company’s consolidated financial position, cash flows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unsecured and are derived from revenue earned from clients located around the globe. The Company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10% or more of FactSet’s total revenue in any period presented. At November 30, 2019, the Company’s largest individual client accounted for approximately 3% of total annual subscriptions, and subscriptions from the ten largest clients did not surpass 15% of total annual subscriptions, consistent with August 31, 2019. As of November 30, 2019, the receivable reserve was $8.9 million compared to $10.5 million as of August 31,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The Company has incorporated counterparty credit risk into the fair value of its derivative assets and its own credit risk into the value of the Company’s derivative liabilities, when applicable. For derivative instruments, the Company calculates credit risk from observable data related to credit default swaps ("CDS") as quoted by publicly available information. Counterparty risk is represented by CDS spreads related to the senior secured debt of the respective bank with whom the Company has executed these derivative transactions. To mitigate counterparty credit risk, the Company enters into contracts with large financial institutions and regularly reviews its credit exposure balances as well as the creditworthiness of the counterparties. For the Company’s liabilities, as CDS spread information is not available for FactSet, the Company’s credit risk is determined based on using a simple average of CDS spreads for peer companies. The Company does not expect any losses as a result of default of its counterparties.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Other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data sets that FactSet relies on have a limited number of suppliers, although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the client accesses to perform their analysis. No single vendor or data supplier represented more than 10% of FactSet's total data costs for the three months ended November 30, 2019 and 2018,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9, 2020, Mr. Franck A.R. Gossieaux, the Company’s Executive Vice President, Global Head of Sales and Client Solutions will assume the title of Executive Vice President, Chief Revenue Officer. Ms. Rachel R. Stern, the Executive Vice President, General Counsel and Secretary will assume the title of Executive Vice President, Chief Legal Officer and Global Head of Strategic Resources. Ms. Stern will also continue as Corporate Secretary. The titles were updated to align with the executives’ current roles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54" w:lineRule="exact"/>
        <w:rPr>
          <w:sz w:val="20"/>
          <w:szCs w:val="20"/>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MD&amp;A should be read in conjunction with our 2019 Form 10-K, Current Reports on Form 8-K and other filings with the Securities and Exchange Commission, and the consolidated financial statements and related notes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trade execution, performance measurement, risk management, reporting, and portfolio analysis, in which we serve the front, middle, and back offices to drive productivity and improved performance. Our flexible, open data and technology solutions can be implemented both across the investment portfolio lifecycle or as standalone components serving different workflows in the organization. We are focused on growing our business throughout each of our three segments, the Americas, Europe, and Asia Pacific. We primarily deliver insight and information through the workflow solutions of Research, Analytics and Trading, Content and Technology Solutions and Wealth.</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serve financial professionals, which include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to execute trades. We combine dedicated client service with open and flexible technology offerings, such as a configurable desktop and mobile platform, comprehensive data feeds, an open marketplace and digital portals and application programming interfaces (“APIs”). Our revenue is primarily derived from subscriptions to products and services such as workstations, analytics, enterprise data, and research management.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premier financial solutions provider for the global financial community, we provide workflow solutions and leading analytical applications across the investment lifecycle to create an open and scalable platform. We bring the front, middle and back office together to drive productivity and performance throughout the portfolio lifecycle. Our strategy is focused on growing our business in each of our three segments which include the Americas, Europe, and Asia Pacific. We believe this geographical strategic alignment helps us better manage our resources and concentrate on markets that demand our products. To execute on our business strategy of broad-based growth across each geographical segment, we continue to look at ways to create value for our clients by offering data, products and analytical applications within our key workflow solutions of Research, Analytics and Trading, Content and Technology Solutions ("CTS") and Wealth.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First Quarter in Review</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in the first quarter of fiscal 2020 was $366.7 million, an increase of 4.3% from the prior year comparable period, of which, 4.2% of the increase can be attributed to organic revenue growth. Revenue growth can be attributed primarily to Wealth, CTS and Analytics and Trading, due mainly to increased demand for our wealth workstations, core and premium data feeds and our portfolio analytics solutions. As of November 30, 2019, organic annual subscription value ("organic ASV") plus professional services totaled $1.48 billion, an increase of 4.1% over the prior year comparable period.</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grew 12.6% and diluted earnings per share ("EPS") increased 12.0% compared to the prior year period. This increase in operating income was primarily driven by revenue growth outpacing the growth of operating expenses on a year-over-year basis, with revenue growth of 4.3%, as well as a reduction in bad debt expense, partially offset by an increase in computer-related and occupancy expenses.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2019, employee count was 9,865, up 2.8% in the past 12 months, due primarily to an increase in net new employees of 4.5% in Asia Pacific and 4.6% in Europe, partially offset by a net decrease of 2.4% in the Americas. Of our total employees, 6,194 were located in Asia Pacific, 2,363 were located in the Americas, 1,308 in Europe.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Key Metrics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2"/>
        </w:trPr>
        <w:tc>
          <w:tcPr>
            <w:tcW w:w="5940" w:type="dxa"/>
            <w:vAlign w:val="bottom"/>
          </w:tcPr>
          <w:p>
            <w:pPr>
              <w:spacing w:after="0"/>
              <w:rPr>
                <w:sz w:val="20"/>
                <w:szCs w:val="20"/>
                <w:color w:val="auto"/>
              </w:rPr>
            </w:pPr>
            <w:r>
              <w:rPr>
                <w:rFonts w:ascii="Arial" w:cs="Arial" w:eastAsia="Arial" w:hAnsi="Arial"/>
                <w:sz w:val="18"/>
                <w:szCs w:val="18"/>
                <w:color w:val="auto"/>
              </w:rPr>
              <w:t>The following is a review of our key metrics: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6"/>
        </w:trPr>
        <w:tc>
          <w:tcPr>
            <w:tcW w:w="5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20" w:type="dxa"/>
            <w:vAlign w:val="bottom"/>
            <w:gridSpan w:val="2"/>
          </w:tcPr>
          <w:p>
            <w:pPr>
              <w:jc w:val="right"/>
              <w:ind w:right="90"/>
              <w:spacing w:after="0"/>
              <w:rPr>
                <w:sz w:val="20"/>
                <w:szCs w:val="20"/>
                <w:color w:val="auto"/>
              </w:rPr>
            </w:pPr>
            <w:r>
              <w:rPr>
                <w:rFonts w:ascii="Arial" w:cs="Arial" w:eastAsia="Arial" w:hAnsi="Arial"/>
                <w:sz w:val="18"/>
                <w:szCs w:val="18"/>
                <w:color w:val="auto"/>
              </w:rPr>
              <w:t>As of and for the</w:t>
            </w: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5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20" w:type="dxa"/>
            <w:vAlign w:val="bottom"/>
            <w:gridSpan w:val="3"/>
          </w:tcPr>
          <w:p>
            <w:pPr>
              <w:jc w:val="right"/>
              <w:ind w:right="510"/>
              <w:spacing w:after="0"/>
              <w:rPr>
                <w:sz w:val="20"/>
                <w:szCs w:val="20"/>
                <w:color w:val="auto"/>
              </w:rPr>
            </w:pPr>
            <w:r>
              <w:rPr>
                <w:rFonts w:ascii="Arial" w:cs="Arial" w:eastAsia="Arial" w:hAnsi="Arial"/>
                <w:sz w:val="18"/>
                <w:szCs w:val="18"/>
                <w:color w:val="auto"/>
                <w:w w:val="97"/>
              </w:rPr>
              <w:t>Three Months Ended November 30,</w:t>
            </w: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64"/>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client and user counts and per share data)</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4"/>
              </w:rPr>
              <w:t>2018</w:t>
            </w:r>
          </w:p>
        </w:tc>
        <w:tc>
          <w:tcPr>
            <w:tcW w:w="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auto"/>
            </w:tcBorders>
          </w:tcPr>
          <w:p>
            <w:pPr>
              <w:spacing w:after="0"/>
              <w:rPr>
                <w:sz w:val="22"/>
                <w:szCs w:val="2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366.7</w:t>
            </w:r>
          </w:p>
        </w:tc>
        <w:tc>
          <w:tcPr>
            <w:tcW w:w="8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113.2</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94.0</w:t>
            </w:r>
          </w:p>
        </w:tc>
        <w:tc>
          <w:tcPr>
            <w:tcW w:w="8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2.43</w:t>
            </w:r>
          </w:p>
        </w:tc>
        <w:tc>
          <w:tcPr>
            <w:tcW w:w="8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Clients</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5,601</w:t>
            </w:r>
          </w:p>
        </w:tc>
        <w:tc>
          <w:tcPr>
            <w:tcW w:w="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5,297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Users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126,785</w:t>
            </w:r>
          </w:p>
        </w:tc>
        <w:tc>
          <w:tcPr>
            <w:tcW w:w="8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115,209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419"/>
        </w:trPr>
        <w:tc>
          <w:tcPr>
            <w:tcW w:w="5940" w:type="dxa"/>
            <w:vAlign w:val="bottom"/>
          </w:tcPr>
          <w:p>
            <w:pPr>
              <w:spacing w:after="0"/>
              <w:rPr>
                <w:sz w:val="20"/>
                <w:szCs w:val="20"/>
                <w:color w:val="auto"/>
              </w:rPr>
            </w:pPr>
            <w:r>
              <w:rPr>
                <w:rFonts w:ascii="Arial" w:cs="Arial" w:eastAsia="Arial" w:hAnsi="Arial"/>
                <w:sz w:val="18"/>
                <w:szCs w:val="18"/>
                <w:color w:val="auto"/>
                <w:w w:val="96"/>
              </w:rPr>
              <w:t>The table below provides an unaudited reconciliation of ASV to organic ASV:</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5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As of November 30,</w:t>
            </w: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5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20"/>
                <w:szCs w:val="20"/>
                <w:color w:val="auto"/>
              </w:rPr>
            </w:pPr>
          </w:p>
        </w:tc>
        <w:tc>
          <w:tcPr>
            <w:tcW w:w="1100" w:type="dxa"/>
            <w:vAlign w:val="bottom"/>
          </w:tcPr>
          <w:p>
            <w:pPr>
              <w:jc w:val="right"/>
              <w:ind w:right="610"/>
              <w:spacing w:after="0"/>
              <w:rPr>
                <w:sz w:val="20"/>
                <w:szCs w:val="20"/>
                <w:color w:val="auto"/>
              </w:rPr>
            </w:pPr>
            <w:r>
              <w:rPr>
                <w:rFonts w:ascii="Arial" w:cs="Arial" w:eastAsia="Arial" w:hAnsi="Arial"/>
                <w:sz w:val="18"/>
                <w:szCs w:val="18"/>
                <w:color w:val="auto"/>
                <w:w w:val="94"/>
              </w:rPr>
              <w:t>2018</w:t>
            </w:r>
          </w:p>
        </w:tc>
        <w:tc>
          <w:tcPr>
            <w:tcW w:w="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r>
      <w:tr>
        <w:trPr>
          <w:trHeight w:val="27"/>
        </w:trPr>
        <w:tc>
          <w:tcPr>
            <w:tcW w:w="5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reported ASV</w:t>
            </w:r>
            <w:r>
              <w:rPr>
                <w:rFonts w:ascii="Arial" w:cs="Arial" w:eastAsia="Arial" w:hAnsi="Arial"/>
                <w:sz w:val="18"/>
                <w:szCs w:val="18"/>
                <w:color w:val="auto"/>
                <w:vertAlign w:val="superscript"/>
              </w:rPr>
              <w:t>(1)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1,453.8</w:t>
            </w:r>
          </w:p>
        </w:tc>
        <w:tc>
          <w:tcPr>
            <w:tcW w:w="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1,398.2</w:t>
            </w:r>
          </w:p>
        </w:tc>
        <w:tc>
          <w:tcPr>
            <w:tcW w:w="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Currency impact to ASV</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8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r>
      <w:tr>
        <w:trPr>
          <w:trHeight w:val="26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ASV</w:t>
            </w:r>
            <w:r>
              <w:rPr>
                <w:rFonts w:ascii="Arial" w:cs="Arial" w:eastAsia="Arial" w:hAnsi="Arial"/>
                <w:sz w:val="18"/>
                <w:szCs w:val="18"/>
                <w:color w:val="auto"/>
                <w:vertAlign w:val="superscript"/>
              </w:rPr>
              <w:t>(2)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1,454.1</w:t>
            </w:r>
          </w:p>
        </w:tc>
        <w:tc>
          <w:tcPr>
            <w:tcW w:w="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1,398.2</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4.0 %</w:t>
            </w:r>
          </w:p>
        </w:tc>
      </w:tr>
    </w:tbl>
    <w:p>
      <w:pPr>
        <w:spacing w:after="0" w:line="121" w:lineRule="exact"/>
        <w:rPr>
          <w:sz w:val="20"/>
          <w:szCs w:val="20"/>
          <w:color w:val="auto"/>
        </w:rPr>
      </w:pPr>
    </w:p>
    <w:p>
      <w:pPr>
        <w:jc w:val="both"/>
        <w:ind w:left="340" w:hanging="332"/>
        <w:spacing w:after="0" w:line="264" w:lineRule="auto"/>
        <w:tabs>
          <w:tab w:leader="none" w:pos="33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ASV at any given point in time represents the forward-looking revenue for the next 12 months from all subscription services currently being supplied to clients and excludes professional service fees, which are not subscription-based. The professional service fees are $24.1 million and $22.2 million as of November 30, 2019 and 2018, respectively.</w:t>
      </w:r>
    </w:p>
    <w:p>
      <w:pPr>
        <w:spacing w:after="0" w:line="140" w:lineRule="exact"/>
        <w:rPr>
          <w:rFonts w:ascii="Arial" w:cs="Arial" w:eastAsia="Arial" w:hAnsi="Arial"/>
          <w:sz w:val="18"/>
          <w:szCs w:val="18"/>
          <w:i w:val="1"/>
          <w:iCs w:val="1"/>
          <w:color w:val="auto"/>
        </w:rPr>
      </w:pPr>
    </w:p>
    <w:p>
      <w:pPr>
        <w:ind w:left="340" w:hanging="332"/>
        <w:spacing w:after="0" w:line="277" w:lineRule="auto"/>
        <w:tabs>
          <w:tab w:leader="none" w:pos="334" w:val="left"/>
        </w:tabs>
        <w:numPr>
          <w:ilvl w:val="0"/>
          <w:numId w:val="12"/>
        </w:numPr>
        <w:rPr>
          <w:rFonts w:ascii="Arial" w:cs="Arial" w:eastAsia="Arial" w:hAnsi="Arial"/>
          <w:sz w:val="18"/>
          <w:szCs w:val="18"/>
          <w:i w:val="1"/>
          <w:iCs w:val="1"/>
          <w:color w:val="4B4B4B"/>
        </w:rPr>
      </w:pPr>
      <w:r>
        <w:rPr>
          <w:rFonts w:ascii="Arial" w:cs="Arial" w:eastAsia="Arial" w:hAnsi="Arial"/>
          <w:sz w:val="18"/>
          <w:szCs w:val="18"/>
          <w:i w:val="1"/>
          <w:iCs w:val="1"/>
          <w:color w:val="auto"/>
        </w:rPr>
        <w:t>Organic ASV excludes ASV from acquisitions and dispositions completed within the last 12 months, the effects of foreign currency on the current year period and professional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Subscription Value Growth</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Organic ASV at any given point in time represents the forward-looking revenue for the next 12 months from all subscription services currently being supplied to clients, excludes ASV from acquisitions and dispositions completed within the last 12 months, the effects of foreign currency on the current year period, and professional services. With proper notice provided to us, our clients can add to, delete portions of, or terminate service at any time, subject to certain contractual limitations. As of November 30, 2019, our organic ASV totaled $1.45 billion, up 4.0% over the prior year comparable period. As of November 30, 2019, organic ASV plus professional services was $1.48 billion, an increase of 4.1%,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increase in year-over-year organic ASV was due to growth across all of our geographic segments from increased sales of products and solutions to new and existing clients, with the majority of the growth related to the Americas, followed by Asia Pacific and Europe. ASV growth from our workflow solutions was primarily driven by Analytics and Trading, CTS and Wealth, partially offset by higher cancellations focused in Research. ASV growth in Analytics and Trading was primarily due to increased sales for our portfolio analytics solutions and risk products. ASV growth in CTS was primarily driven by increased sales in core and premium data feeds while ASV growth in Wealth was mainly due to increased workstation sales.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2019, ASV from the Americas segment was $907.5 million, an increase of 3.5% from the prior year period. ASV from the international operations was $546.2 million as of November 30, 2019, an increase of 4.8% over the prior year comparable period. International ASV represents 37.6% of total ASV as of November 30, 2019, up from 37.3% in the prior year.</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ASV increased in the Americas segment as of November 30, 2019, compared to the prior year period, primarily from our Analytics and Trading, CTS, and Wealth, due to the increasing demand for our integrated analytics and data products. The ASV increase from our international operations was due to continued growth in the Analytics and Trading and CTS workflows.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Buy-side and sell-side ASV growth rates for the first quarter of fiscal 2020 were both 4.0%. Buy-side clients account for 83.9% of ASV, which include traditional asset managers, wealth advisors, corporations, hedge funds, insurance companies, plan sponsors and fund of funds. The remaining portion of ASV is derived from sell-side firms that perform M&amp;A advisory work, capital markets services and equity research.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User Additions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total client count was 5,601 as of November 30, 2019, representing a net increase of 304 or 5.7% in the last 12 months and a net increase of 27 for three months ended November 30, 2019. The increase for both the three and 12 months ended November 30, 2019 was due to an increase in corporate and wealth management clients. As part of our long-term growth strategy, we continue to focus on expanding and cultivating relationships with our existing client base through sales of workstations, applications, services and content.</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2019, there were 126,785 professionals using FactSet, representing a net increase of 11,576 or 10.0% in the last 12 months driven primarily by Wealth workstation sales. For the three months ended November 30, 2019, our user count decreased by 37 primarily driven by a decrease in sell side users.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 client retention as of November 30, 2019 was greater than 95% of ASV and 89% when expressed as a percentage of clients. The cancellation rate for the first quarter of fiscal 2020 was higher than the prior year comparable period. Cancellations were higher mainly from continued cost pressures among institutional asset managers and churn within our banking clients. Despite higher cancellations, our retention rate remains high, which reflects the strength of our business strategy and the value of the FactSet products, as the majority of our clients maintain their subscriptions to the FactSet platform year-over-year. As of November 30, 2019, our largest individual client accounted for less than 3% of total subscriptions, and annual subscriptions from our ten largest clients did not surpass 15% of total client subscriptions.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Returning Value to Stockholders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15, 2019, our Board of Directors approved a regular quarterly dividend of $0.72 per share. The cash dividend of $27.1 million was paid on December 19, 2019 to common stockholders of record at the close of business on November 29, 2019. We repurchased 343,000 shares for $84.4 million during the first quarter of fiscal 2020 under our existing share repurchase program. For the three months ended November 30, 2019, we have returned $111.7 million to stockholders in the form of share repurchases and dividends. Over the last 12 months, we have returned $343.0 million to stockholders in the form of share repurchases and dividends. As of November 30, 2019, $154.2 million remains available for future share repurchases under the existing share repurchase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Capital expenditures in the first quarter of fiscal 2020 were $26.8 million, compared to $9.5 million a year ago. Capital expenditures of $8.5 million, or 32%, were primarily related to the purchase of computers and peripherals. The remainder of our capital expenditures was primarily for the build-out of our new corporate headquarters in Norwalk, Connecticut.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For an understanding of the significant factors that influenced our performance for the three months ended November 30, 2019 and 2018, the following discussion should be read in conjunction with the consolidated financial statements and related notes presented in this Quarterly Report on Form 10-Q.</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gridSpan w:val="3"/>
          </w:tcPr>
          <w:p>
            <w:pPr>
              <w:jc w:val="right"/>
              <w:ind w:right="170"/>
              <w:spacing w:after="0"/>
              <w:rPr>
                <w:sz w:val="20"/>
                <w:szCs w:val="20"/>
                <w:color w:val="auto"/>
              </w:rPr>
            </w:pPr>
            <w:r>
              <w:rPr>
                <w:rFonts w:ascii="Arial" w:cs="Arial" w:eastAsia="Arial" w:hAnsi="Arial"/>
                <w:sz w:val="18"/>
                <w:szCs w:val="18"/>
                <w:color w:val="auto"/>
              </w:rPr>
              <w:t>Three Months Ended November 30,</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46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980" w:type="dxa"/>
            <w:vAlign w:val="bottom"/>
          </w:tcPr>
          <w:p>
            <w:pPr>
              <w:jc w:val="right"/>
              <w:ind w:right="1170"/>
              <w:spacing w:after="0"/>
              <w:rPr>
                <w:sz w:val="20"/>
                <w:szCs w:val="20"/>
                <w:color w:val="auto"/>
              </w:rPr>
            </w:pPr>
            <w:r>
              <w:rPr>
                <w:rFonts w:ascii="Arial" w:cs="Arial" w:eastAsia="Arial" w:hAnsi="Arial"/>
                <w:sz w:val="18"/>
                <w:szCs w:val="18"/>
                <w:color w:val="auto"/>
              </w:rPr>
              <w:t>2018</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366,658</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351,640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164,957</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166,776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88,515</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84,325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113,186</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100,539</w:t>
            </w: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93,957</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84,296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2.43</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2.17</w:t>
            </w: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38,587</w:t>
            </w: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38,809</w:t>
            </w: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5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2019 compared to three months ended November 30,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for the three months ended November 30, 2019 was $366.7 million, increasing 4.3% compared to the prior year while organic revenue increased by 4.2% compared to the same period a year ago. Organic revenue excludes the effects of acquisitions and dispositions completed in the last 12 months, foreign currency in all periods presented and deferred revenue fair value adjustments from purchase accounting. The increase in revenue was due to growth across all our operating segments for the three months ended November 30, 2019 compared to the prior year period, with the majority of the increase in revenue driven from the Americas, followed by Europe and Asia Pacific.</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Revenue by Operating Segment</w:t>
            </w: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5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80" w:type="dxa"/>
            <w:vAlign w:val="bottom"/>
            <w:gridSpan w:val="4"/>
          </w:tcPr>
          <w:p>
            <w:pPr>
              <w:ind w:left="1240"/>
              <w:spacing w:after="0"/>
              <w:rPr>
                <w:sz w:val="20"/>
                <w:szCs w:val="20"/>
                <w:color w:val="auto"/>
              </w:rPr>
            </w:pPr>
            <w:r>
              <w:rPr>
                <w:rFonts w:ascii="Arial" w:cs="Arial" w:eastAsia="Arial" w:hAnsi="Arial"/>
                <w:sz w:val="18"/>
                <w:szCs w:val="18"/>
                <w:color w:val="auto"/>
                <w:w w:val="98"/>
              </w:rPr>
              <w:t>Three Months Ended November 30,</w:t>
            </w: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5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0"/>
                <w:szCs w:val="20"/>
                <w:color w:val="auto"/>
              </w:rPr>
            </w:pPr>
          </w:p>
        </w:tc>
        <w:tc>
          <w:tcPr>
            <w:tcW w:w="1620" w:type="dxa"/>
            <w:vAlign w:val="bottom"/>
          </w:tcPr>
          <w:p>
            <w:pPr>
              <w:jc w:val="right"/>
              <w:ind w:right="81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231,330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222,203</w:t>
            </w: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2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63.1 %</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63.2 %</w:t>
            </w: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100,830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97,765</w:t>
            </w: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460" w:type="dxa"/>
            <w:vAlign w:val="bottom"/>
          </w:tcPr>
          <w:p>
            <w:pPr>
              <w:spacing w:after="0"/>
              <w:rPr>
                <w:sz w:val="21"/>
                <w:szCs w:val="21"/>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34,498</w:t>
            </w:r>
          </w:p>
        </w:tc>
        <w:tc>
          <w:tcPr>
            <w:tcW w:w="48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31,672</w:t>
            </w: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135,328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129,437</w:t>
            </w: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2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36.9 %</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36.8 %</w:t>
            </w: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366,658</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351,640</w:t>
            </w: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2019 compared to three months ended November 30,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Americas segment increased 4.1% to $231.3 million during the three months ended November 30, 2019, compared to $222.2 million from the same period a year ago. This revenue growth was due mainly to increased sales of products and solutions to clients primarily in Wealth, Analytics and Trading, and CTS, partially offset by cancellations. Organic revenue in the Americas increased 4.1% compared to the same period a year ago. Revenue from our Americas operations accounted for 63.1% of our consolidated revenue during the first quarter of fiscal 2020, comparable to the prior year period of 63.2%.</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European revenue increased 3.1% to $100.8 million during the three months ended November 30, 2019, compared to $97.8 million from the same period a year ago. This revenue growth was due mainly to increased sales of products and solutions to clients primarily in Analytics and Trading and CTS, partially offset by cancellations. The European organic revenue growth rate was 3.0% for the three months ended November 30, 2019, compared to the same period a year ago.</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Asia Pacific revenue increased 8.9% to $34.5 million during the three months ended November 30, 2019, compared to $31.7 million from the same period a year ago. This revenue growth was due mainly to increased sales of products and solutions to clients primarily in the Analytics and Trading and CTS workflows, partially offset by cancellations. Asia Pacific organic revenue increased 8.9% for the three months ended November 30, 2019, compared to the same period a year ago.</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Workflow Solutions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revenue growth across our operating segments for the three months ended November 30, 2019 compared to the same period a year ago, was primarily driven by Wealth, CTS and Analytics and Trading. Revenue growth from Wealth was mainly due to higher sales of our workstation product. The growth in CTS was driven mainly by increased sales of core and premium data feeds. Analytics and Trading also experienced growth due to increased sales of portfolio analytics solutions and risk products. Offsetting these positive growth factors were increased cancellations compared to the prior year period, resulting from continued industry-wide cost pressures and firm consolidations.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5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360" w:type="dxa"/>
            <w:vAlign w:val="bottom"/>
            <w:gridSpan w:val="5"/>
          </w:tcPr>
          <w:p>
            <w:pPr>
              <w:jc w:val="right"/>
              <w:ind w:right="1430"/>
              <w:spacing w:after="0"/>
              <w:rPr>
                <w:sz w:val="20"/>
                <w:szCs w:val="20"/>
                <w:color w:val="auto"/>
              </w:rPr>
            </w:pPr>
            <w:r>
              <w:rPr>
                <w:rFonts w:ascii="Arial" w:cs="Arial" w:eastAsia="Arial" w:hAnsi="Arial"/>
                <w:sz w:val="18"/>
                <w:szCs w:val="18"/>
                <w:color w:val="auto"/>
              </w:rPr>
              <w:t>Three Months Ended November 30,</w:t>
            </w:r>
          </w:p>
        </w:tc>
        <w:tc>
          <w:tcPr>
            <w:tcW w:w="20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8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164,957</w:t>
            </w:r>
          </w:p>
        </w:tc>
        <w:tc>
          <w:tcPr>
            <w:tcW w:w="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166,776</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88,515</w:t>
            </w: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84,325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253,472</w:t>
            </w:r>
          </w:p>
        </w:tc>
        <w:tc>
          <w:tcPr>
            <w:tcW w:w="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251,101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162"/>
        </w:trPr>
        <w:tc>
          <w:tcPr>
            <w:tcW w:w="5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113,186</w:t>
            </w:r>
          </w:p>
        </w:tc>
        <w:tc>
          <w:tcPr>
            <w:tcW w:w="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100,539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i w:val="1"/>
                <w:iCs w:val="1"/>
                <w:color w:val="auto"/>
              </w:rPr>
              <w:t>Operating Margin</w:t>
            </w: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30.9</w:t>
            </w:r>
          </w:p>
        </w:tc>
        <w:tc>
          <w:tcPr>
            <w:tcW w:w="840" w:type="dxa"/>
            <w:vAlign w:val="bottom"/>
          </w:tcPr>
          <w:p>
            <w:pPr>
              <w:jc w:val="right"/>
              <w:ind w:right="570"/>
              <w:spacing w:after="0"/>
              <w:rPr>
                <w:sz w:val="20"/>
                <w:szCs w:val="20"/>
                <w:color w:val="auto"/>
              </w:rPr>
            </w:pPr>
            <w:r>
              <w:rPr>
                <w:rFonts w:ascii="Arial" w:cs="Arial" w:eastAsia="Arial" w:hAnsi="Arial"/>
                <w:sz w:val="18"/>
                <w:szCs w:val="18"/>
                <w:i w:val="1"/>
                <w:iCs w:val="1"/>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28.6</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2019 compared to three months ended November 30, 2018</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November 30, 2019, cost of services decreased 1.1% to $165.0 million compared to $166.8 million in the same period a year ago, primarily due to a reduction in compensation costs, partially offset by an increase in computer-related expenses. Cost of services, when expressed as a percentage of revenue, was 45.0% during the first quarter of fiscal 2020, a decrease of 240 basis points compared to the same period a year ago. This decrease was primarily due to year-over-year revenue growth, as well as a decrease in employee compensation and data costs, partially offset by an increase in computer-related expenses and stock-based compensation, when expressed as a percentage of revenue.</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 compensation, including stock-based compensation, when expressed as a percentage of revenue, decreased 210 basis points in the first quarter of fiscal 2020, compared to the same period a year ago. This decrease in employee compensation was primarily driven by a shift in headcount distribution from cost of services to SG&amp;A and from our high to lower cost locations. Although net employee headcount grew by 265 employees, over the past 12 months, with the majority of their compensation included in cost of services, the increase was primarily concentrated in our lower cost, centers of excellence, in Asia Pacific. This decrease was partially offset by an increase in stock-based compensation, when expressed as a percentage of revenue, due to a one-time vesting acceleration.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costs, when expressed as a percentage of revenue, decreased 40 basis points due primarily to revenue growth outpacing the growth in data costs, which remained flat year-over-year. Computer-related expenses, as a percentage of revenue, increased 60 basis points primarily driven by increased costs from cloud-based hosting and licensed software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2019 compared to three months ended November 30,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November 30, 2019, SG&amp;A expenses increased 5.0% to $88.5 million, compared to $84.3 million for the same period a year ago, primarily due to employee compensation and occupancy costs, partially offset by a reduction in bad debt expense. SG&amp;A expenses, expressed as a percentage of revenue, were 24.1% during the first quarter of fiscal 2020, an increase of 20 basis points over the prior year period. When expressed as a percentage of revenue, this increase was primarily driven by an increase in employee compensation and occupancy costs, partially offset by a reduction in bad debt expense and travel expenses.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 compensation, when expressed as a percentage of revenue, increased 50 basis points in the first quarter of fiscal 2020, compared with the same period a year ago. This increase was primarily driven by a shift in headcount distribution from cost of services to SG&amp;A, partially offset by a reduction in employee benefit costs.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Occupancy costs increased 50 basis points over the prior year period, when expressed as a percentage of revenue, primarily related to leasing the new corporate headquarters space in Norwalk, Connecticut while we continued to incur lease expense related to the expiring lease of our prior headquarters. Bad debt expense decreased 70 basis points, as a percentage of revenue. Travel expenses decreased 30 basis points as a percentage of revenue, due to an internal focus on cost discipline measures.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2019 compared to three months ended November 30, 2018</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income increased 12.6% to $113.2 million for the three months ended November 30, 2019 compared to $100.5 million in the prior year period. Operating income increased due to due to revenue growth and a reduction in bad debt expense, partially offset by an increase in computer-related expenses and occupancy costs. Operating margin increased to 30.9% during the first quarter of fiscal 2020 compared to 28.6% in the prior year period. The increase in operating margin on a year-over-year basis was primarily due to revenue growth and reductions in employee compensation including stock-based compensation, bad debt expense, data costs and travel expenses, partially offset by higher computer-related expenses, when expressed as a percentage of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4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Three Months Ended November 30,</w:t>
            </w:r>
          </w:p>
        </w:tc>
        <w:tc>
          <w:tcPr>
            <w:tcW w:w="14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48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8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49,623</w:t>
            </w:r>
          </w:p>
        </w:tc>
        <w:tc>
          <w:tcPr>
            <w:tcW w:w="7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43,841</w:t>
            </w:r>
          </w:p>
        </w:tc>
        <w:tc>
          <w:tcPr>
            <w:tcW w:w="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Europe</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41,218</w:t>
            </w:r>
          </w:p>
        </w:tc>
        <w:tc>
          <w:tcPr>
            <w:tcW w:w="76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39,089</w:t>
            </w:r>
          </w:p>
        </w:tc>
        <w:tc>
          <w:tcPr>
            <w:tcW w:w="5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22,345</w:t>
            </w:r>
          </w:p>
        </w:tc>
        <w:tc>
          <w:tcPr>
            <w:tcW w:w="7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17,609</w:t>
            </w:r>
          </w:p>
        </w:tc>
        <w:tc>
          <w:tcPr>
            <w:tcW w:w="5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113,186</w:t>
            </w:r>
          </w:p>
        </w:tc>
        <w:tc>
          <w:tcPr>
            <w:tcW w:w="7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100,539</w:t>
            </w:r>
          </w:p>
        </w:tc>
        <w:tc>
          <w:tcPr>
            <w:tcW w:w="5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operating segments are aligned with how we manage the business, the demographic markets we serve, and how the chief operating decision maker ("CODM") assesses performance. Our internal financial reporting structure is based on three reportable segments, the Americas,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third-party data costs and corporate headquarters charges are recorded by the Americas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2019 compared to three months ended November 30, 2018</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Americas operating income increased 13.2% to $49.6 million during the three months ended November 30, 2019 compared to $43.8 million in the same period a year ago. The increase in Americas operating income was primarily due to revenue growth of 4.1%, a reduction to compensation expense and bed debt expense, partially offset by computer-related expenses and occupancy costs. Employee compensation decreased primarily due to a net reduction in headcount of 2.4% over the past 12 months, partially offset by annual base salary increases year-over-year. Computer-related expenses increased year-over-year primarily due to increased costs from cloud-based hosting and licensed software arrangements. Occupancy costs increased primarily due to leasing the new corporate headquarters space in Norwalk, Connecticut while we continued to incur lease expense related to the expiring lease of our prior headquarters.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European operating income increased 5.4% to $41.2 million during the three months ended November 30, 2019 compared to $39.1 million in the same period a year ago. The increase in European operating income was primarily due to revenue growth of 3.1%, partially offset by an increase in employee compensation expense. Employee compensation increased primarily due to a net headcount increase of 4.6% over the past 12 months and annual base salary increases year-over-year.</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Asia Pacific operating income increased 26.9% to $22.3 million during the three months ended November 30, 2019, compared to $17.6 million in the same period a year ago. The increase in the Asia Pacific operating income was mainly due to revenue growth of 8.9%, partially offset by an increase in compensation expense. Employee compensation increased as a result of a 4.5% increase in our Asia Pacific workforce in the last 12 months and annual base salary increases year-over-year.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66"/>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Income Taxes, Net Income and Diluted Earnings per Share</w:t>
            </w: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940" w:type="dxa"/>
            <w:vAlign w:val="bottom"/>
            <w:gridSpan w:val="2"/>
          </w:tcPr>
          <w:p>
            <w:pPr>
              <w:jc w:val="right"/>
              <w:ind w:right="210"/>
              <w:spacing w:after="0"/>
              <w:rPr>
                <w:sz w:val="20"/>
                <w:szCs w:val="20"/>
                <w:color w:val="auto"/>
              </w:rPr>
            </w:pPr>
            <w:r>
              <w:rPr>
                <w:rFonts w:ascii="Arial" w:cs="Arial" w:eastAsia="Arial" w:hAnsi="Arial"/>
                <w:sz w:val="18"/>
                <w:szCs w:val="18"/>
                <w:color w:val="auto"/>
                <w:w w:val="91"/>
              </w:rPr>
              <w:t>Three Months Ended November 30,</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4860" w:type="dxa"/>
            <w:vAlign w:val="bottom"/>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40" w:type="dxa"/>
            <w:vAlign w:val="bottom"/>
          </w:tcPr>
          <w:p>
            <w:pPr>
              <w:jc w:val="right"/>
              <w:ind w:right="1410"/>
              <w:spacing w:after="0"/>
              <w:rPr>
                <w:sz w:val="20"/>
                <w:szCs w:val="20"/>
                <w:color w:val="auto"/>
              </w:rPr>
            </w:pPr>
            <w:r>
              <w:rPr>
                <w:rFonts w:ascii="Arial" w:cs="Arial" w:eastAsia="Arial" w:hAnsi="Arial"/>
                <w:sz w:val="18"/>
                <w:szCs w:val="18"/>
                <w:color w:val="auto"/>
              </w:rPr>
              <w:t>2018</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r>
      <w:tr>
        <w:trPr>
          <w:trHeight w:val="27"/>
        </w:trPr>
        <w:tc>
          <w:tcPr>
            <w:tcW w:w="48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30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14,784</w:t>
            </w:r>
          </w:p>
        </w:tc>
        <w:tc>
          <w:tcPr>
            <w:tcW w:w="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11,647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93,957</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690"/>
              <w:spacing w:after="0"/>
              <w:rPr>
                <w:sz w:val="20"/>
                <w:szCs w:val="20"/>
                <w:color w:val="auto"/>
              </w:rPr>
            </w:pPr>
            <w:r>
              <w:rPr>
                <w:rFonts w:ascii="Arial" w:cs="Arial" w:eastAsia="Arial" w:hAnsi="Arial"/>
                <w:sz w:val="18"/>
                <w:szCs w:val="18"/>
                <w:color w:val="auto"/>
              </w:rPr>
              <w:t>84,296</w:t>
            </w:r>
          </w:p>
        </w:tc>
        <w:tc>
          <w:tcPr>
            <w:tcW w:w="148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8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128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2019 compared to three months ended November 30, 2018</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November 30, 2019, the provision for income taxes was $14.8 million, an increase of 26.9% from the same period a year ago. The provision increased due to higher operating income and a reduction in income tax benefits for the three months ended November 30, 2019, compared to the prior year period.</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benefits for the three months ended November 30, 2019 was $5.9 million due to the remeasurement of a foreign net deferred tax position due to changes in the jurisdiction's tax rate, finalizing prior years' tax returns, and windfall tax benefits from stock-based compensation, compared to a $6.4 million benefit in the prior year period due to windfall tax benefits from stock-based compensation and the revision of the one-time transition tax on accumulated earnings and profits of foreign subsidiaries permitted by the TCJA.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and Diluted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November 30, 2019 compared to three months ended November 30, 2018</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increased 11.5% to $94.0 million and diluted earnings per share ("EPS") increased 12.0% to $2.43 for the three months ended November 30, 2019, compared to the same period a year ago. Net income and diluted EPS increased primarily due to revenue growth outpacing the growth of operating expenses on a year-over-year basis, partially offset by an increase in the income tax provision. Diluted EPS also benefited from a 0.2 million share reduction in our diluted weighted average shares outstanding compared to the same period a year ago, mainly due to share repurchases, partially offset by the impact from stock options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4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The table below provides an unaudited reconciliation of revenue to organic revenue.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4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Three Months Ended November 30,</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3"/>
                <w:szCs w:val="23"/>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3"/>
                <w:szCs w:val="23"/>
                <w:color w:val="auto"/>
              </w:rPr>
            </w:pPr>
          </w:p>
        </w:tc>
      </w:tr>
      <w:tr>
        <w:trPr>
          <w:trHeight w:val="27"/>
        </w:trPr>
        <w:tc>
          <w:tcPr>
            <w:tcW w:w="6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366,658</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351,640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18"/>
                <w:szCs w:val="18"/>
                <w:color w:val="auto"/>
                <w:vertAlign w:val="superscript"/>
              </w:rPr>
              <w:t>(1)</w:t>
            </w:r>
          </w:p>
        </w:tc>
        <w:tc>
          <w:tcPr>
            <w:tcW w:w="160" w:type="dxa"/>
            <w:vAlign w:val="bottom"/>
          </w:tcPr>
          <w:p>
            <w:pPr>
              <w:spacing w:after="0"/>
              <w:rPr>
                <w:sz w:val="23"/>
                <w:szCs w:val="23"/>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1,216</w:t>
            </w:r>
          </w:p>
        </w:tc>
        <w:tc>
          <w:tcPr>
            <w:tcW w:w="4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1,350</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impact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460"/>
              <w:spacing w:after="0"/>
              <w:rPr>
                <w:sz w:val="20"/>
                <w:szCs w:val="20"/>
                <w:color w:val="auto"/>
              </w:rPr>
            </w:pPr>
            <w:r>
              <w:rPr>
                <w:rFonts w:ascii="Arial" w:cs="Arial" w:eastAsia="Arial" w:hAnsi="Arial"/>
                <w:sz w:val="18"/>
                <w:szCs w:val="18"/>
                <w:color w:val="auto"/>
              </w:rPr>
              <w:t>Organic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367,901</w:t>
            </w:r>
          </w:p>
        </w:tc>
        <w:tc>
          <w:tcPr>
            <w:tcW w:w="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352,990</w:t>
            </w: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ind w:left="180"/>
        <w:spacing w:after="0"/>
        <w:tabs>
          <w:tab w:leader="none" w:pos="64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8"/>
          <w:szCs w:val="18"/>
          <w:i w:val="1"/>
          <w:iCs w:val="1"/>
          <w:color w:val="auto"/>
        </w:rPr>
        <w:t>Deferred revenue fair value adjustments from purchase accounting.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2640" w:type="dxa"/>
            <w:vAlign w:val="bottom"/>
            <w:gridSpan w:val="3"/>
          </w:tcPr>
          <w:p>
            <w:pPr>
              <w:ind w:left="20"/>
              <w:spacing w:after="0"/>
              <w:rPr>
                <w:sz w:val="20"/>
                <w:szCs w:val="20"/>
                <w:color w:val="auto"/>
              </w:rPr>
            </w:pPr>
            <w:r>
              <w:rPr>
                <w:rFonts w:ascii="Arial" w:cs="Arial" w:eastAsia="Arial" w:hAnsi="Arial"/>
                <w:sz w:val="18"/>
                <w:szCs w:val="18"/>
                <w:color w:val="auto"/>
                <w:w w:val="90"/>
              </w:rPr>
              <w:t>Three Months Ended November 30,</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97"/>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4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2019</w:t>
            </w:r>
            <w:r>
              <w:rPr>
                <w:rFonts w:ascii="Arial" w:cs="Arial" w:eastAsia="Arial" w:hAnsi="Arial"/>
                <w:sz w:val="23"/>
                <w:szCs w:val="23"/>
                <w:color w:val="auto"/>
                <w:vertAlign w:val="superscript"/>
              </w:rPr>
              <w:t>(1)</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r>
              <w:rPr>
                <w:rFonts w:ascii="Arial" w:cs="Arial" w:eastAsia="Arial" w:hAnsi="Arial"/>
                <w:sz w:val="23"/>
                <w:szCs w:val="23"/>
                <w:color w:val="auto"/>
                <w:vertAlign w:val="superscript"/>
              </w:rPr>
              <w:t>(2)</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Change</w:t>
            </w: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113,186</w:t>
            </w:r>
          </w:p>
        </w:tc>
        <w:tc>
          <w:tcPr>
            <w:tcW w:w="11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100,539</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5,152</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5,893</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5,168</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3,484</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operating income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124,722</w:t>
            </w:r>
          </w:p>
        </w:tc>
        <w:tc>
          <w:tcPr>
            <w:tcW w:w="11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111,266</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200" w:type="dxa"/>
            <w:vAlign w:val="bottom"/>
          </w:tcPr>
          <w:p>
            <w:pPr>
              <w:ind w:left="340"/>
              <w:spacing w:after="0"/>
              <w:rPr>
                <w:sz w:val="20"/>
                <w:szCs w:val="20"/>
                <w:color w:val="auto"/>
              </w:rPr>
            </w:pPr>
            <w:r>
              <w:rPr>
                <w:rFonts w:ascii="Arial" w:cs="Arial" w:eastAsia="Arial" w:hAnsi="Arial"/>
                <w:sz w:val="18"/>
                <w:szCs w:val="18"/>
                <w:color w:val="auto"/>
              </w:rPr>
              <w:t>Adjusted operating margin</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1120" w:type="dxa"/>
            <w:vAlign w:val="bottom"/>
          </w:tcPr>
          <w:p>
            <w:pPr>
              <w:jc w:val="right"/>
              <w:ind w:right="87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93,957</w:t>
            </w:r>
          </w:p>
        </w:tc>
        <w:tc>
          <w:tcPr>
            <w:tcW w:w="11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84,296</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r>
              <w:rPr>
                <w:rFonts w:ascii="Arial" w:cs="Arial" w:eastAsia="Arial" w:hAnsi="Arial"/>
                <w:sz w:val="18"/>
                <w:szCs w:val="18"/>
                <w:color w:val="auto"/>
                <w:vertAlign w:val="superscript"/>
              </w:rPr>
              <w:t>(3)</w:t>
            </w: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18"/>
                <w:szCs w:val="18"/>
                <w:color w:val="auto"/>
                <w:vertAlign w:val="superscript"/>
              </w:rPr>
              <w:t>(4)</w:t>
            </w: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w:t>
            </w:r>
          </w:p>
        </w:tc>
        <w:tc>
          <w:tcPr>
            <w:tcW w:w="1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r>
              <w:rPr>
                <w:rFonts w:ascii="Arial" w:cs="Arial" w:eastAsia="Arial" w:hAnsi="Arial"/>
                <w:sz w:val="18"/>
                <w:szCs w:val="18"/>
                <w:color w:val="auto"/>
                <w:vertAlign w:val="superscript"/>
              </w:rPr>
              <w:t>(5)</w:t>
            </w: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Income tax items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(3,481)</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(1,709)</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99,655</w:t>
            </w:r>
          </w:p>
        </w:tc>
        <w:tc>
          <w:tcPr>
            <w:tcW w:w="11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91,309</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6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1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items</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6200" w:type="dxa"/>
            <w:vAlign w:val="bottom"/>
          </w:tcPr>
          <w:p>
            <w:pPr>
              <w:ind w:left="340"/>
              <w:spacing w:after="0"/>
              <w:rPr>
                <w:sz w:val="20"/>
                <w:szCs w:val="20"/>
                <w:color w:val="auto"/>
              </w:rPr>
            </w:pPr>
            <w:r>
              <w:rPr>
                <w:rFonts w:ascii="Arial" w:cs="Arial" w:eastAsia="Arial" w:hAnsi="Arial"/>
                <w:sz w:val="18"/>
                <w:szCs w:val="18"/>
                <w:color w:val="auto"/>
              </w:rPr>
              <w:t>Adjusted diluted earnings per common share</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1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top w:val="single" w:sz="8" w:color="auto"/>
            </w:tcBorders>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(Diluted)</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38,587</w:t>
            </w:r>
          </w:p>
        </w:tc>
        <w:tc>
          <w:tcPr>
            <w:tcW w:w="1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6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left="660" w:hanging="328"/>
        <w:spacing w:after="0" w:line="264"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 net income and diluted EPS in the first quarter of fiscal 2020 were adjusted to exclude (i) intangible asset amortization (ii) deferred revenue fair value adjustments from purchase accounting, and (iii) other items primarily related to severance, stock-based compensation acceleration, professional fees related to infrastructure upgrade activities, and facilities costs.</w:t>
      </w:r>
    </w:p>
    <w:p>
      <w:pPr>
        <w:spacing w:after="0" w:line="140" w:lineRule="exact"/>
        <w:rPr>
          <w:rFonts w:ascii="Arial" w:cs="Arial" w:eastAsia="Arial" w:hAnsi="Arial"/>
          <w:sz w:val="18"/>
          <w:szCs w:val="18"/>
          <w:i w:val="1"/>
          <w:iCs w:val="1"/>
          <w:color w:val="auto"/>
        </w:rPr>
      </w:pPr>
    </w:p>
    <w:p>
      <w:pPr>
        <w:jc w:val="both"/>
        <w:ind w:left="660" w:hanging="328"/>
        <w:spacing w:after="0" w:line="264"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 net income and diluted EPS in the first quarter of fiscal 2019 were adjusted to exclude (i) intangible asset amortization (ii) deferred revenue fair value adjustments from purchase accounting, and (iii) other items primarily related to severance, stock-based compensation acceleration, and professional fees.</w:t>
      </w:r>
    </w:p>
    <w:p>
      <w:pPr>
        <w:spacing w:after="0" w:line="140" w:lineRule="exact"/>
        <w:rPr>
          <w:rFonts w:ascii="Arial" w:cs="Arial" w:eastAsia="Arial" w:hAnsi="Arial"/>
          <w:sz w:val="18"/>
          <w:szCs w:val="18"/>
          <w:i w:val="1"/>
          <w:iCs w:val="1"/>
          <w:color w:val="auto"/>
        </w:rPr>
      </w:pPr>
    </w:p>
    <w:p>
      <w:pPr>
        <w:ind w:left="660" w:right="20" w:hanging="328"/>
        <w:spacing w:after="0" w:line="277"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intangible asset amortization was recorded net of a tax impact of $1.0 million in the first quarter of fiscal 2020 compared to $1.1 million for the first quarter of fiscal 2019.</w:t>
      </w:r>
    </w:p>
    <w:p>
      <w:pPr>
        <w:spacing w:after="0" w:line="143" w:lineRule="exact"/>
        <w:rPr>
          <w:rFonts w:ascii="Arial" w:cs="Arial" w:eastAsia="Arial" w:hAnsi="Arial"/>
          <w:sz w:val="18"/>
          <w:szCs w:val="18"/>
          <w:i w:val="1"/>
          <w:iCs w:val="1"/>
          <w:color w:val="auto"/>
        </w:rPr>
      </w:pPr>
    </w:p>
    <w:p>
      <w:pPr>
        <w:ind w:left="660" w:hanging="328"/>
        <w:spacing w:after="0" w:line="277"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deferred revenue fair value adjustment was recorded net of a tax impact of $0.2 million in the first quarter of fiscal 2020 compared to $0.3 million for the first quarter of fiscal 2019.</w:t>
      </w:r>
    </w:p>
    <w:p>
      <w:pPr>
        <w:spacing w:after="0" w:line="129" w:lineRule="exact"/>
        <w:rPr>
          <w:rFonts w:ascii="Arial" w:cs="Arial" w:eastAsia="Arial" w:hAnsi="Arial"/>
          <w:sz w:val="18"/>
          <w:szCs w:val="18"/>
          <w:i w:val="1"/>
          <w:iCs w:val="1"/>
          <w:color w:val="auto"/>
        </w:rPr>
      </w:pPr>
    </w:p>
    <w:p>
      <w:pPr>
        <w:ind w:left="660" w:hanging="328"/>
        <w:spacing w:after="0" w:line="277"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items were recorded net of a tax impact of $1.2 million for the first quarter of fiscal 2020 compared to $0.7 million for the first quarter of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Liquidity</w:t>
            </w:r>
          </w:p>
        </w:tc>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color w:val="auto"/>
                <w:w w:val="92"/>
              </w:rPr>
              <w:t>Three Months Ended November 30,</w:t>
            </w:r>
          </w:p>
        </w:tc>
      </w:tr>
      <w:tr>
        <w:trPr>
          <w:trHeight w:val="27"/>
        </w:trPr>
        <w:tc>
          <w:tcPr>
            <w:tcW w:w="86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6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r>
      <w:tr>
        <w:trPr>
          <w:trHeight w:val="27"/>
        </w:trPr>
        <w:tc>
          <w:tcPr>
            <w:tcW w:w="86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95,791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46,320</w:t>
            </w:r>
          </w:p>
        </w:tc>
      </w:tr>
      <w:tr>
        <w:trPr>
          <w:trHeight w:val="270"/>
        </w:trPr>
        <w:tc>
          <w:tcPr>
            <w:tcW w:w="8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8"/>
                <w:szCs w:val="18"/>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(26,780)</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(9,526)</w:t>
            </w:r>
          </w:p>
        </w:tc>
      </w:tr>
      <w:tr>
        <w:trPr>
          <w:trHeight w:val="264"/>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18"/>
                <w:szCs w:val="18"/>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69,011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36,794</w:t>
            </w:r>
          </w:p>
        </w:tc>
      </w:tr>
      <w:tr>
        <w:trPr>
          <w:trHeight w:val="27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r>
              <w:rPr>
                <w:rFonts w:ascii="Arial" w:cs="Arial" w:eastAsia="Arial" w:hAnsi="Arial"/>
                <w:sz w:val="18"/>
                <w:szCs w:val="18"/>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(27,143)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(7,309)</w:t>
            </w:r>
          </w:p>
        </w:tc>
      </w:tr>
      <w:tr>
        <w:trPr>
          <w:trHeight w:val="25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(94,955)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(75,005)</w:t>
            </w:r>
          </w:p>
        </w:tc>
      </w:tr>
      <w:tr>
        <w:trPr>
          <w:trHeight w:val="243"/>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336,217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170,378</w:t>
            </w:r>
          </w:p>
        </w:tc>
      </w:tr>
    </w:tbl>
    <w:p>
      <w:pPr>
        <w:spacing w:after="0" w:line="18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net cash used in investing activities during each fiscal period reported.</w:t>
      </w:r>
    </w:p>
    <w:p>
      <w:pPr>
        <w:spacing w:after="0" w:line="184" w:lineRule="exact"/>
        <w:rPr>
          <w:rFonts w:ascii="Arial" w:cs="Arial" w:eastAsia="Arial" w:hAnsi="Arial"/>
          <w:sz w:val="18"/>
          <w:szCs w:val="18"/>
          <w:i w:val="1"/>
          <w:iCs w:val="1"/>
          <w:color w:val="auto"/>
        </w:rPr>
      </w:pPr>
    </w:p>
    <w:p>
      <w:pPr>
        <w:ind w:left="660" w:right="20" w:hanging="328"/>
        <w:spacing w:after="0" w:line="277" w:lineRule="auto"/>
        <w:tabs>
          <w:tab w:leader="none" w:pos="654"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Free cash flow is defined as cash provided by operating activities, which includes the cash cost for taxes and changes in working capital, less capital expenditures.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and cash equivalents aggregated to $336.2 million as of November 30, 2019, compared to $359.8 million as of August 31, 2019. Our cash and cash equivalents decreased $23.6 million during the first three months of fiscal 2020, primarily due to $84.4 million in share repurchases, $27.3 million in dividend payments, $26.8 million of capital expenditures, and $0.4 million net increase in investments (net of investment proceeds). These cash outflows were partially offset by cash inflows of $95.8 million of net cash provided by operating activities, $16.7 million in proceeds from the exercise of employee stock options and $2.7 million increase from the effects of foreign currency fluctuation on cash balances.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$27.1 million in the first three months of fiscal 2020, representing a $19.8 million increase from the same period a year ago. This increase was due primarily to $17.3 million of higher capital expenditures and a $2.6 million reduction in net proceeds from investments (net of purchases).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by financing activities was $95.0 million in the first three months of fiscal 2020, representing a $20.0 million increase in cash used by financing activities from the same period a year ago. The increase in cash used in financing activities was primarily due to a $19.7 million increase in share purchases and a $3.0 million increase in dividend payments, partially offset by $2.8 million increase in proceeds from employee stock plans.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that for at least the next 12 months, our operating expenses will continue to constitute a significant use of cash. As of November 30, 2019, our total Cash and cash equivalents worldwide was $336.2 million with $574.2 million in outstanding borrowings (net of $0.8 million of unamortized debt issuance costs). The total available cash and cash equivalents held in bank accounts located within the Americas is $114.2 million, Europe includes $171.2 million (predominantly within the UK, France, and Germany) and the remaining $50.8 million is held in the Asia Pacific segment. We believe our liquidity (including cash on hand, cash from operating activities and other cash flows that we expect to generate)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Free cash flow generated in the three months ended November 30, 2019 was $69.0 million, an increase of 87.6% compared to a year ago. Free cash flow is the result of $95.8 million of net cash provided by operating activities, partially offset by $26.8 million in capital expenditures. The increase in free cash flow was primarily driven by a decrease in net working capital for the three months ended November 30, 2019, compared to the prior year period, primarily due to improved cash collections with a decrease in our days sales outstanding ("DSO") to 37 days compared to 42 days in the same period a year ago and timing of payments, as well as an increase in net income. This increase was partially offset by higher capital expenditures for the build-out of new office space for some of our locations and increased investments in technology for the three months ended November 30, 2019,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expenditures in the first quarter of fiscal 2020 were $26.8 million, compared to $9.5 million a year ago. Capital expenditures of $8.5 million, or 32%, were primarily related to the purchase of computers and peripherals. The remainder of our capital expenditures was primarily for the build-out of the new corporate headquarters in Norwalk, Connecticut.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Credit Agreement</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29, 2019, the Company entered into the 2019 Credit Agreement (the "2019 Credit Agreement") between FactSet, as the borrower, and PNC Bank, National Association ("PNC"), as the administrative agent and lender.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FactSet borrowed $575.0 million of the available $750.0 million provided by the 2019 Revolving Credit Facility, resulting in $175.0 million available to be withdrawn. FactSet is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August 31. 2019. The principal balance is payable in full on the maturity date.</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of the Company's long-term debt was $575.0 million as of November 30, 2019, which the Company believes approximates the carrying amount as the terms and interest rate approximate market rates given its floating interest rate basis. Borrowings under the loan bear interest on the outstanding principal amount at a rate equal to the daily LIBOR rate plus a spread using a debt leverage pricing grid, currently at 0.875%. For the three months ended November 30, 2019 and 2018, the Company recorded interest expense of $4.2 million and $4.7 million on its outstanding debt amounts, respectively. For the three months ended November 30, 2019 and 2018. The weighted average interest rate on amounts outstanding under our credit facilities was 2.59% and 3.35% as of November 30, 2019 and August 31, 2019, respectively. Interest on the loan outstanding is payable quarterly, in arrears, and on the maturity date.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maintains a consolidated net leverage ratio, as measured by total net funded debt/EBITDA below a specified level as of the end of each fiscal quarter. The Company was in compliance with all the covenants and requirements within the 2019 Credit Agreement as of November 30,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$2.9 million of standby letters of credit have been issued in connection with our leased office spaces as of November 30, 2019. These standby letters of credit utilize the same covenants included in the 2019 Credit Agreement, refer to Note 14 Debt for more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wholly-owned subsidiaries within the Europe and Asia Pacific segments operate under a functional currency different from the U.S. dollar. The financial statements of these foreign subsidiaries are translated into U.S. dollars using period-end rates of exchange for assets and liabilities and average exchange rates for revenue and expenses. Translation gains and losses that arise from translating assets, liabilities, revenue and expenses of foreign operations are recorded in accumulated other comprehensive income (loss) as a component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currency exchange exposure is related to our operating expense base in countries outside the Americas, where approximately 76% of our employees were located as of November 30, 2019. During the three months ended November 30, 2019 and 2018, foreign currency movements increased operating income by $1.0 million and $1.7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2019, we maintained the following foreign currency forward contracts to hedge its exposures:</w:t>
      </w:r>
    </w:p>
    <w:p>
      <w:pPr>
        <w:spacing w:after="0" w:line="185" w:lineRule="exact"/>
        <w:rPr>
          <w:sz w:val="20"/>
          <w:szCs w:val="20"/>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50% of its Euro exposure through the third quarter of fiscal 2020, and 25%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during the fourth quarter of fiscal 2020</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its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 and 25% of its exposure through the fourth quarter of fiscal 2020</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50% of its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25% of its exposure through the fourth quarter of fiscal 2020</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2019, the gross notional value of foreign currency forward contracts to purchase Philippine Pesos and Indian Rupees with U.S. dollars was ₱1.0 billion and Rs906.4 billion, respectively. The gross notional value of foreign currency forward contracts to purchase U.S. dollars with Euros and British Pound Sterling was €21.7 million and £12.8 million, respectively.</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loss on derivatives of $0.7 million was recorded into operating income for the three months ended November 30, 2019, compared to a loss on derivatives of $0.4 million in the same period a year ago.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November 30, 2019 and August 31, 2019,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Repurchases will be made from time to time in the open market and privately negotiated transactions, subject to market conditions. In the first quarter of fiscal 2020, we repurchased 343,000 shares for $84.4 million under our existing share repurchase program compared to 275,000 shares for $60.4 million in the same period a year ago. For the three months ended November 30, 2019, we have returned $111.7 million to stockholders in the form of share repurchases and dividends. Over the last 12 months, we have returned $343.0 million to stockholders in the form of share repurchases and dividends. As of November 30, 2019, $154.2 million remains available for future share repurchases under the existing share repurchase program.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2019, we had total purchase commitments of $69.9 million. There were no material changes in our purchase commitments during the first three months of fiscal 2020.</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disclosed earlier in the Capital Resources section of this MD&amp;A, FactSet entered into the 2019 Credit Agreement on March 29, 2019 and borrowed $575.0 million. The loan balance of $575.0 million remains outstanding as of November 30, 2019. Refer to the Capital Resources section of the MD&amp;A for a discussion on our Long-term debt borrowings.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significant changes to our contractual obligations during the first three months of fiscal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November 15, 2019, our Board of Directors approved a regular quarterly dividend of $0.72 per share. The cash dividend of $27.1 million was paid on December 19, 2019, to common stockholders of record at the close of business on November 29, 2019. Future cash dividends will depend on our earnings, capital requirements, financial condition and other factors considered relevant by us and is subject to final determination by our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describe our significant accounting policies in Note 3, Summary of Significant Accounting Policies, of the notes to our consolidated financial statements included in Item 8 of our Annual Report on Form 10-K for the fiscal year ended August 31, 2019. The accounting policies used in preparing our consolidated financial statements for the first three months of fiscal 2020 are applied consistently with those described in our Annual Report on Form 10-K for the fiscal year ended August 31, 2019, with the exception of the accounting guidance adopted in the first quarter of fiscal 2020 related to leases accounting. Please see Note 15, Leases, of this report for further details on the adoption of the new leases standard.</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discuss our critical accounting estimates in Management’s Discussion and Analysis of Financial Condition and Results of Operations in our Annual Report on Form 10-K for the fiscal year ended August 31, 2019. There were no significant changes in our accounting policies or critical accounting estimates during the first three months of fiscal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3, Recent Accounting Pronouncements, in the notes to the consolidated financial statements for a full description of recent accounting pronouncements, including the expected dates of adoption, which we include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Shift from Active to Passive Investment Management</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Approximately 83.9%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16.1% of our ASV. A significant portion of this revenue relates to services deployed by large, bulge-bracket banks. Credit continues to impact many of the large banking clients due to the amount of leverage deployed in past operations. Our clients could also encounter similar issues.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 may decline if banks, including those involved in merger activity, significantly reduce headcount in the areas of corporate M&amp;A, capital markets and equity research to compensate for the challenges faced by other departments.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23, 2016, voters in the United Kingdom approved an advisory referendum to withdraw from the European Union ("Brexit"). On March 29, 2017, the United Kingdom invoked Article 50 of the Lisbon Treaty, formally starting negotiations with the European Union. On October 17, 2019, a new Brexit deal was agreed between the European Union and the UK Government (the “Withdrawal Agreement Bill”). On October 22, 2019 the UK Parliament approved the Withdrawal Agreement Bill but rejected the timing of its implementation. On December 20, 2019, members of Parliament voted in favor of the Withdrawal Agreement Bill. Provided the European Parliament also approves the Withdrawal Agreement Bill, the UK will formally leave the European Union on January 31, 2020. Following such departure, the UK will enter a transition period until December 31, 2020. During this transition period, the UK will still follow all the EU's rules and regulations, will remain in the single market and the customs union, and will permit the free movement of people. A no-deal Brexit could still result, as the Withdrawal Agreement Bill prohibits any extension to the transition period beyond the end of 2020. The political and economic instability created by the Brexit vote has caused, and may continue to cause, significant volatility in global financial markets. At this time, we cannot predict the impact that Brexit will have on our business as it will depend, in part, on the longer-term outcome of tariff, trade, regulatory and other negotiations. Although it is unknown what the result of those negotiations will be, it is possible that new terms may adversely affect our operations and financial results. While we evaluate our own risks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80"/>
        <w:spacing w:after="0" w:line="360" w:lineRule="auto"/>
        <w:rPr>
          <w:sz w:val="20"/>
          <w:szCs w:val="20"/>
          <w:color w:val="auto"/>
        </w:rPr>
      </w:pPr>
      <w:r>
        <w:rPr>
          <w:rFonts w:ascii="Arial" w:cs="Arial" w:eastAsia="Arial" w:hAnsi="Arial"/>
          <w:sz w:val="18"/>
          <w:szCs w:val="18"/>
          <w:color w:val="auto"/>
        </w:rPr>
        <w:t xml:space="preserve">uncertainty related to Brexit, we will continue to partner with our clients to help them navigate the fluctuating international markets. </w:t>
      </w:r>
      <w:r>
        <w:rPr>
          <w:rFonts w:ascii="Arial" w:cs="Arial" w:eastAsia="Arial" w:hAnsi="Arial"/>
          <w:sz w:val="18"/>
          <w:szCs w:val="18"/>
          <w:i w:val="1"/>
          <w:iCs w:val="1"/>
          <w:color w:val="auto"/>
        </w:rPr>
        <w:t>Markets in Financial Instruments Directive (“MiFID”)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MiFID II built upon many of the initiatives introduced through MiFID and is intended to help improve the functioning of the European Union single market by achieving a greater consistency of regulatory standards. MiFID originally became effective in 2007 and was enhanced through adoption of MiFID II, which became effective in January 2018. We continue to monitor the impact in the European Union of MiFID II on the investment process and trade lifecycle, as well as any impact of MiFID II on non-European Union countries. We also continue to review the application of key MiFID II requirements in the event of a no-deal Brexit in light of a recent publication by the European Securities and Markets Authority. We plan to work with our clients to navigate the MiFID II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current and historical information, this Quarterly Report on Form 10-Q, including Management’s Discussion and Analysis of Financial Condition and Results of Operations, contains forward-looking statements based on management’s current expectations, estimates, forecasts and projections about industries in which we operate and the beliefs and assumptions of management. All statements that address expectations, guidance, outlook or projections about the future, including statements about our strategy for growth, product development, revenue, future financial results, anticipated growth, market position, subscriptions, expected expenditures, trends in our business and financial results, are forward-looking statements. Forward-looking statements may be identified by words like "expects," "believes", "anticipates," "plans," "intends," "estimates", "projects," "should," "indicates," "continues," "may" and similar expressions. These statements are not guarantees of future performance and involve a number of risks, uncertainties and assumptions. Many factors, including those discussed more fully elsewhere in this Quarterly Report on Form 10-Q or in any of our other filings with the Securities and Exchange Commission, could cause results to differ materially from those stated. These factors include, but are not limited to: the ability to integrate newly acquired companies, clients and businesses; strains on resources as a result of growth, the volatility and stability of global securities markets, including declines in equity or fixed income returns impacting the buying power of investment management clients; the ability to hire and retain qualified personnel; the maintenance of our leading technological position and reputation; failure to maintain or improve our competitive position in the marketplace; fraudulent, misappropriation or unauthorized data access, including cyber-security and privacy breaches; failures or disruptions of telecommunications, data centers, network systems, facilities, or the Internet; uncertainty, consolidation and business failures in the global investment banking industry; the continued shift from active to passive investing, the negotiation of contract terms with vendors, data suppliers and landlords; the retention of clients and the attraction of new ones; the absence of U.S. or foreign governmental regulation restricting international business; the unfavorable resolution of tax assessments and legal proceedings; and legislative and regulatory changes in the environments in which we and our clients operate. Forward-looking statements speak only as of the date they are made, and we assume no duty to and do not undertake to update forward-looking statements. Actual results could differ materially from those anticipated in forward-looking statements and future results could differ materially from historical performance.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in this MD&amp;A above and those listed in Part 1 Item 1A, Risk Factors, of our Annual Report on Form 10-K for the fiscal year ended August 31, 2019. We do not intend, and undertake no obligation, to update any of our forward-looking statements after the date of this Quarterly Report to reflect actual results or future events or circumstances.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forward-looking statements reflect our expectations as of December 19, 2019. Given the number of risk factors, uncertainties and assumptions discussed in Part 1 Item 1A, Risk Factors, of our Annual Report on Form 10-K for the fiscal year ended August 31, 2019, actual results may differ materially. We do not intend to update our forward-looking statements until our next quarterly results announcement, other than in publicly available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Expectations: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Organic ASV plus professional services is expected to increase in the range of $65 million and $85 million over fiscal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GAAP revenue is expected to be in the range of $1.49 billion and $1.50 billion.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GAAP operating margin is expected to be in the range of 28.5% and 29.5%.</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Adjusted operating margin is expected to be in the range of 31.5% and 32.5%.</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FactSet’s annual effective tax rate is expected to be in the range of 17.0% and 17.5%.</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GAAP diluted EPS is expected to be in the range of $8.70 and $9.00. Adjusted diluted EPS is expected to be in the range of $9.85 and $10.15.</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GAAP operating margin and GAAP diluted EPS guidance do not include certain effects of any non-recurring benefits or charges that may arise in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680"/>
        <w:spacing w:after="0" w:line="454" w:lineRule="auto"/>
        <w:rPr>
          <w:sz w:val="20"/>
          <w:szCs w:val="20"/>
          <w:color w:val="auto"/>
        </w:rPr>
      </w:pPr>
      <w:r>
        <w:rPr>
          <w:rFonts w:ascii="Arial" w:cs="Arial" w:eastAsia="Arial" w:hAnsi="Arial"/>
          <w:sz w:val="18"/>
          <w:szCs w:val="18"/>
          <w:color w:val="auto"/>
        </w:rPr>
        <w:t xml:space="preserve">In the normal course of business, we are exposed to foreign currency exchange risk that could impact our financial position and results of operations. </w:t>
      </w:r>
      <w:r>
        <w:rPr>
          <w:rFonts w:ascii="Arial" w:cs="Arial" w:eastAsia="Arial" w:hAnsi="Arial"/>
          <w:sz w:val="18"/>
          <w:szCs w:val="18"/>
          <w:b w:val="1"/>
          <w:bCs w:val="1"/>
          <w:color w:val="auto"/>
        </w:rPr>
        <w:t>Foreign Currency Exchange Risk</w:t>
      </w:r>
    </w:p>
    <w:p>
      <w:pPr>
        <w:jc w:val="both"/>
        <w:spacing w:after="0" w:line="288" w:lineRule="auto"/>
        <w:rPr>
          <w:sz w:val="20"/>
          <w:szCs w:val="20"/>
          <w:color w:val="auto"/>
        </w:rPr>
      </w:pPr>
      <w:r>
        <w:rPr>
          <w:rFonts w:ascii="Arial" w:cs="Arial" w:eastAsia="Arial" w:hAnsi="Arial"/>
          <w:sz w:val="16"/>
          <w:szCs w:val="16"/>
          <w:color w:val="auto"/>
        </w:rPr>
        <w:t>We conduct business outside the U.S. in several currencies including British Pound Sterling, Euro, Indian Rupee, and Philippine Peso. The financial statements of these foreign subsidiaries are translated into U.S. dollars using period-end rates of exchange for assets and liabilities and average rates for the period for revenue and expenses.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Hedges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2019, we maintained the following foreign currency forward contracts to hedge our exposures:</w:t>
      </w:r>
    </w:p>
    <w:p>
      <w:pPr>
        <w:spacing w:after="0" w:line="185" w:lineRule="exact"/>
        <w:rPr>
          <w:sz w:val="20"/>
          <w:szCs w:val="20"/>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Euro </w:t>
      </w:r>
      <w:r>
        <w:rPr>
          <w:rFonts w:ascii="Arial" w:cs="Arial" w:eastAsia="Arial" w:hAnsi="Arial"/>
          <w:sz w:val="18"/>
          <w:szCs w:val="18"/>
          <w:color w:val="auto"/>
        </w:rPr>
        <w:t>– foreign currency forward contracts to hedge approximately 50% of its Euro exposure through the third quarter of fiscal 2020, and 25%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during the fourth quarter of fiscal 2020</w:t>
      </w:r>
    </w:p>
    <w:p>
      <w:pPr>
        <w:spacing w:after="0" w:line="143"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British Pound Sterling </w:t>
      </w:r>
      <w:r>
        <w:rPr>
          <w:rFonts w:ascii="Arial" w:cs="Arial" w:eastAsia="Arial" w:hAnsi="Arial"/>
          <w:sz w:val="18"/>
          <w:szCs w:val="18"/>
          <w:color w:val="auto"/>
        </w:rPr>
        <w:t>– foreign currency forward contracts to hedge approximately 50% of its British Pound Sterling exposure through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2020 and 25% of its exposure through the fourth quarter of fiscal 2020</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50% of its Indian Rupee exposure through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25% of its exposure through the fourth quarter of fiscal 2020</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30, 2019, the gross notional value of foreign currency forward contracts to purchase Philippine Pesos and Indian Rupees with U.S. dollars was ₱1.0 billion and Rs906.4 billion, respectively. The gross notional value of foreign currency forward contracts to purchase U.S. dollars with Euros and British Pound Sterling was €21.7 million and £12.8 million, respectively.</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loss on derivatives of $0.7 million was recorded into operating income for the three months ended November 30, 2019, compared to a loss on derivatives of $0.4 million in the same period a year ago. The losses and gains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8"/>
          <w:szCs w:val="18"/>
          <w:i w:val="1"/>
          <w:iCs w:val="1"/>
          <w:color w:val="auto"/>
        </w:rPr>
        <w:t>.</w:t>
      </w:r>
      <w:r>
        <w:rPr>
          <w:rFonts w:ascii="Arial" w:cs="Arial" w:eastAsia="Arial" w:hAnsi="Arial"/>
          <w:sz w:val="18"/>
          <w:szCs w:val="18"/>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sensitivity analysis was performed based on the estimated fair value of all foreign currency forward contracts outstanding at November 30, 2019. If the U.S. dollar had been 10% weaker, the fair value of outstanding foreign currency forward contracts would have increased by $7.2 million, which would have had an immaterial impact on our consolidated balance sheet. Such a change in fair value of our financial instruments would be substantially offset by changes in our expense base. If we had no hedges in place as of November 30, 2019, a hypothetical 10% weaker U.S. dollar against all foreign currencies from the quoted foreign currency exchange rates at November 30, 2019, with operating results held constant in local currencies, would result in a decrease in operating income by $28.6 million over the next 12 months. A hypothetical 10% weaker U.S. dollar against all foreign currencies at November 30, 2019 would have increased the fair value of total assets by $76.4 million and equity by $60.1 million.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Volatility in the British Pound Sterling exchange rate is expected to continue in the short term as the UK negotiates its exit from the European Union. In the longer term, any impact from Brexit will depend on, in part, on the outcome of tariff, regulatory and other negotiations.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market value of our Cash and cash equivalents and Investments at November 30, 2019 was $362.3 million. Our cash and cash equivalents consist of demand deposits and money market funds with original maturities of three months or less and are reported at fair value. Our investments consist of both mutual funds and certificates of deposit as both are part of our investment strategy. These mutual funds and certificates of deposit are included as Investments (short-term) on our consolidated balance sheet as the mutual funds can be liquidated at our discretion and the certificates of deposit have original maturities greater than three months, but less than one year. The mutual funds and certificates of deposit are held for investment and are not considered debt securities. It is anticipated that the fair market value of our Cash and cash equivalents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As we have a restrictive investment policy, our financial exposure to fluctuations in interest rates is expected to remain low. We do not believe that the value or liquidity of our cash and cash equivalents and investments have been significantly impacted by current market events.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November 30, 2019, the fair value of our long-term debt was $575.0 million, which approximated its carrying amount. The application of a floating interest rate equal to the daily LIBOR rate plus a spread using a debt leverage pricing grid, approximates the current market rate for similar instruments.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a spread using a debt leverage pricing grid currently at 0.875%. During the three months ended November 30, 2019 and 2018, we recorded interest expense of $4.2 million and $4.7 million, respectively, on our outstanding debt amounts. Assuming all terms of our outstanding long-term debt remained the same, a hypothetical 25 basis point change (up or down) in the one-month LIBOR rate would result in a $1.4 million change to our annual interest expense.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Risk</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clients rely on us for the delivery of time-sensitive, up-to-date data and applications. Our business is dependent on our ability to process substantial volumes of data and transactions rapidly and efficiently on our computer-based networks and systems. Our computer operations, as well as our other business centers, and those of our suppliers and clients are vulnerable to interruption by fire, natural disaster, power loss, telecommunications failures, terrorist attacks, acts of war, civil unrest, Internet failures, computer viruses and security breaches, and other events beyond our reasonable control.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supervision and with the participation of the Company’s management, including the principal executive officer and principal financial officer, the Company has evaluated the effectiveness of its disclosure controls and procedures pursuant to Rules 13a-15(e) and 15d-15(e) under the Securities Exchange Act of 1934, as of the end of the period covered by this report. Based on that evaluation, the principal executive officer and principal financial officer have concluded that the Company’s disclosure controls and procedures as defined in Rules 13a-15(e) and 15d-15(e) under the Securities Exchange Act of 1934, as amended,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 and is accumulated and communicated to the Company’s management, including its principal executive officer and principal financial officer, as appropriate to allow timely decisions regarding required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first quarter of fiscal 2020, the Company implemented a new general ledger and financial reporting system as part of a multi-year global project to design, configure and install an integrated suite of enterprise software. The implementation has involved changes to certain processes and related internal controls over financial reporting. The Company has reviewed the system and the controls affected and made appropriate changes as necessary.</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other changes in the Company’s internal control over financial reporting (as such term is defined in Rules 13a-15(f) and 15d-15(f) under the Exchange Act) during the Company’s first quarter of fiscal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100" w:right="240"/>
        <w:spacing w:after="0" w:line="277" w:lineRule="auto"/>
        <w:rPr>
          <w:sz w:val="20"/>
          <w:szCs w:val="20"/>
          <w:color w:val="auto"/>
        </w:rPr>
      </w:pPr>
      <w:r>
        <w:rPr>
          <w:rFonts w:ascii="Arial" w:cs="Arial" w:eastAsia="Arial" w:hAnsi="Arial"/>
          <w:sz w:val="18"/>
          <w:szCs w:val="18"/>
          <w:color w:val="auto"/>
        </w:rPr>
        <w:t>The information set forth under Note 16, Commitments and Contingencies</w:t>
      </w:r>
      <w:r>
        <w:rPr>
          <w:rFonts w:ascii="Arial" w:cs="Arial" w:eastAsia="Arial" w:hAnsi="Arial"/>
          <w:sz w:val="18"/>
          <w:szCs w:val="18"/>
          <w:i w:val="1"/>
          <w:iCs w:val="1"/>
          <w:color w:val="auto"/>
        </w:rPr>
        <w:t>,</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100" w:right="20"/>
        <w:spacing w:after="0" w:line="277" w:lineRule="auto"/>
        <w:rPr>
          <w:sz w:val="20"/>
          <w:szCs w:val="20"/>
          <w:color w:val="auto"/>
        </w:rPr>
      </w:pPr>
      <w:r>
        <w:rPr>
          <w:rFonts w:ascii="Arial" w:cs="Arial" w:eastAsia="Arial" w:hAnsi="Arial"/>
          <w:sz w:val="18"/>
          <w:szCs w:val="18"/>
          <w:color w:val="auto"/>
        </w:rPr>
        <w:t>There were no material changes during the first three months of fiscal 2020 to the risk factors identified in the Company’s fiscal 2019 Annual Report on Form 10-K.</w:t>
      </w:r>
    </w:p>
    <w:p>
      <w:pPr>
        <w:spacing w:after="0" w:line="139" w:lineRule="exact"/>
        <w:rPr>
          <w:sz w:val="20"/>
          <w:szCs w:val="20"/>
          <w:color w:val="auto"/>
        </w:rPr>
      </w:pPr>
    </w:p>
    <w:p>
      <w:pPr>
        <w:ind w:left="100" w:right="4320"/>
        <w:spacing w:after="0" w:line="513" w:lineRule="auto"/>
        <w:rPr>
          <w:sz w:val="20"/>
          <w:szCs w:val="20"/>
          <w:color w:val="auto"/>
        </w:rPr>
      </w:pPr>
      <w:r>
        <w:rPr>
          <w:rFonts w:ascii="Arial" w:cs="Arial" w:eastAsia="Arial" w:hAnsi="Arial"/>
          <w:sz w:val="16"/>
          <w:szCs w:val="16"/>
          <w:b w:val="1"/>
          <w:bCs w:val="1"/>
          <w:color w:val="auto"/>
        </w:rPr>
        <w:t xml:space="preserve">ITEM 2. UNREGISTERED SALES OF EQUITY SECURITIES AND USE OF PROCEEDS </w:t>
      </w:r>
      <w:r>
        <w:rPr>
          <w:rFonts w:ascii="Arial" w:cs="Arial" w:eastAsia="Arial" w:hAnsi="Arial"/>
          <w:sz w:val="16"/>
          <w:szCs w:val="16"/>
          <w:color w:val="auto"/>
        </w:rPr>
        <w:t>Items 2(a) and (b) are not applicable as there have been no unregistered sales of equity securities.</w:t>
      </w:r>
    </w:p>
    <w:p>
      <w:pPr>
        <w:spacing w:after="0" w:line="1" w:lineRule="exact"/>
        <w:rPr>
          <w:sz w:val="20"/>
          <w:szCs w:val="20"/>
          <w:color w:val="auto"/>
        </w:rPr>
      </w:pPr>
    </w:p>
    <w:p>
      <w:pPr>
        <w:ind w:left="440" w:hanging="440"/>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share and per share data)</w:t>
      </w:r>
    </w:p>
    <w:p>
      <w:pPr>
        <w:spacing w:after="0" w:line="198"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7"/>
          <w:szCs w:val="17"/>
          <w:color w:val="auto"/>
        </w:rPr>
        <w:t>The following table provides a month-to-month summary of the share repurchase activity during the three months ended November 30, 2019:</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w w:val="91"/>
              </w:rPr>
              <w:t>Maximum number of shares (or</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Total number of shares</w:t>
            </w:r>
          </w:p>
        </w:tc>
        <w:tc>
          <w:tcPr>
            <w:tcW w:w="280" w:type="dxa"/>
            <w:vAlign w:val="bottom"/>
          </w:tcPr>
          <w:p>
            <w:pPr>
              <w:spacing w:after="0"/>
              <w:rPr>
                <w:sz w:val="15"/>
                <w:szCs w:val="15"/>
                <w:color w:val="auto"/>
              </w:rPr>
            </w:pPr>
          </w:p>
        </w:tc>
        <w:tc>
          <w:tcPr>
            <w:tcW w:w="21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2"/>
              </w:rPr>
              <w:t>approximate dollar value)</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2140" w:type="dxa"/>
            <w:vAlign w:val="bottom"/>
            <w:vMerge w:val="restart"/>
          </w:tcPr>
          <w:p>
            <w:pPr>
              <w:jc w:val="right"/>
              <w:ind w:right="390"/>
              <w:spacing w:after="0"/>
              <w:rPr>
                <w:sz w:val="20"/>
                <w:szCs w:val="20"/>
                <w:color w:val="auto"/>
              </w:rPr>
            </w:pPr>
            <w:r>
              <w:rPr>
                <w:rFonts w:ascii="Arial" w:cs="Arial" w:eastAsia="Arial" w:hAnsi="Arial"/>
                <w:sz w:val="18"/>
                <w:szCs w:val="18"/>
                <w:color w:val="auto"/>
              </w:rPr>
              <w:t>Total number of</w:t>
            </w:r>
          </w:p>
        </w:tc>
        <w:tc>
          <w:tcPr>
            <w:tcW w:w="440" w:type="dxa"/>
            <w:vAlign w:val="bottom"/>
          </w:tcPr>
          <w:p>
            <w:pPr>
              <w:spacing w:after="0"/>
              <w:rPr>
                <w:sz w:val="15"/>
                <w:szCs w:val="15"/>
                <w:color w:val="auto"/>
              </w:rPr>
            </w:pPr>
          </w:p>
        </w:tc>
        <w:tc>
          <w:tcPr>
            <w:tcW w:w="1920" w:type="dxa"/>
            <w:vAlign w:val="bottom"/>
            <w:vMerge w:val="restart"/>
          </w:tcPr>
          <w:p>
            <w:pPr>
              <w:jc w:val="right"/>
              <w:ind w:right="590"/>
              <w:spacing w:after="0"/>
              <w:rPr>
                <w:sz w:val="20"/>
                <w:szCs w:val="20"/>
                <w:color w:val="auto"/>
              </w:rPr>
            </w:pPr>
            <w:r>
              <w:rPr>
                <w:rFonts w:ascii="Arial" w:cs="Arial" w:eastAsia="Arial" w:hAnsi="Arial"/>
                <w:sz w:val="18"/>
                <w:szCs w:val="18"/>
                <w:color w:val="auto"/>
              </w:rPr>
              <w:t>Average price</w:t>
            </w:r>
          </w:p>
        </w:tc>
        <w:tc>
          <w:tcPr>
            <w:tcW w:w="2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that may yet be purchased</w:t>
            </w:r>
          </w:p>
        </w:tc>
        <w:tc>
          <w:tcPr>
            <w:tcW w:w="0" w:type="dxa"/>
            <w:vAlign w:val="bottom"/>
          </w:tcPr>
          <w:p>
            <w:pPr>
              <w:spacing w:after="0"/>
              <w:rPr>
                <w:sz w:val="1"/>
                <w:szCs w:val="1"/>
                <w:color w:val="auto"/>
              </w:rPr>
            </w:pPr>
          </w:p>
        </w:tc>
      </w:tr>
      <w:tr>
        <w:trPr>
          <w:trHeight w:val="176"/>
        </w:trPr>
        <w:tc>
          <w:tcPr>
            <w:tcW w:w="2120" w:type="dxa"/>
            <w:vAlign w:val="bottom"/>
            <w:vMerge w:val="restart"/>
          </w:tcPr>
          <w:p>
            <w:pPr>
              <w:ind w:left="840"/>
              <w:spacing w:after="0"/>
              <w:rPr>
                <w:sz w:val="20"/>
                <w:szCs w:val="20"/>
                <w:color w:val="auto"/>
              </w:rPr>
            </w:pPr>
            <w:r>
              <w:rPr>
                <w:rFonts w:ascii="Arial" w:cs="Arial" w:eastAsia="Arial" w:hAnsi="Arial"/>
                <w:sz w:val="18"/>
                <w:szCs w:val="18"/>
                <w:color w:val="auto"/>
              </w:rPr>
              <w:t>Period</w:t>
            </w:r>
          </w:p>
        </w:tc>
        <w:tc>
          <w:tcPr>
            <w:tcW w:w="2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Arial" w:cs="Arial" w:eastAsia="Arial" w:hAnsi="Arial"/>
                <w:sz w:val="18"/>
                <w:szCs w:val="18"/>
                <w:color w:val="auto"/>
                <w:w w:val="90"/>
              </w:rPr>
              <w:t>purchased as part of publicly</w:t>
            </w:r>
          </w:p>
        </w:tc>
        <w:tc>
          <w:tcPr>
            <w:tcW w:w="24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0"/>
              </w:rPr>
              <w:t>under the plans or programs (in</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 purchased</w:t>
            </w:r>
            <w:r>
              <w:rPr>
                <w:rFonts w:ascii="Arial" w:cs="Arial" w:eastAsia="Arial" w:hAnsi="Arial"/>
                <w:sz w:val="18"/>
                <w:szCs w:val="18"/>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paid per share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announced plans or programs</w:t>
            </w:r>
            <w:r>
              <w:rPr>
                <w:rFonts w:ascii="Arial" w:cs="Arial" w:eastAsia="Arial" w:hAnsi="Arial"/>
                <w:sz w:val="18"/>
                <w:szCs w:val="18"/>
                <w:color w:val="auto"/>
                <w:w w:val="88"/>
                <w:vertAlign w:val="superscript"/>
              </w:rPr>
              <w:t>(2)</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US$)</w:t>
            </w:r>
            <w:r>
              <w:rPr>
                <w:rFonts w:ascii="Arial" w:cs="Arial" w:eastAsia="Arial" w:hAnsi="Arial"/>
                <w:sz w:val="18"/>
                <w:szCs w:val="18"/>
                <w:color w:val="auto"/>
                <w:w w:val="86"/>
                <w:vertAlign w:val="superscript"/>
              </w:rPr>
              <w:t>(2)</w:t>
            </w: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2019</w:t>
            </w: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242.18</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228,932</w:t>
            </w: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October 2019</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231,620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244.37</w:t>
            </w: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229,000</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172,980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2019</w:t>
            </w:r>
          </w:p>
        </w:tc>
        <w:tc>
          <w:tcPr>
            <w:tcW w:w="2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77,158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253.91</w:t>
            </w:r>
          </w:p>
        </w:tc>
        <w:tc>
          <w:tcPr>
            <w:tcW w:w="2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74,000</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154,196</w:t>
            </w:r>
          </w:p>
        </w:tc>
        <w:tc>
          <w:tcPr>
            <w:tcW w:w="0" w:type="dxa"/>
            <w:vAlign w:val="bottom"/>
          </w:tcPr>
          <w:p>
            <w:pPr>
              <w:spacing w:after="0"/>
              <w:rPr>
                <w:sz w:val="1"/>
                <w:szCs w:val="1"/>
                <w:color w:val="auto"/>
              </w:rPr>
            </w:pPr>
          </w:p>
        </w:tc>
      </w:tr>
      <w:tr>
        <w:trPr>
          <w:trHeight w:val="237"/>
        </w:trPr>
        <w:tc>
          <w:tcPr>
            <w:tcW w:w="2120" w:type="dxa"/>
            <w:vAlign w:val="bottom"/>
          </w:tcPr>
          <w:p>
            <w:pPr>
              <w:ind w:left="34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348,778</w:t>
            </w:r>
          </w:p>
        </w:tc>
        <w:tc>
          <w:tcPr>
            <w:tcW w:w="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343,000</w:t>
            </w:r>
          </w:p>
        </w:tc>
        <w:tc>
          <w:tcPr>
            <w:tcW w:w="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40" w:right="80" w:hanging="332"/>
        <w:spacing w:after="0" w:line="277" w:lineRule="auto"/>
        <w:tabs>
          <w:tab w:leader="none" w:pos="434"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343,000 shares purchased under the existing stock repurchase program, as well as 5,778 shares repurchased from employees to cover their cost of taxes upon vesting of restricted stock.</w:t>
      </w:r>
    </w:p>
    <w:p>
      <w:pPr>
        <w:spacing w:after="0" w:line="129" w:lineRule="exact"/>
        <w:rPr>
          <w:rFonts w:ascii="Arial" w:cs="Arial" w:eastAsia="Arial" w:hAnsi="Arial"/>
          <w:sz w:val="18"/>
          <w:szCs w:val="18"/>
          <w:i w:val="1"/>
          <w:iCs w:val="1"/>
          <w:color w:val="auto"/>
        </w:rPr>
      </w:pPr>
    </w:p>
    <w:p>
      <w:pPr>
        <w:ind w:left="440" w:right="40" w:hanging="332"/>
        <w:spacing w:after="0" w:line="264" w:lineRule="auto"/>
        <w:tabs>
          <w:tab w:leader="none" w:pos="434"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520"/>
          </w:cols>
          <w:pgMar w:left="1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80" w:type="dxa"/>
            <w:vAlign w:val="bottom"/>
          </w:tcPr>
          <w:p>
            <w:pPr>
              <w:ind w:left="580"/>
              <w:spacing w:after="0"/>
              <w:rPr>
                <w:sz w:val="20"/>
                <w:szCs w:val="20"/>
                <w:color w:val="auto"/>
              </w:rPr>
            </w:pPr>
            <w:r>
              <w:rPr>
                <w:rFonts w:ascii="Arial" w:cs="Arial" w:eastAsia="Arial" w:hAnsi="Arial"/>
                <w:sz w:val="18"/>
                <w:szCs w:val="18"/>
                <w:color w:val="auto"/>
              </w:rPr>
              <w:t>Incorporated by Reference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w w:val="97"/>
              </w:rPr>
              <w:t>Exhibit Number</w:t>
            </w:r>
          </w:p>
        </w:tc>
        <w:tc>
          <w:tcPr>
            <w:tcW w:w="5240" w:type="dxa"/>
            <w:vAlign w:val="bottom"/>
          </w:tcPr>
          <w:p>
            <w:pPr>
              <w:ind w:left="2300"/>
              <w:spacing w:after="0"/>
              <w:rPr>
                <w:sz w:val="20"/>
                <w:szCs w:val="20"/>
                <w:color w:val="auto"/>
              </w:rPr>
            </w:pPr>
            <w:r>
              <w:rPr>
                <w:rFonts w:ascii="Arial" w:cs="Arial" w:eastAsia="Arial" w:hAnsi="Arial"/>
                <w:sz w:val="18"/>
                <w:szCs w:val="18"/>
                <w:color w:val="auto"/>
              </w:rPr>
              <w:t>Exhibit</w:t>
            </w:r>
          </w:p>
        </w:tc>
        <w:tc>
          <w:tcPr>
            <w:tcW w:w="820" w:type="dxa"/>
            <w:vAlign w:val="bottom"/>
          </w:tcPr>
          <w:p>
            <w:pPr>
              <w:ind w:left="180"/>
              <w:spacing w:after="0"/>
              <w:rPr>
                <w:sz w:val="20"/>
                <w:szCs w:val="20"/>
                <w:color w:val="auto"/>
              </w:rPr>
            </w:pPr>
            <w:r>
              <w:rPr>
                <w:rFonts w:ascii="Arial" w:cs="Arial" w:eastAsia="Arial" w:hAnsi="Arial"/>
                <w:sz w:val="18"/>
                <w:szCs w:val="18"/>
                <w:color w:val="auto"/>
              </w:rPr>
              <w:t>Form</w:t>
            </w:r>
          </w:p>
        </w:tc>
        <w:tc>
          <w:tcPr>
            <w:tcW w:w="3080" w:type="dxa"/>
            <w:vAlign w:val="bottom"/>
          </w:tcPr>
          <w:p>
            <w:pPr>
              <w:ind w:left="240"/>
              <w:spacing w:after="0"/>
              <w:rPr>
                <w:sz w:val="20"/>
                <w:szCs w:val="20"/>
                <w:color w:val="auto"/>
              </w:rPr>
            </w:pPr>
            <w:r>
              <w:rPr>
                <w:rFonts w:ascii="Arial" w:cs="Arial" w:eastAsia="Arial" w:hAnsi="Arial"/>
                <w:sz w:val="18"/>
                <w:szCs w:val="18"/>
                <w:color w:val="auto"/>
              </w:rPr>
              <w:t>File No.   Exhibit No.  Filing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40" w:type="dxa"/>
            <w:vAlign w:val="bottom"/>
          </w:tcPr>
          <w:p>
            <w:pPr>
              <w:ind w:left="2160"/>
              <w:spacing w:after="0"/>
              <w:rPr>
                <w:sz w:val="20"/>
                <w:szCs w:val="20"/>
                <w:color w:val="auto"/>
              </w:rPr>
            </w:pPr>
            <w:r>
              <w:rPr>
                <w:rFonts w:ascii="Arial" w:cs="Arial" w:eastAsia="Arial" w:hAnsi="Arial"/>
                <w:sz w:val="18"/>
                <w:szCs w:val="18"/>
                <w:color w:val="auto"/>
              </w:rPr>
              <w:t>Description</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00" w:type="dxa"/>
            <w:vAlign w:val="bottom"/>
            <w:tcBorders>
              <w:left w:val="single" w:sz="8" w:color="auto"/>
            </w:tcBorders>
            <w:gridSpan w:val="3"/>
          </w:tcPr>
          <w:p>
            <w:pPr>
              <w:ind w:left="40"/>
              <w:spacing w:after="0" w:line="170" w:lineRule="exact"/>
              <w:rPr>
                <w:rFonts w:ascii="Arial" w:cs="Arial" w:eastAsia="Arial" w:hAnsi="Arial"/>
                <w:sz w:val="18"/>
                <w:szCs w:val="18"/>
                <w:color w:val="0000FF"/>
              </w:rPr>
            </w:pPr>
            <w:hyperlink w:anchor="page45">
              <w:r>
                <w:rPr>
                  <w:rFonts w:ascii="Arial" w:cs="Arial" w:eastAsia="Arial" w:hAnsi="Arial"/>
                  <w:sz w:val="18"/>
                  <w:szCs w:val="18"/>
                  <w:color w:val="0000FF"/>
                </w:rPr>
                <w:t>10.1</w:t>
              </w:r>
            </w:hyperlink>
          </w:p>
        </w:tc>
        <w:tc>
          <w:tcPr>
            <w:tcW w:w="5240" w:type="dxa"/>
            <w:vAlign w:val="bottom"/>
          </w:tcPr>
          <w:p>
            <w:pPr>
              <w:ind w:left="40"/>
              <w:spacing w:after="0" w:line="170" w:lineRule="exact"/>
              <w:rPr>
                <w:sz w:val="20"/>
                <w:szCs w:val="20"/>
                <w:color w:val="auto"/>
              </w:rPr>
            </w:pPr>
            <w:r>
              <w:rPr>
                <w:rFonts w:ascii="Arial" w:cs="Arial" w:eastAsia="Arial" w:hAnsi="Arial"/>
                <w:sz w:val="18"/>
                <w:szCs w:val="18"/>
                <w:color w:val="auto"/>
                <w:w w:val="98"/>
              </w:rPr>
              <w:t>Expatriation Agreement for Franck A.R. Gossieaux, dated June 1,</w:t>
            </w: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5240" w:type="dxa"/>
            <w:vAlign w:val="bottom"/>
            <w:vMerge w:val="restart"/>
          </w:tcPr>
          <w:p>
            <w:pPr>
              <w:ind w:left="40"/>
              <w:spacing w:after="0" w:line="230" w:lineRule="exact"/>
              <w:rPr>
                <w:sz w:val="20"/>
                <w:szCs w:val="20"/>
                <w:color w:val="auto"/>
              </w:rPr>
            </w:pPr>
            <w:r>
              <w:rPr>
                <w:rFonts w:ascii="Arial" w:cs="Arial" w:eastAsia="Arial" w:hAnsi="Arial"/>
                <w:sz w:val="18"/>
                <w:szCs w:val="18"/>
                <w:color w:val="auto"/>
              </w:rPr>
              <w:t>2019</w:t>
            </w:r>
            <w:r>
              <w:rPr>
                <w:rFonts w:ascii="Arial" w:cs="Arial" w:eastAsia="Arial" w:hAnsi="Arial"/>
                <w:sz w:val="23"/>
                <w:szCs w:val="23"/>
                <w:color w:val="auto"/>
                <w:vertAlign w:val="superscript"/>
              </w:rPr>
              <w:t>(1)</w:t>
            </w:r>
          </w:p>
        </w:tc>
        <w:tc>
          <w:tcPr>
            <w:tcW w:w="8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00" w:type="dxa"/>
            <w:vAlign w:val="bottom"/>
            <w:tcBorders>
              <w:left w:val="single" w:sz="8" w:color="auto"/>
            </w:tcBorders>
            <w:gridSpan w:val="3"/>
          </w:tcPr>
          <w:p>
            <w:pPr>
              <w:ind w:left="40"/>
              <w:spacing w:after="0" w:line="170" w:lineRule="exact"/>
              <w:rPr>
                <w:rFonts w:ascii="Arial" w:cs="Arial" w:eastAsia="Arial" w:hAnsi="Arial"/>
                <w:sz w:val="18"/>
                <w:szCs w:val="18"/>
                <w:color w:val="0000FF"/>
              </w:rPr>
            </w:pPr>
            <w:hyperlink w:anchor="page52">
              <w:r>
                <w:rPr>
                  <w:rFonts w:ascii="Arial" w:cs="Arial" w:eastAsia="Arial" w:hAnsi="Arial"/>
                  <w:sz w:val="18"/>
                  <w:szCs w:val="18"/>
                  <w:color w:val="0000FF"/>
                </w:rPr>
                <w:t>10.2</w:t>
              </w:r>
            </w:hyperlink>
          </w:p>
        </w:tc>
        <w:tc>
          <w:tcPr>
            <w:tcW w:w="5240" w:type="dxa"/>
            <w:vAlign w:val="bottom"/>
          </w:tcPr>
          <w:p>
            <w:pPr>
              <w:ind w:left="40"/>
              <w:spacing w:after="0" w:line="170" w:lineRule="exact"/>
              <w:rPr>
                <w:sz w:val="20"/>
                <w:szCs w:val="20"/>
                <w:color w:val="auto"/>
              </w:rPr>
            </w:pPr>
            <w:r>
              <w:rPr>
                <w:rFonts w:ascii="Arial" w:cs="Arial" w:eastAsia="Arial" w:hAnsi="Arial"/>
                <w:sz w:val="18"/>
                <w:szCs w:val="18"/>
                <w:color w:val="auto"/>
                <w:w w:val="96"/>
              </w:rPr>
              <w:t>Amendment for Expatriation for Franck A.R. Gossieaux, dated June</w:t>
            </w:r>
          </w:p>
        </w:tc>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5240" w:type="dxa"/>
            <w:vAlign w:val="bottom"/>
            <w:vMerge w:val="restart"/>
          </w:tcPr>
          <w:p>
            <w:pPr>
              <w:ind w:left="40"/>
              <w:spacing w:after="0" w:line="230" w:lineRule="exact"/>
              <w:rPr>
                <w:sz w:val="20"/>
                <w:szCs w:val="20"/>
                <w:color w:val="auto"/>
              </w:rPr>
            </w:pPr>
            <w:r>
              <w:rPr>
                <w:rFonts w:ascii="Arial" w:cs="Arial" w:eastAsia="Arial" w:hAnsi="Arial"/>
                <w:sz w:val="18"/>
                <w:szCs w:val="18"/>
                <w:color w:val="auto"/>
              </w:rPr>
              <w:t>1, 2019</w:t>
            </w:r>
            <w:r>
              <w:rPr>
                <w:rFonts w:ascii="Arial" w:cs="Arial" w:eastAsia="Arial" w:hAnsi="Arial"/>
                <w:sz w:val="23"/>
                <w:szCs w:val="23"/>
                <w:color w:val="auto"/>
                <w:vertAlign w:val="superscript"/>
              </w:rPr>
              <w:t>(1)</w:t>
            </w:r>
          </w:p>
        </w:tc>
        <w:tc>
          <w:tcPr>
            <w:tcW w:w="8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tcBorders>
            <w:gridSpan w:val="3"/>
          </w:tcPr>
          <w:p>
            <w:pPr>
              <w:ind w:left="40"/>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31.1</w:t>
              </w:r>
            </w:hyperlink>
          </w:p>
        </w:tc>
        <w:tc>
          <w:tcPr>
            <w:tcW w:w="5240" w:type="dxa"/>
            <w:vAlign w:val="bottom"/>
          </w:tcPr>
          <w:p>
            <w:pPr>
              <w:ind w:left="40"/>
              <w:spacing w:after="0" w:line="196" w:lineRule="exact"/>
              <w:rPr>
                <w:sz w:val="20"/>
                <w:szCs w:val="20"/>
                <w:color w:val="auto"/>
              </w:rPr>
            </w:pPr>
            <w:r>
              <w:rPr>
                <w:rFonts w:ascii="Arial" w:cs="Arial" w:eastAsia="Arial" w:hAnsi="Arial"/>
                <w:sz w:val="18"/>
                <w:szCs w:val="18"/>
                <w:color w:val="auto"/>
              </w:rPr>
              <w:t>Certification of the Chief Executive Officer pursuant to Rule 13a-</w:t>
            </w:r>
          </w:p>
        </w:tc>
        <w:tc>
          <w:tcPr>
            <w:tcW w:w="8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w w:val="92"/>
              </w:rPr>
              <w:t>14(a) and Rule 15d-14(a) of the Securities Exchange Act, as amended</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tcBorders>
            <w:gridSpan w:val="3"/>
          </w:tcPr>
          <w:p>
            <w:pPr>
              <w:ind w:left="40"/>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31.2</w:t>
              </w:r>
            </w:hyperlink>
          </w:p>
        </w:tc>
        <w:tc>
          <w:tcPr>
            <w:tcW w:w="5240" w:type="dxa"/>
            <w:vAlign w:val="bottom"/>
          </w:tcPr>
          <w:p>
            <w:pPr>
              <w:ind w:left="40"/>
              <w:spacing w:after="0" w:line="196" w:lineRule="exact"/>
              <w:rPr>
                <w:sz w:val="20"/>
                <w:szCs w:val="20"/>
                <w:color w:val="auto"/>
              </w:rPr>
            </w:pPr>
            <w:r>
              <w:rPr>
                <w:rFonts w:ascii="Arial" w:cs="Arial" w:eastAsia="Arial" w:hAnsi="Arial"/>
                <w:sz w:val="18"/>
                <w:szCs w:val="18"/>
                <w:color w:val="auto"/>
              </w:rPr>
              <w:t>Certification of the Chief Financial Officer pursuant to Rule 13a-</w:t>
            </w:r>
          </w:p>
        </w:tc>
        <w:tc>
          <w:tcPr>
            <w:tcW w:w="8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w w:val="92"/>
              </w:rPr>
              <w:t>14(a) and Rule 15d-14(a) of the Securities Exchange Act, as amended</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tcBorders>
            <w:gridSpan w:val="3"/>
          </w:tcPr>
          <w:p>
            <w:pPr>
              <w:ind w:left="40"/>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32.1</w:t>
              </w:r>
            </w:hyperlink>
          </w:p>
        </w:tc>
        <w:tc>
          <w:tcPr>
            <w:tcW w:w="5240" w:type="dxa"/>
            <w:vAlign w:val="bottom"/>
          </w:tcPr>
          <w:p>
            <w:pPr>
              <w:ind w:left="40"/>
              <w:spacing w:after="0" w:line="196" w:lineRule="exact"/>
              <w:rPr>
                <w:sz w:val="20"/>
                <w:szCs w:val="20"/>
                <w:color w:val="auto"/>
              </w:rPr>
            </w:pPr>
            <w:r>
              <w:rPr>
                <w:rFonts w:ascii="Arial" w:cs="Arial" w:eastAsia="Arial" w:hAnsi="Arial"/>
                <w:sz w:val="18"/>
                <w:szCs w:val="18"/>
                <w:color w:val="auto"/>
              </w:rPr>
              <w:t>Certification of the Chief Executive Officer pursuant to 18 U.S.C.</w:t>
            </w:r>
          </w:p>
        </w:tc>
        <w:tc>
          <w:tcPr>
            <w:tcW w:w="8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94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w w:val="94"/>
              </w:rPr>
              <w:t>1350, as adopted pursuant to Section 906 of the Sarbanes-Oxley Act</w:t>
            </w:r>
          </w:p>
        </w:tc>
        <w:tc>
          <w:tcPr>
            <w:tcW w:w="8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of 2002</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tcBorders>
            <w:gridSpan w:val="3"/>
          </w:tcPr>
          <w:p>
            <w:pPr>
              <w:ind w:left="40"/>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32.2</w:t>
              </w:r>
            </w:hyperlink>
          </w:p>
        </w:tc>
        <w:tc>
          <w:tcPr>
            <w:tcW w:w="5240" w:type="dxa"/>
            <w:vAlign w:val="bottom"/>
          </w:tcPr>
          <w:p>
            <w:pPr>
              <w:ind w:left="40"/>
              <w:spacing w:after="0" w:line="196" w:lineRule="exact"/>
              <w:rPr>
                <w:sz w:val="20"/>
                <w:szCs w:val="20"/>
                <w:color w:val="auto"/>
              </w:rPr>
            </w:pPr>
            <w:r>
              <w:rPr>
                <w:rFonts w:ascii="Arial" w:cs="Arial" w:eastAsia="Arial" w:hAnsi="Arial"/>
                <w:sz w:val="18"/>
                <w:szCs w:val="18"/>
                <w:color w:val="auto"/>
              </w:rPr>
              <w:t>Certification of the Chief Financial Officer pursuant to 18 U.S.C.</w:t>
            </w:r>
          </w:p>
        </w:tc>
        <w:tc>
          <w:tcPr>
            <w:tcW w:w="8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94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w w:val="94"/>
              </w:rPr>
              <w:t>1350, as adopted pursuant to Section 906 of the Sarbanes-Oxley Act</w:t>
            </w:r>
          </w:p>
        </w:tc>
        <w:tc>
          <w:tcPr>
            <w:tcW w:w="8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of 2002</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101.INS</w:t>
            </w:r>
          </w:p>
        </w:tc>
        <w:tc>
          <w:tcPr>
            <w:tcW w:w="5240" w:type="dxa"/>
            <w:vAlign w:val="bottom"/>
          </w:tcPr>
          <w:p>
            <w:pPr>
              <w:ind w:left="40"/>
              <w:spacing w:after="0"/>
              <w:rPr>
                <w:sz w:val="20"/>
                <w:szCs w:val="20"/>
                <w:color w:val="auto"/>
              </w:rPr>
            </w:pPr>
            <w:r>
              <w:rPr>
                <w:rFonts w:ascii="Arial" w:cs="Arial" w:eastAsia="Arial" w:hAnsi="Arial"/>
                <w:sz w:val="18"/>
                <w:szCs w:val="18"/>
                <w:color w:val="212529"/>
                <w:w w:val="94"/>
              </w:rPr>
              <w:t>XBRL Instance Document - The instance document does not appear</w:t>
            </w:r>
          </w:p>
        </w:tc>
        <w:tc>
          <w:tcPr>
            <w:tcW w:w="8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212529"/>
              </w:rPr>
              <w:t>in the interactive data file because its XBRL tags are embedded</w:t>
            </w:r>
          </w:p>
        </w:tc>
        <w:tc>
          <w:tcPr>
            <w:tcW w:w="8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212529"/>
              </w:rPr>
              <w:t>within the Inline XBRL document</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101.SCH</w:t>
            </w:r>
          </w:p>
        </w:tc>
        <w:tc>
          <w:tcPr>
            <w:tcW w:w="524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101.CAL</w:t>
            </w:r>
          </w:p>
        </w:tc>
        <w:tc>
          <w:tcPr>
            <w:tcW w:w="52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101.DEF</w:t>
            </w:r>
          </w:p>
        </w:tc>
        <w:tc>
          <w:tcPr>
            <w:tcW w:w="52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101.LAB</w:t>
            </w:r>
          </w:p>
        </w:tc>
        <w:tc>
          <w:tcPr>
            <w:tcW w:w="524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gridSpan w:val="3"/>
          </w:tcPr>
          <w:p>
            <w:pPr>
              <w:ind w:left="40"/>
              <w:spacing w:after="0"/>
              <w:rPr>
                <w:sz w:val="20"/>
                <w:szCs w:val="20"/>
                <w:color w:val="auto"/>
              </w:rPr>
            </w:pPr>
            <w:r>
              <w:rPr>
                <w:rFonts w:ascii="Arial" w:cs="Arial" w:eastAsia="Arial" w:hAnsi="Arial"/>
                <w:sz w:val="18"/>
                <w:szCs w:val="18"/>
                <w:color w:val="auto"/>
              </w:rPr>
              <w:t>101.PRE</w:t>
            </w:r>
          </w:p>
        </w:tc>
        <w:tc>
          <w:tcPr>
            <w:tcW w:w="52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99"/>
              </w:rPr>
              <w:t>104</w:t>
            </w:r>
          </w:p>
        </w:tc>
        <w:tc>
          <w:tcPr>
            <w:tcW w:w="94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Cover page Interactive Data File (formatted as Inline XBRL and</w:t>
            </w:r>
          </w:p>
        </w:tc>
        <w:tc>
          <w:tcPr>
            <w:tcW w:w="8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contained in Exhibit 101)</w:t>
            </w:r>
          </w:p>
        </w:tc>
        <w:tc>
          <w:tcPr>
            <w:tcW w:w="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FACTSET RESEARCH SYSTEMS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18"/>
          <w:szCs w:val="18"/>
          <w:color w:val="auto"/>
        </w:rPr>
        <w:t>Date: January 9, 2020</w:t>
      </w:r>
      <w:r>
        <w:rPr>
          <w:sz w:val="20"/>
          <w:szCs w:val="20"/>
          <w:color w:val="auto"/>
        </w:rPr>
        <w:tab/>
      </w:r>
      <w:r>
        <w:rPr>
          <w:rFonts w:ascii="Arial" w:cs="Arial" w:eastAsia="Arial" w:hAnsi="Arial"/>
          <w:sz w:val="17"/>
          <w:szCs w:val="17"/>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Helen L. Shan</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GREGORY T. MOSKOFF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T. Moskoff</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Controller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6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r>
      <w:tr>
        <w:trPr>
          <w:trHeight w:val="844"/>
        </w:trPr>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INDEX</w:t>
            </w:r>
          </w:p>
        </w:tc>
        <w:tc>
          <w:tcPr>
            <w:tcW w:w="9660" w:type="dxa"/>
            <w:vAlign w:val="bottom"/>
          </w:tcPr>
          <w:p>
            <w:pPr>
              <w:spacing w:after="0"/>
              <w:rPr>
                <w:sz w:val="24"/>
                <w:szCs w:val="24"/>
                <w:color w:val="auto"/>
              </w:rPr>
            </w:pPr>
          </w:p>
        </w:tc>
      </w:tr>
      <w:tr>
        <w:trPr>
          <w:trHeight w:val="567"/>
        </w:trPr>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EXBHIT NUMBER</w:t>
            </w:r>
          </w:p>
        </w:tc>
        <w:tc>
          <w:tcPr>
            <w:tcW w:w="9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493"/>
        </w:trPr>
        <w:tc>
          <w:tcPr>
            <w:tcW w:w="1280" w:type="dxa"/>
            <w:vAlign w:val="bottom"/>
          </w:tcPr>
          <w:p>
            <w:pPr>
              <w:ind w:left="2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Expatriation Agreement for Franck A.R. Gossieaux, dated June 1, 2019</w:t>
            </w:r>
          </w:p>
        </w:tc>
      </w:tr>
      <w:tr>
        <w:trPr>
          <w:trHeight w:val="270"/>
        </w:trPr>
        <w:tc>
          <w:tcPr>
            <w:tcW w:w="1280" w:type="dxa"/>
            <w:vAlign w:val="bottom"/>
          </w:tcPr>
          <w:p>
            <w:pPr>
              <w:ind w:left="2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3"/>
                <w:szCs w:val="23"/>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Amendment for Expatriation for Franck A.R. Gossieaux, dated June 1, 2019</w:t>
            </w:r>
          </w:p>
        </w:tc>
      </w:tr>
      <w:tr>
        <w:trPr>
          <w:trHeight w:val="256"/>
        </w:trPr>
        <w:tc>
          <w:tcPr>
            <w:tcW w:w="1280" w:type="dxa"/>
            <w:vAlign w:val="bottom"/>
          </w:tcPr>
          <w:p>
            <w:pPr>
              <w:ind w:left="2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w w:val="95"/>
              </w:rPr>
              <w:t>Certification of the Chief Executive Officer pursuant to Rule 13a-14(a) and Rule 15d-14(a) of the Securities Exchange Act, as</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amended</w:t>
            </w:r>
          </w:p>
        </w:tc>
      </w:tr>
      <w:tr>
        <w:trPr>
          <w:trHeight w:val="256"/>
        </w:trPr>
        <w:tc>
          <w:tcPr>
            <w:tcW w:w="1280" w:type="dxa"/>
            <w:vAlign w:val="bottom"/>
          </w:tcPr>
          <w:p>
            <w:pPr>
              <w:ind w:left="2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w w:val="96"/>
              </w:rPr>
              <w:t>Certification of the Chief Financial Officer pursuant to Rule 13a-14(a) and Rule 15d-14(a) of the Securities Exchange Act, as</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amended</w:t>
            </w:r>
          </w:p>
        </w:tc>
      </w:tr>
      <w:tr>
        <w:trPr>
          <w:trHeight w:val="256"/>
        </w:trPr>
        <w:tc>
          <w:tcPr>
            <w:tcW w:w="1280" w:type="dxa"/>
            <w:vAlign w:val="bottom"/>
          </w:tcPr>
          <w:p>
            <w:pPr>
              <w:ind w:left="2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w w:val="91"/>
              </w:rPr>
              <w:t>Certification of the Chief Executive Officer pursuant to 18 U.S.C. 1350, as adopted pursuant to Section 906 of the Sarbanes-Oxley</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Act of 2002</w:t>
            </w:r>
          </w:p>
        </w:tc>
      </w:tr>
      <w:tr>
        <w:trPr>
          <w:trHeight w:val="256"/>
        </w:trPr>
        <w:tc>
          <w:tcPr>
            <w:tcW w:w="1280" w:type="dxa"/>
            <w:vAlign w:val="bottom"/>
          </w:tcPr>
          <w:p>
            <w:pPr>
              <w:ind w:left="20"/>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2"/>
                <w:szCs w:val="22"/>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w w:val="92"/>
              </w:rPr>
              <w:t>Certification of the Chief Financial Officer pursuant to 18 U.S.C. 1350, as adopted pursuant to Section 906 of the Sarbanes-Oxley</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Act of 2002</w:t>
            </w:r>
          </w:p>
        </w:tc>
      </w:tr>
      <w:tr>
        <w:trPr>
          <w:trHeight w:val="25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660" w:type="dxa"/>
            <w:vAlign w:val="bottom"/>
          </w:tcPr>
          <w:p>
            <w:pPr>
              <w:ind w:left="140"/>
              <w:spacing w:after="0"/>
              <w:rPr>
                <w:sz w:val="20"/>
                <w:szCs w:val="20"/>
                <w:color w:val="auto"/>
              </w:rPr>
            </w:pPr>
            <w:r>
              <w:rPr>
                <w:rFonts w:ascii="Arial" w:cs="Arial" w:eastAsia="Arial" w:hAnsi="Arial"/>
                <w:sz w:val="18"/>
                <w:szCs w:val="18"/>
                <w:color w:val="auto"/>
                <w:w w:val="98"/>
              </w:rPr>
              <w:t>XBRL Instance Document - The instance document does not appear in the interactive data file because its XBRL tags are</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6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6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6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66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6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280" w:type="dxa"/>
            <w:vAlign w:val="bottom"/>
          </w:tcPr>
          <w:p>
            <w:pPr>
              <w:ind w:left="20"/>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3"/>
                <w:szCs w:val="23"/>
                <w:color w:val="auto"/>
              </w:rPr>
            </w:pPr>
          </w:p>
        </w:tc>
        <w:tc>
          <w:tcPr>
            <w:tcW w:w="9660" w:type="dxa"/>
            <w:vAlign w:val="bottom"/>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14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60" w:type="dxa"/>
            <w:vAlign w:val="bottom"/>
          </w:tcPr>
          <w:p>
            <w:pPr>
              <w:ind w:left="388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00"/>
          </w:cols>
          <w:pgMar w:left="240" w:top="108" w:right="259" w:bottom="1440" w:gutter="0" w:footer="0" w:header="0"/>
        </w:sectPr>
      </w:pPr>
    </w:p>
    <w:bookmarkStart w:id="44" w:name="page45"/>
    <w:bookmarkEnd w:id="44"/>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EXPATRIATION AGREEMENT</w:t>
      </w:r>
    </w:p>
    <w:p>
      <w:pPr>
        <w:spacing w:after="0" w:line="221" w:lineRule="exact"/>
        <w:rPr>
          <w:sz w:val="20"/>
          <w:szCs w:val="20"/>
          <w:color w:val="auto"/>
        </w:rPr>
      </w:pPr>
    </w:p>
    <w:p>
      <w:pPr>
        <w:jc w:val="both"/>
        <w:ind w:firstLine="585"/>
        <w:spacing w:after="0" w:line="253" w:lineRule="auto"/>
        <w:rPr>
          <w:sz w:val="20"/>
          <w:szCs w:val="20"/>
          <w:color w:val="auto"/>
        </w:rPr>
      </w:pPr>
      <w:r>
        <w:rPr>
          <w:rFonts w:ascii="Arial" w:cs="Arial" w:eastAsia="Arial" w:hAnsi="Arial"/>
          <w:sz w:val="20"/>
          <w:szCs w:val="20"/>
          <w:b w:val="1"/>
          <w:bCs w:val="1"/>
          <w:color w:val="auto"/>
        </w:rPr>
        <w:t xml:space="preserve">THIS EXPATRIATION AGREEMENT </w:t>
      </w:r>
      <w:r>
        <w:rPr>
          <w:rFonts w:ascii="Arial" w:cs="Arial" w:eastAsia="Arial" w:hAnsi="Arial"/>
          <w:sz w:val="20"/>
          <w:szCs w:val="20"/>
          <w:color w:val="auto"/>
        </w:rPr>
        <w:t>(this “</w:t>
      </w:r>
      <w:r>
        <w:rPr>
          <w:rFonts w:ascii="Arial" w:cs="Arial" w:eastAsia="Arial" w:hAnsi="Arial"/>
          <w:sz w:val="20"/>
          <w:szCs w:val="20"/>
          <w:b w:val="1"/>
          <w:bCs w:val="1"/>
          <w:color w:val="auto"/>
        </w:rPr>
        <w:t>Agreement</w:t>
      </w:r>
      <w:r>
        <w:rPr>
          <w:rFonts w:ascii="Arial" w:cs="Arial" w:eastAsia="Arial" w:hAnsi="Arial"/>
          <w:sz w:val="20"/>
          <w:szCs w:val="20"/>
          <w:color w:val="auto"/>
        </w:rPr>
        <w:t>”) is effective as of June 1, 2019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among</w:t>
      </w:r>
      <w:r>
        <w:rPr>
          <w:rFonts w:ascii="Arial" w:cs="Arial" w:eastAsia="Arial" w:hAnsi="Arial"/>
          <w:sz w:val="20"/>
          <w:szCs w:val="20"/>
          <w:b w:val="1"/>
          <w:bCs w:val="1"/>
          <w:color w:val="auto"/>
        </w:rPr>
        <w:t xml:space="preserve"> FACTSET FRANCE Sarl</w:t>
      </w:r>
      <w:r>
        <w:rPr>
          <w:rFonts w:ascii="Arial" w:cs="Arial" w:eastAsia="Arial" w:hAnsi="Arial"/>
          <w:sz w:val="20"/>
          <w:szCs w:val="20"/>
          <w:color w:val="auto"/>
        </w:rPr>
        <w:t>, a corporation organized under the laws of France (“</w:t>
      </w:r>
      <w:r>
        <w:rPr>
          <w:rFonts w:ascii="Arial" w:cs="Arial" w:eastAsia="Arial" w:hAnsi="Arial"/>
          <w:sz w:val="20"/>
          <w:szCs w:val="20"/>
          <w:b w:val="1"/>
          <w:bCs w:val="1"/>
          <w:color w:val="auto"/>
        </w:rPr>
        <w:t>FACTSET FRANCE”)</w:t>
      </w:r>
      <w:r>
        <w:rPr>
          <w:rFonts w:ascii="Arial" w:cs="Arial" w:eastAsia="Arial" w:hAnsi="Arial"/>
          <w:sz w:val="20"/>
          <w:szCs w:val="20"/>
          <w:color w:val="auto"/>
        </w:rPr>
        <w:t>, and</w:t>
      </w:r>
      <w:r>
        <w:rPr>
          <w:rFonts w:ascii="Arial" w:cs="Arial" w:eastAsia="Arial" w:hAnsi="Arial"/>
          <w:sz w:val="20"/>
          <w:szCs w:val="20"/>
          <w:b w:val="1"/>
          <w:bCs w:val="1"/>
          <w:color w:val="auto"/>
        </w:rPr>
        <w:t xml:space="preserve"> FACTSET RESEARCH SYSTEMS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FS USA</w:t>
      </w:r>
      <w:r>
        <w:rPr>
          <w:rFonts w:ascii="Arial" w:cs="Arial" w:eastAsia="Arial" w:hAnsi="Arial"/>
          <w:sz w:val="20"/>
          <w:szCs w:val="20"/>
          <w:color w:val="auto"/>
        </w:rPr>
        <w:t>”), in the presence of</w:t>
      </w:r>
      <w:r>
        <w:rPr>
          <w:rFonts w:ascii="Arial" w:cs="Arial" w:eastAsia="Arial" w:hAnsi="Arial"/>
          <w:sz w:val="20"/>
          <w:szCs w:val="20"/>
          <w:b w:val="1"/>
          <w:bCs w:val="1"/>
          <w:color w:val="auto"/>
        </w:rPr>
        <w:t xml:space="preserve"> FRANCK GOSSIEAUX </w:t>
      </w:r>
      <w:r>
        <w:rPr>
          <w:rFonts w:ascii="Arial" w:cs="Arial" w:eastAsia="Arial" w:hAnsi="Arial"/>
          <w:sz w:val="20"/>
          <w:szCs w:val="20"/>
          <w:color w:val="auto"/>
        </w:rPr>
        <w:t>(the “</w:t>
      </w:r>
      <w:r>
        <w:rPr>
          <w:rFonts w:ascii="Arial" w:cs="Arial" w:eastAsia="Arial" w:hAnsi="Arial"/>
          <w:sz w:val="20"/>
          <w:szCs w:val="20"/>
          <w:b w:val="1"/>
          <w:bCs w:val="1"/>
          <w:color w:val="auto"/>
        </w:rPr>
        <w:t>Expatriate</w:t>
      </w:r>
      <w:r>
        <w:rPr>
          <w:rFonts w:ascii="Arial" w:cs="Arial" w:eastAsia="Arial" w:hAnsi="Arial"/>
          <w:sz w:val="20"/>
          <w:szCs w:val="20"/>
          <w:color w:val="auto"/>
        </w:rPr>
        <w:t>”).</w:t>
      </w:r>
    </w:p>
    <w:p>
      <w:pPr>
        <w:spacing w:after="0" w:line="205" w:lineRule="exact"/>
        <w:rPr>
          <w:sz w:val="20"/>
          <w:szCs w:val="20"/>
          <w:color w:val="auto"/>
        </w:rPr>
      </w:pPr>
    </w:p>
    <w:p>
      <w:pPr>
        <w:jc w:val="both"/>
        <w:ind w:right="20" w:firstLine="463"/>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have determined it would be appropriate for FACTSET FRANCE to expatriate the services of Expatriate to FS</w:t>
      </w:r>
      <w:r>
        <w:rPr>
          <w:rFonts w:ascii="Arial" w:cs="Arial" w:eastAsia="Arial" w:hAnsi="Arial"/>
          <w:sz w:val="20"/>
          <w:szCs w:val="20"/>
          <w:b w:val="1"/>
          <w:bCs w:val="1"/>
          <w:color w:val="auto"/>
        </w:rPr>
        <w:t xml:space="preserve"> </w:t>
      </w:r>
      <w:r>
        <w:rPr>
          <w:rFonts w:ascii="Arial" w:cs="Arial" w:eastAsia="Arial" w:hAnsi="Arial"/>
          <w:sz w:val="20"/>
          <w:szCs w:val="20"/>
          <w:color w:val="auto"/>
        </w:rPr>
        <w:t>USA upon the terms set forth in this Agreement;</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covenants contained herein, the parties hereto agree as follows:</w:t>
      </w:r>
    </w:p>
    <w:p>
      <w:pPr>
        <w:spacing w:after="0" w:line="24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Expatriation</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jc w:val="both"/>
        <w:ind w:left="1300" w:hanging="320"/>
        <w:spacing w:after="0" w:line="253" w:lineRule="auto"/>
        <w:tabs>
          <w:tab w:leader="none" w:pos="1292"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Expatriate shall be expatriated (the “</w:t>
      </w:r>
      <w:r>
        <w:rPr>
          <w:rFonts w:ascii="Arial" w:cs="Arial" w:eastAsia="Arial" w:hAnsi="Arial"/>
          <w:sz w:val="20"/>
          <w:szCs w:val="20"/>
          <w:b w:val="1"/>
          <w:bCs w:val="1"/>
          <w:color w:val="auto"/>
        </w:rPr>
        <w:t>Expatriation</w:t>
      </w:r>
      <w:r>
        <w:rPr>
          <w:rFonts w:ascii="Arial" w:cs="Arial" w:eastAsia="Arial" w:hAnsi="Arial"/>
          <w:sz w:val="20"/>
          <w:szCs w:val="20"/>
          <w:color w:val="auto"/>
        </w:rPr>
        <w:t>”) by FACTSET FRANCE to FS USA for the Term (as defined in Section 2 below). FACTSET FRANCE requires that the Expatriate perform such services as FS USA shall reasonably request and in a manner consistent with the policies of FS USA.</w:t>
      </w:r>
    </w:p>
    <w:p>
      <w:pPr>
        <w:spacing w:after="0" w:line="210"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duties and responsibilities of the Expatriate will be as determined by FS USA. Expatriate shall faithfully and diligently perform Expatriate’s duties in the capacity to which Expatriate is assigned and shall devote substantially all of Expatriate’s business time and attention to the business of FS USA.</w:t>
      </w:r>
    </w:p>
    <w:p>
      <w:pPr>
        <w:spacing w:after="0" w:line="213" w:lineRule="exact"/>
        <w:rPr>
          <w:rFonts w:ascii="Arial" w:cs="Arial" w:eastAsia="Arial" w:hAnsi="Arial"/>
          <w:sz w:val="20"/>
          <w:szCs w:val="20"/>
          <w:color w:val="auto"/>
        </w:rPr>
      </w:pPr>
    </w:p>
    <w:p>
      <w:pPr>
        <w:ind w:left="980" w:hanging="972"/>
        <w:spacing w:after="0"/>
        <w:tabs>
          <w:tab w:leader="none" w:pos="98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Term of Agreement</w:t>
      </w:r>
      <w:r>
        <w:rPr>
          <w:rFonts w:ascii="Arial" w:cs="Arial" w:eastAsia="Arial" w:hAnsi="Arial"/>
          <w:sz w:val="20"/>
          <w:szCs w:val="20"/>
          <w:color w:val="auto"/>
        </w:rPr>
        <w:t>.</w:t>
      </w:r>
    </w:p>
    <w:p>
      <w:pPr>
        <w:spacing w:after="0" w:line="236" w:lineRule="exact"/>
        <w:rPr>
          <w:rFonts w:ascii="Arial" w:cs="Arial" w:eastAsia="Arial" w:hAnsi="Arial"/>
          <w:sz w:val="20"/>
          <w:szCs w:val="20"/>
          <w:color w:val="auto"/>
        </w:rPr>
      </w:pPr>
    </w:p>
    <w:p>
      <w:pPr>
        <w:ind w:left="1300" w:hanging="320"/>
        <w:spacing w:after="0"/>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term (the “</w:t>
      </w:r>
      <w:r>
        <w:rPr>
          <w:rFonts w:ascii="Arial" w:cs="Arial" w:eastAsia="Arial" w:hAnsi="Arial"/>
          <w:sz w:val="20"/>
          <w:szCs w:val="20"/>
          <w:b w:val="1"/>
          <w:bCs w:val="1"/>
          <w:color w:val="auto"/>
        </w:rPr>
        <w:t>Term</w:t>
      </w:r>
      <w:r>
        <w:rPr>
          <w:rFonts w:ascii="Arial" w:cs="Arial" w:eastAsia="Arial" w:hAnsi="Arial"/>
          <w:sz w:val="20"/>
          <w:szCs w:val="20"/>
          <w:color w:val="auto"/>
        </w:rPr>
        <w:t>”) of the Expatriation shall commence on June 1, 2019, and shall</w:t>
      </w:r>
    </w:p>
    <w:p>
      <w:pPr>
        <w:spacing w:after="0" w:line="21" w:lineRule="exact"/>
        <w:rPr>
          <w:rFonts w:ascii="Arial" w:cs="Arial" w:eastAsia="Arial" w:hAnsi="Arial"/>
          <w:sz w:val="20"/>
          <w:szCs w:val="20"/>
          <w:color w:val="auto"/>
        </w:rPr>
      </w:pPr>
    </w:p>
    <w:p>
      <w:pPr>
        <w:jc w:val="both"/>
        <w:ind w:left="1300"/>
        <w:spacing w:after="0" w:line="271" w:lineRule="auto"/>
        <w:rPr>
          <w:rFonts w:ascii="Arial" w:cs="Arial" w:eastAsia="Arial" w:hAnsi="Arial"/>
          <w:sz w:val="20"/>
          <w:szCs w:val="20"/>
          <w:color w:val="auto"/>
        </w:rPr>
      </w:pPr>
      <w:r>
        <w:rPr>
          <w:rFonts w:ascii="Arial" w:cs="Arial" w:eastAsia="Arial" w:hAnsi="Arial"/>
          <w:sz w:val="18"/>
          <w:szCs w:val="18"/>
          <w:color w:val="auto"/>
        </w:rPr>
        <w:t>terminate on the first to occur of (i) the death, retirement, resignation or disability of the Expatriate, or (ii) the termination of the Expatriation pursuant to Section 4 of this Agreement, or (iii) two (2) years from the Effective Date. Notwithstanding the foregoing, FS USA may modify or terminate Expatriate’s assignment to FS USA at any time and require Expatriate to repatriate to France, provided however, if such early termination is for convenience and not for cause, FS USA will use reasonable efforts to communicate such decision at least ninety (90) days prior to requiring Expatriate to repatriate to France. FS USA will determine the timing of Expatriate’s repatriation. Expatriate will not be eligible for any repatriation assistance or benefits if Expatriate fails to repatriate upon the date determined by FS USA, notwithstanding FS USA’s company policy.</w:t>
      </w:r>
    </w:p>
    <w:p>
      <w:pPr>
        <w:spacing w:after="0" w:line="198" w:lineRule="exact"/>
        <w:rPr>
          <w:rFonts w:ascii="Arial" w:cs="Arial" w:eastAsia="Arial" w:hAnsi="Arial"/>
          <w:sz w:val="20"/>
          <w:szCs w:val="20"/>
          <w:color w:val="auto"/>
        </w:rPr>
      </w:pPr>
    </w:p>
    <w:p>
      <w:pPr>
        <w:ind w:left="1300" w:hanging="320"/>
        <w:spacing w:after="0" w:line="260" w:lineRule="auto"/>
        <w:tabs>
          <w:tab w:leader="none" w:pos="1289"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This Agreement is in addition to the Letter of Assignment from Christine Souza dated June 1, 2019, regarding the assignment of Expatriate to FS USA and countersigned by the Expatriate.</w:t>
      </w:r>
    </w:p>
    <w:p>
      <w:pPr>
        <w:spacing w:after="0" w:line="203" w:lineRule="exact"/>
        <w:rPr>
          <w:rFonts w:ascii="Arial" w:cs="Arial" w:eastAsia="Arial" w:hAnsi="Arial"/>
          <w:sz w:val="20"/>
          <w:szCs w:val="20"/>
          <w:color w:val="auto"/>
        </w:rPr>
      </w:pPr>
    </w:p>
    <w:p>
      <w:pPr>
        <w:ind w:left="1300" w:right="20" w:hanging="320"/>
        <w:spacing w:after="0" w:line="260" w:lineRule="auto"/>
        <w:tabs>
          <w:tab w:leader="none" w:pos="1292" w:val="left"/>
        </w:tabs>
        <w:numPr>
          <w:ilvl w:val="1"/>
          <w:numId w:val="21"/>
        </w:numPr>
        <w:rPr>
          <w:rFonts w:ascii="Arial" w:cs="Arial" w:eastAsia="Arial" w:hAnsi="Arial"/>
          <w:sz w:val="20"/>
          <w:szCs w:val="20"/>
          <w:color w:val="auto"/>
        </w:rPr>
      </w:pPr>
      <w:r>
        <w:rPr>
          <w:rFonts w:ascii="Arial" w:cs="Arial" w:eastAsia="Arial" w:hAnsi="Arial"/>
          <w:sz w:val="20"/>
          <w:szCs w:val="20"/>
          <w:color w:val="auto"/>
        </w:rPr>
        <w:t>During the Term, Expatriate will report to Philip Snow, Chief Executive Officer and will initially be based at FS USA’s office at 90 Park Avenue, New York, NY 10016.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00AEEF"/>
        </w:rPr>
        <w:t xml:space="preserve">FactSet Research Systems Inc. </w:t>
      </w:r>
      <w:r>
        <w:rPr>
          <w:rFonts w:ascii="Arial" w:cs="Arial" w:eastAsia="Arial" w:hAnsi="Arial"/>
          <w:sz w:val="13"/>
          <w:szCs w:val="13"/>
          <w:color w:val="808080"/>
        </w:rPr>
        <w:t>601 Merritt 7 Norwalk, CT 06851</w:t>
      </w:r>
      <w:r>
        <w:rPr>
          <w:rFonts w:ascii="Arial" w:cs="Arial" w:eastAsia="Arial" w:hAnsi="Arial"/>
          <w:sz w:val="13"/>
          <w:szCs w:val="13"/>
          <w:color w:val="00AEEF"/>
        </w:rPr>
        <w:t xml:space="preserve"> </w:t>
      </w:r>
      <w:r>
        <w:rPr>
          <w:rFonts w:ascii="Arial" w:cs="Arial" w:eastAsia="Arial" w:hAnsi="Arial"/>
          <w:sz w:val="13"/>
          <w:szCs w:val="13"/>
          <w:color w:val="00A4E4"/>
        </w:rPr>
        <w:t>T</w:t>
      </w:r>
      <w:r>
        <w:rPr>
          <w:rFonts w:ascii="Arial" w:cs="Arial" w:eastAsia="Arial" w:hAnsi="Arial"/>
          <w:sz w:val="13"/>
          <w:szCs w:val="13"/>
          <w:color w:val="00AEEF"/>
        </w:rPr>
        <w:t xml:space="preserve"> </w:t>
      </w:r>
      <w:r>
        <w:rPr>
          <w:rFonts w:ascii="Arial" w:cs="Arial" w:eastAsia="Arial" w:hAnsi="Arial"/>
          <w:sz w:val="13"/>
          <w:szCs w:val="13"/>
          <w:color w:val="808080"/>
        </w:rPr>
        <w:t>+1.203.810.1000</w:t>
      </w:r>
      <w:r>
        <w:rPr>
          <w:rFonts w:ascii="Arial" w:cs="Arial" w:eastAsia="Arial" w:hAnsi="Arial"/>
          <w:sz w:val="13"/>
          <w:szCs w:val="13"/>
          <w:color w:val="00AEEF"/>
        </w:rPr>
        <w:t xml:space="preserve"> </w:t>
      </w:r>
      <w:r>
        <w:rPr>
          <w:rFonts w:ascii="Arial" w:cs="Arial" w:eastAsia="Arial" w:hAnsi="Arial"/>
          <w:sz w:val="13"/>
          <w:szCs w:val="13"/>
          <w:color w:val="00A4E4"/>
        </w:rPr>
        <w:t>F</w:t>
      </w:r>
      <w:r>
        <w:rPr>
          <w:rFonts w:ascii="Arial" w:cs="Arial" w:eastAsia="Arial" w:hAnsi="Arial"/>
          <w:sz w:val="13"/>
          <w:szCs w:val="13"/>
          <w:color w:val="00AEEF"/>
        </w:rPr>
        <w:t xml:space="preserve"> </w:t>
      </w:r>
      <w:r>
        <w:rPr>
          <w:rFonts w:ascii="Arial" w:cs="Arial" w:eastAsia="Arial" w:hAnsi="Arial"/>
          <w:sz w:val="13"/>
          <w:szCs w:val="13"/>
          <w:color w:val="808080"/>
        </w:rPr>
        <w:t>+1.203.810.1001</w:t>
      </w:r>
      <w:r>
        <w:rPr>
          <w:rFonts w:ascii="Arial" w:cs="Arial" w:eastAsia="Arial" w:hAnsi="Arial"/>
          <w:sz w:val="13"/>
          <w:szCs w:val="13"/>
          <w:color w:val="00AEEF"/>
        </w:rPr>
        <w:t xml:space="preserve"> </w:t>
      </w:r>
      <w:r>
        <w:rPr>
          <w:rFonts w:ascii="Arial" w:cs="Arial" w:eastAsia="Arial" w:hAnsi="Arial"/>
          <w:sz w:val="13"/>
          <w:szCs w:val="13"/>
          <w:b w:val="1"/>
          <w:bCs w:val="1"/>
          <w:color w:val="808080"/>
        </w:rPr>
        <w:t>1</w:t>
      </w:r>
      <w:r>
        <w:rPr>
          <w:rFonts w:ascii="Arial" w:cs="Arial" w:eastAsia="Arial" w:hAnsi="Arial"/>
          <w:sz w:val="13"/>
          <w:szCs w:val="13"/>
          <w:color w:val="00AEEF"/>
        </w:rPr>
        <w:t xml:space="preserve"> </w:t>
      </w:r>
      <w:r>
        <w:rPr>
          <w:rFonts w:ascii="Arial" w:cs="Arial" w:eastAsia="Arial" w:hAnsi="Arial"/>
          <w:sz w:val="13"/>
          <w:szCs w:val="13"/>
          <w:color w:val="808080"/>
        </w:rPr>
        <w:t>| Page</w:t>
      </w:r>
    </w:p>
    <w:p>
      <w:pPr>
        <w:sectPr>
          <w:pgSz w:w="11900" w:h="16838" w:orient="portrait"/>
          <w:cols w:equalWidth="0" w:num="1">
            <w:col w:w="11420"/>
          </w:cols>
          <w:pgMar w:left="240" w:top="1440" w:right="239" w:bottom="1440" w:gutter="0" w:footer="0" w:header="0"/>
        </w:sectPr>
      </w:pPr>
    </w:p>
    <w:bookmarkStart w:id="45" w:name="page46"/>
    <w:bookmarkEnd w:id="45"/>
    <w:p>
      <w:pPr>
        <w:spacing w:after="0" w:line="169" w:lineRule="exact"/>
        <w:rPr>
          <w:sz w:val="20"/>
          <w:szCs w:val="20"/>
          <w:color w:val="auto"/>
        </w:rPr>
      </w:pPr>
    </w:p>
    <w:p>
      <w:pPr>
        <w:jc w:val="both"/>
        <w:ind w:left="1300" w:hanging="320"/>
        <w:spacing w:after="0" w:line="246" w:lineRule="auto"/>
        <w:tabs>
          <w:tab w:leader="none" w:pos="1289" w:val="left"/>
        </w:tabs>
        <w:numPr>
          <w:ilvl w:val="1"/>
          <w:numId w:val="22"/>
        </w:numPr>
        <w:rPr>
          <w:rFonts w:ascii="Arial" w:cs="Arial" w:eastAsia="Arial" w:hAnsi="Arial"/>
          <w:sz w:val="20"/>
          <w:szCs w:val="20"/>
          <w:color w:val="auto"/>
        </w:rPr>
      </w:pPr>
      <w:r>
        <w:rPr>
          <w:rFonts w:ascii="Arial" w:cs="Arial" w:eastAsia="Arial" w:hAnsi="Arial"/>
          <w:sz w:val="20"/>
          <w:szCs w:val="20"/>
          <w:color w:val="auto"/>
        </w:rPr>
        <w:t>At the end of the Term, FACTSET FRANCE will discuss with Expatriate what suitable alternative positions may be available, and dependent upon Expatriate’s performance and receipt of continued superior reviews, FS USA’s intention would be to transition Expatriate back to France at FACTSET FRANCE, in a position at least equivalent to Expatriate’s position with FACTSET FRANCE prior to the Term.</w:t>
      </w: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ind w:left="200" w:hanging="192"/>
        <w:spacing w:after="0"/>
        <w:tabs>
          <w:tab w:leader="none" w:pos="2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Compensation and Benefits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hanging="320"/>
        <w:spacing w:after="0" w:line="263" w:lineRule="auto"/>
        <w:tabs>
          <w:tab w:leader="none" w:pos="1292" w:val="left"/>
        </w:tabs>
        <w:numPr>
          <w:ilvl w:val="1"/>
          <w:numId w:val="23"/>
        </w:numPr>
        <w:rPr>
          <w:rFonts w:ascii="Arial" w:cs="Arial" w:eastAsia="Arial" w:hAnsi="Arial"/>
          <w:sz w:val="19"/>
          <w:szCs w:val="19"/>
          <w:color w:val="auto"/>
        </w:rPr>
      </w:pPr>
      <w:r>
        <w:rPr>
          <w:rFonts w:ascii="Arial" w:cs="Arial" w:eastAsia="Arial" w:hAnsi="Arial"/>
          <w:sz w:val="19"/>
          <w:szCs w:val="19"/>
          <w:color w:val="auto"/>
        </w:rPr>
        <w:t>FS USA shall be solely responsible for payment of the Expatriate’s compensation and benefits to the Expatriate, and the Expatriate shall not be entitled to any compensation or benefits from FACTSET FRANCE for services performed for FS USA in any capacity, except as otherwise provided in the Expatriate's Expatriation agreement with FACTSET FRANCE regarding the payment of contributions to the French unemployment and retirement insurance schemes, and “</w:t>
      </w:r>
      <w:r>
        <w:rPr>
          <w:rFonts w:ascii="Arial" w:cs="Arial" w:eastAsia="Arial" w:hAnsi="Arial"/>
          <w:sz w:val="19"/>
          <w:szCs w:val="19"/>
          <w:i w:val="1"/>
          <w:iCs w:val="1"/>
          <w:color w:val="auto"/>
        </w:rPr>
        <w:t>CFE</w:t>
      </w:r>
      <w:r>
        <w:rPr>
          <w:rFonts w:ascii="Arial" w:cs="Arial" w:eastAsia="Arial" w:hAnsi="Arial"/>
          <w:sz w:val="19"/>
          <w:szCs w:val="19"/>
          <w:color w:val="auto"/>
        </w:rPr>
        <w:t>”.</w:t>
      </w:r>
    </w:p>
    <w:p>
      <w:pPr>
        <w:spacing w:after="0" w:line="203" w:lineRule="exact"/>
        <w:rPr>
          <w:rFonts w:ascii="Arial" w:cs="Arial" w:eastAsia="Arial" w:hAnsi="Arial"/>
          <w:sz w:val="19"/>
          <w:szCs w:val="19"/>
          <w:color w:val="auto"/>
        </w:rPr>
      </w:pPr>
    </w:p>
    <w:p>
      <w:pPr>
        <w:ind w:left="1300" w:hanging="320"/>
        <w:spacing w:after="0" w:line="287" w:lineRule="auto"/>
        <w:tabs>
          <w:tab w:leader="none" w:pos="1289" w:val="left"/>
        </w:tabs>
        <w:numPr>
          <w:ilvl w:val="1"/>
          <w:numId w:val="23"/>
        </w:numPr>
        <w:rPr>
          <w:rFonts w:ascii="Arial" w:cs="Arial" w:eastAsia="Arial" w:hAnsi="Arial"/>
          <w:sz w:val="19"/>
          <w:szCs w:val="19"/>
          <w:color w:val="auto"/>
        </w:rPr>
      </w:pPr>
      <w:r>
        <w:rPr>
          <w:rFonts w:ascii="Arial" w:cs="Arial" w:eastAsia="Arial" w:hAnsi="Arial"/>
          <w:sz w:val="19"/>
          <w:szCs w:val="19"/>
          <w:color w:val="auto"/>
        </w:rPr>
        <w:t>FACTSET FRANCE shall recharge FS USA for the contributions to the insurance schemes stated in Section 3(a) above as well as any and all taxes or other sums required to be paid by FACTSET FRANCE in relation to these contributions.</w:t>
      </w:r>
    </w:p>
    <w:p>
      <w:pPr>
        <w:spacing w:after="0" w:line="179" w:lineRule="exact"/>
        <w:rPr>
          <w:rFonts w:ascii="Arial" w:cs="Arial" w:eastAsia="Arial" w:hAnsi="Arial"/>
          <w:sz w:val="19"/>
          <w:szCs w:val="19"/>
          <w:color w:val="auto"/>
        </w:rPr>
      </w:pPr>
    </w:p>
    <w:p>
      <w:pPr>
        <w:jc w:val="both"/>
        <w:ind w:left="1300" w:hanging="320"/>
        <w:spacing w:after="0" w:line="291" w:lineRule="auto"/>
        <w:tabs>
          <w:tab w:leader="none" w:pos="12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FS USA shall pay for all reasonable business expenses in accordance with FACTSET FRANCE’s policies generally applicable to employees in equivalent positions including, but not limited to, expenses for business entertainment, travel and accommodation, incurred by the Expatriate in connection with the Expatriate’s services as contemplated by this Agreement.</w:t>
      </w:r>
    </w:p>
    <w:p>
      <w:pPr>
        <w:spacing w:after="0" w:line="178" w:lineRule="exact"/>
        <w:rPr>
          <w:rFonts w:ascii="Arial" w:cs="Arial" w:eastAsia="Arial" w:hAnsi="Arial"/>
          <w:sz w:val="18"/>
          <w:szCs w:val="18"/>
          <w:color w:val="auto"/>
        </w:rPr>
      </w:pPr>
    </w:p>
    <w:p>
      <w:pPr>
        <w:jc w:val="both"/>
        <w:ind w:left="1300" w:hanging="320"/>
        <w:spacing w:after="0" w:line="250" w:lineRule="auto"/>
        <w:tabs>
          <w:tab w:leader="none" w:pos="1289" w:val="left"/>
        </w:tabs>
        <w:numPr>
          <w:ilvl w:val="1"/>
          <w:numId w:val="23"/>
        </w:numPr>
        <w:rPr>
          <w:rFonts w:ascii="Arial" w:cs="Arial" w:eastAsia="Arial" w:hAnsi="Arial"/>
          <w:sz w:val="20"/>
          <w:szCs w:val="20"/>
          <w:color w:val="auto"/>
        </w:rPr>
      </w:pPr>
      <w:r>
        <w:rPr>
          <w:rFonts w:ascii="Arial" w:cs="Arial" w:eastAsia="Arial" w:hAnsi="Arial"/>
          <w:sz w:val="20"/>
          <w:szCs w:val="20"/>
          <w:color w:val="auto"/>
        </w:rPr>
        <w:t>Subject to Section 3(b) hereof, FS USA shall be solely responsible for the withholding and payment of any and all compensation, taxes and other sums required to be withheld or paid by FS USA pursuant to any and all laws applicable to the rendering of services by the Expatriate under this Agreement.</w:t>
      </w:r>
    </w:p>
    <w:p>
      <w:pPr>
        <w:spacing w:after="0" w:line="213" w:lineRule="exact"/>
        <w:rPr>
          <w:rFonts w:ascii="Arial" w:cs="Arial" w:eastAsia="Arial" w:hAnsi="Arial"/>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FS USA may terminate the Expatriate’s employment for Cause at any time without liability for compensation or damages.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Agreement, “Cause” shall mean:</w:t>
      </w:r>
    </w:p>
    <w:p>
      <w:pPr>
        <w:spacing w:after="0" w:line="243" w:lineRule="exact"/>
        <w:rPr>
          <w:sz w:val="20"/>
          <w:szCs w:val="20"/>
          <w:color w:val="auto"/>
        </w:rPr>
      </w:pPr>
    </w:p>
    <w:p>
      <w:pPr>
        <w:jc w:val="both"/>
        <w:ind w:left="1300" w:hanging="320"/>
        <w:spacing w:after="0" w:line="245" w:lineRule="auto"/>
        <w:tabs>
          <w:tab w:leader="none" w:pos="129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Expatriate’s failure to perform his duties including but not limited to Expatriate’s excessive absence from duty or willful and continuing disregard of lawful instructions of superiors, or the Expatriate’s willful and continuing misconduct in carrying out the duties assigned to by the Company;</w:t>
      </w:r>
    </w:p>
    <w:p>
      <w:pPr>
        <w:ind w:left="1300" w:hanging="320"/>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Expatriate’s insubordination through failure to comply with any valid and legal directive of FS USA;</w:t>
      </w:r>
    </w:p>
    <w:p>
      <w:pPr>
        <w:ind w:left="1300" w:hanging="320"/>
        <w:spacing w:after="0" w:line="244" w:lineRule="auto"/>
        <w:tabs>
          <w:tab w:leader="none" w:pos="1292"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act of gross misconduct in connection with the Expatriate’s duties or gross negligence or willful misconduct in the performance of the Expatriate’s duties to FS USA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00AEEF"/>
        </w:rPr>
        <w:t xml:space="preserve">FactSet Research Systems Inc. </w:t>
      </w:r>
      <w:r>
        <w:rPr>
          <w:rFonts w:ascii="Arial" w:cs="Arial" w:eastAsia="Arial" w:hAnsi="Arial"/>
          <w:sz w:val="13"/>
          <w:szCs w:val="13"/>
          <w:color w:val="808080"/>
        </w:rPr>
        <w:t>601 Merritt 7 Norwalk, CT 06851</w:t>
      </w:r>
      <w:r>
        <w:rPr>
          <w:rFonts w:ascii="Arial" w:cs="Arial" w:eastAsia="Arial" w:hAnsi="Arial"/>
          <w:sz w:val="13"/>
          <w:szCs w:val="13"/>
          <w:color w:val="00AEEF"/>
        </w:rPr>
        <w:t xml:space="preserve"> </w:t>
      </w:r>
      <w:r>
        <w:rPr>
          <w:rFonts w:ascii="Arial" w:cs="Arial" w:eastAsia="Arial" w:hAnsi="Arial"/>
          <w:sz w:val="13"/>
          <w:szCs w:val="13"/>
          <w:color w:val="00A4E4"/>
        </w:rPr>
        <w:t>T</w:t>
      </w:r>
      <w:r>
        <w:rPr>
          <w:rFonts w:ascii="Arial" w:cs="Arial" w:eastAsia="Arial" w:hAnsi="Arial"/>
          <w:sz w:val="13"/>
          <w:szCs w:val="13"/>
          <w:color w:val="00AEEF"/>
        </w:rPr>
        <w:t xml:space="preserve"> </w:t>
      </w:r>
      <w:r>
        <w:rPr>
          <w:rFonts w:ascii="Arial" w:cs="Arial" w:eastAsia="Arial" w:hAnsi="Arial"/>
          <w:sz w:val="13"/>
          <w:szCs w:val="13"/>
          <w:color w:val="808080"/>
        </w:rPr>
        <w:t>+1.203.810.1000</w:t>
      </w:r>
      <w:r>
        <w:rPr>
          <w:rFonts w:ascii="Arial" w:cs="Arial" w:eastAsia="Arial" w:hAnsi="Arial"/>
          <w:sz w:val="13"/>
          <w:szCs w:val="13"/>
          <w:color w:val="00AEEF"/>
        </w:rPr>
        <w:t xml:space="preserve"> </w:t>
      </w:r>
      <w:r>
        <w:rPr>
          <w:rFonts w:ascii="Arial" w:cs="Arial" w:eastAsia="Arial" w:hAnsi="Arial"/>
          <w:sz w:val="13"/>
          <w:szCs w:val="13"/>
          <w:color w:val="00A4E4"/>
        </w:rPr>
        <w:t>F</w:t>
      </w:r>
      <w:r>
        <w:rPr>
          <w:rFonts w:ascii="Arial" w:cs="Arial" w:eastAsia="Arial" w:hAnsi="Arial"/>
          <w:sz w:val="13"/>
          <w:szCs w:val="13"/>
          <w:color w:val="00AEEF"/>
        </w:rPr>
        <w:t xml:space="preserve"> </w:t>
      </w:r>
      <w:r>
        <w:rPr>
          <w:rFonts w:ascii="Arial" w:cs="Arial" w:eastAsia="Arial" w:hAnsi="Arial"/>
          <w:sz w:val="13"/>
          <w:szCs w:val="13"/>
          <w:color w:val="808080"/>
        </w:rPr>
        <w:t>+1.203.810.1001</w:t>
      </w:r>
      <w:r>
        <w:rPr>
          <w:rFonts w:ascii="Arial" w:cs="Arial" w:eastAsia="Arial" w:hAnsi="Arial"/>
          <w:sz w:val="13"/>
          <w:szCs w:val="13"/>
          <w:color w:val="00AEEF"/>
        </w:rPr>
        <w:t xml:space="preserve"> </w:t>
      </w:r>
      <w:r>
        <w:rPr>
          <w:rFonts w:ascii="Arial" w:cs="Arial" w:eastAsia="Arial" w:hAnsi="Arial"/>
          <w:sz w:val="13"/>
          <w:szCs w:val="13"/>
          <w:b w:val="1"/>
          <w:bCs w:val="1"/>
          <w:color w:val="808080"/>
        </w:rPr>
        <w:t>2</w:t>
      </w:r>
      <w:r>
        <w:rPr>
          <w:rFonts w:ascii="Arial" w:cs="Arial" w:eastAsia="Arial" w:hAnsi="Arial"/>
          <w:sz w:val="13"/>
          <w:szCs w:val="13"/>
          <w:color w:val="00AEEF"/>
        </w:rPr>
        <w:t xml:space="preserve"> </w:t>
      </w:r>
      <w:r>
        <w:rPr>
          <w:rFonts w:ascii="Arial" w:cs="Arial" w:eastAsia="Arial" w:hAnsi="Arial"/>
          <w:sz w:val="13"/>
          <w:szCs w:val="13"/>
          <w:color w:val="808080"/>
        </w:rPr>
        <w:t>| Page</w:t>
      </w:r>
    </w:p>
    <w:p>
      <w:pPr>
        <w:sectPr>
          <w:pgSz w:w="11900" w:h="16838" w:orient="portrait"/>
          <w:cols w:equalWidth="0" w:num="1">
            <w:col w:w="11420"/>
          </w:cols>
          <w:pgMar w:left="240" w:top="1440" w:right="239" w:bottom="1440" w:gutter="0" w:footer="0" w:header="0"/>
        </w:sectPr>
      </w:pPr>
    </w:p>
    <w:bookmarkStart w:id="46" w:name="page47"/>
    <w:bookmarkEnd w:id="46"/>
    <w:p>
      <w:pPr>
        <w:spacing w:after="0" w:line="169" w:lineRule="exact"/>
        <w:rPr>
          <w:sz w:val="20"/>
          <w:szCs w:val="20"/>
          <w:color w:val="auto"/>
        </w:rPr>
      </w:pPr>
    </w:p>
    <w:p>
      <w:pPr>
        <w:jc w:val="both"/>
        <w:ind w:left="1300" w:hanging="320"/>
        <w:spacing w:after="0" w:line="245" w:lineRule="auto"/>
        <w:tabs>
          <w:tab w:leader="none" w:pos="1289" w:val="left"/>
        </w:tabs>
        <w:numPr>
          <w:ilvl w:val="0"/>
          <w:numId w:val="25"/>
        </w:numPr>
        <w:rPr>
          <w:rFonts w:ascii="Arial" w:cs="Arial" w:eastAsia="Arial" w:hAnsi="Arial"/>
          <w:sz w:val="20"/>
          <w:szCs w:val="20"/>
          <w:color w:val="auto"/>
        </w:rPr>
      </w:pPr>
      <w:r>
        <w:rPr>
          <w:rFonts w:ascii="Arial" w:cs="Arial" w:eastAsia="Arial" w:hAnsi="Arial"/>
          <w:sz w:val="20"/>
          <w:szCs w:val="20"/>
          <w:color w:val="auto"/>
        </w:rPr>
        <w:t>violation of any material written policies that relate to engaging in illegal conduct, violating reasonable business ethical standards, or conduct tending to bring the Expatriate or FS USA into disrepute, including the FactSet Code of Business Conduct and Ethics;</w:t>
      </w:r>
    </w:p>
    <w:p>
      <w:pPr>
        <w:ind w:left="1300" w:hanging="320"/>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commission by the Expatriate of an act of fraud or embezzlement against FS USA or any affiliate;</w:t>
      </w:r>
    </w:p>
    <w:p>
      <w:pPr>
        <w:ind w:left="1300" w:hanging="320"/>
        <w:spacing w:after="0" w:line="239" w:lineRule="auto"/>
        <w:tabs>
          <w:tab w:leader="none" w:pos="1297"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Expatriate’s conviction of (or a plea of nolo contendere in lieu thereof) to a felony or an offence involving moral turpitude; or</w:t>
      </w:r>
    </w:p>
    <w:p>
      <w:pPr>
        <w:spacing w:after="0" w:line="1" w:lineRule="exact"/>
        <w:rPr>
          <w:rFonts w:ascii="Arial" w:cs="Arial" w:eastAsia="Arial" w:hAnsi="Arial"/>
          <w:sz w:val="20"/>
          <w:szCs w:val="20"/>
          <w:color w:val="auto"/>
        </w:rPr>
      </w:pPr>
    </w:p>
    <w:p>
      <w:pPr>
        <w:ind w:left="1300" w:right="20" w:hanging="320"/>
        <w:spacing w:after="0" w:line="244" w:lineRule="auto"/>
        <w:tabs>
          <w:tab w:leader="none" w:pos="128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unauthorized disclosure of confidential proprietary information of FS USA which disclosure the Expatriate knows or reasonably should have known could have the potential to damage FS USA or its affiliates.</w:t>
      </w:r>
    </w:p>
    <w:p>
      <w:pPr>
        <w:spacing w:after="0" w:line="219"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 the event that the Expatriate’s employment is terminated by FS USA for any reason during the Term, the amount of any severance indemnity due to the Expatriate from FACTSET FRANCE as calculated under French law will be deducted from the severance payment, if any, granted by FS USA to the Expatriate.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u w:val="single" w:color="auto"/>
          <w:color w:val="auto"/>
        </w:rPr>
        <w:t>Indemnification and Insurance</w:t>
      </w:r>
      <w:r>
        <w:rPr>
          <w:rFonts w:ascii="Arial" w:cs="Arial" w:eastAsia="Arial" w:hAnsi="Arial"/>
          <w:sz w:val="20"/>
          <w:szCs w:val="20"/>
          <w:color w:val="auto"/>
        </w:rPr>
        <w:t>.</w:t>
      </w:r>
    </w:p>
    <w:p>
      <w:pPr>
        <w:spacing w:after="0" w:line="229" w:lineRule="exact"/>
        <w:rPr>
          <w:sz w:val="20"/>
          <w:szCs w:val="20"/>
          <w:color w:val="auto"/>
        </w:rPr>
      </w:pPr>
    </w:p>
    <w:p>
      <w:pPr>
        <w:jc w:val="both"/>
        <w:ind w:left="1300" w:hanging="320"/>
        <w:spacing w:after="0" w:line="250" w:lineRule="auto"/>
        <w:tabs>
          <w:tab w:leader="none" w:pos="1292" w:val="left"/>
        </w:tabs>
        <w:numPr>
          <w:ilvl w:val="1"/>
          <w:numId w:val="26"/>
        </w:numPr>
        <w:rPr>
          <w:rFonts w:ascii="Arial" w:cs="Arial" w:eastAsia="Arial" w:hAnsi="Arial"/>
          <w:sz w:val="20"/>
          <w:szCs w:val="20"/>
          <w:color w:val="auto"/>
        </w:rPr>
      </w:pPr>
      <w:r>
        <w:rPr>
          <w:rFonts w:ascii="Arial" w:cs="Arial" w:eastAsia="Arial" w:hAnsi="Arial"/>
          <w:sz w:val="20"/>
          <w:szCs w:val="20"/>
          <w:color w:val="auto"/>
        </w:rPr>
        <w:t>Except as provided in Section 5(b) of this Agreement, each party shall indemnify, defend and hold harmless the other parties from or against any cost, expense, damage or liability arising out of or relating to any breach by such party of its obligations under this Agreement.</w:t>
      </w:r>
    </w:p>
    <w:p>
      <w:pPr>
        <w:spacing w:after="0" w:line="213" w:lineRule="exact"/>
        <w:rPr>
          <w:rFonts w:ascii="Arial" w:cs="Arial" w:eastAsia="Arial" w:hAnsi="Arial"/>
          <w:sz w:val="20"/>
          <w:szCs w:val="20"/>
          <w:color w:val="auto"/>
        </w:rPr>
      </w:pPr>
    </w:p>
    <w:p>
      <w:pPr>
        <w:ind w:left="1300" w:hanging="320"/>
        <w:spacing w:after="0" w:line="260" w:lineRule="auto"/>
        <w:tabs>
          <w:tab w:leader="none" w:pos="1289" w:val="left"/>
        </w:tabs>
        <w:numPr>
          <w:ilvl w:val="1"/>
          <w:numId w:val="26"/>
        </w:numPr>
        <w:rPr>
          <w:rFonts w:ascii="Arial" w:cs="Arial" w:eastAsia="Arial" w:hAnsi="Arial"/>
          <w:sz w:val="20"/>
          <w:szCs w:val="20"/>
          <w:color w:val="auto"/>
        </w:rPr>
      </w:pPr>
      <w:r>
        <w:rPr>
          <w:rFonts w:ascii="Arial" w:cs="Arial" w:eastAsia="Arial" w:hAnsi="Arial"/>
          <w:sz w:val="20"/>
          <w:szCs w:val="20"/>
          <w:color w:val="auto"/>
        </w:rPr>
        <w:t>No party shall indemnify, defend and hold harmless another party from or against any cost, expense, damage or liability arising out of or relating to the breach by the other party of its obligations under this Agreement.</w:t>
      </w:r>
    </w:p>
    <w:p>
      <w:pPr>
        <w:spacing w:after="0" w:line="190" w:lineRule="exact"/>
        <w:rPr>
          <w:rFonts w:ascii="Arial" w:cs="Arial" w:eastAsia="Arial" w:hAnsi="Arial"/>
          <w:sz w:val="20"/>
          <w:szCs w:val="20"/>
          <w:color w:val="auto"/>
        </w:rPr>
      </w:pPr>
    </w:p>
    <w:p>
      <w:pPr>
        <w:ind w:left="1300" w:right="20" w:hanging="320"/>
        <w:spacing w:after="0" w:line="287" w:lineRule="auto"/>
        <w:tabs>
          <w:tab w:leader="none" w:pos="1188" w:val="left"/>
        </w:tabs>
        <w:numPr>
          <w:ilvl w:val="1"/>
          <w:numId w:val="26"/>
        </w:numPr>
        <w:rPr>
          <w:rFonts w:ascii="Arial" w:cs="Arial" w:eastAsia="Arial" w:hAnsi="Arial"/>
          <w:sz w:val="19"/>
          <w:szCs w:val="19"/>
          <w:color w:val="auto"/>
        </w:rPr>
      </w:pPr>
      <w:r>
        <w:rPr>
          <w:rFonts w:ascii="Arial" w:cs="Arial" w:eastAsia="Arial" w:hAnsi="Arial"/>
          <w:sz w:val="19"/>
          <w:szCs w:val="19"/>
          <w:color w:val="auto"/>
        </w:rPr>
        <w:t>To the extent reasonably practicable, the Expatriate shall be covered under the policies of liability insurance maintained by FS USA which cover FS USA’s own employees so long as the Expatriation exists with respect to such Expatriate.</w:t>
      </w:r>
    </w:p>
    <w:p>
      <w:pPr>
        <w:spacing w:after="0" w:line="179" w:lineRule="exact"/>
        <w:rPr>
          <w:rFonts w:ascii="Arial" w:cs="Arial" w:eastAsia="Arial" w:hAnsi="Arial"/>
          <w:sz w:val="19"/>
          <w:szCs w:val="19"/>
          <w:color w:val="auto"/>
        </w:rPr>
      </w:pPr>
    </w:p>
    <w:p>
      <w:pPr>
        <w:jc w:val="both"/>
        <w:ind w:left="1300" w:hanging="320"/>
        <w:spacing w:after="0" w:line="250" w:lineRule="auto"/>
        <w:tabs>
          <w:tab w:leader="none" w:pos="12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In the event that the Expariate dies during the Term, Expatriate's family will be repatriated under the same terms as if the Expatriate were still alive. In addition, FS USA will cover the reasonble costs of transporting the Expatriate's remains back to France.</w:t>
      </w:r>
    </w:p>
    <w:p>
      <w:pPr>
        <w:spacing w:after="0" w:line="200" w:lineRule="exact"/>
        <w:rPr>
          <w:rFonts w:ascii="Arial" w:cs="Arial" w:eastAsia="Arial" w:hAnsi="Arial"/>
          <w:sz w:val="20"/>
          <w:szCs w:val="20"/>
          <w:color w:val="auto"/>
        </w:rPr>
      </w:pPr>
    </w:p>
    <w:p>
      <w:pPr>
        <w:spacing w:after="0" w:line="256" w:lineRule="exact"/>
        <w:rPr>
          <w:rFonts w:ascii="Arial" w:cs="Arial" w:eastAsia="Arial" w:hAnsi="Arial"/>
          <w:sz w:val="20"/>
          <w:szCs w:val="20"/>
          <w:color w:val="auto"/>
        </w:rPr>
      </w:pPr>
    </w:p>
    <w:p>
      <w:pPr>
        <w:ind w:left="200" w:hanging="192"/>
        <w:spacing w:after="0"/>
        <w:tabs>
          <w:tab w:leader="none" w:pos="2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hanging="320"/>
        <w:spacing w:after="0" w:line="250" w:lineRule="auto"/>
        <w:tabs>
          <w:tab w:leader="none" w:pos="1292" w:val="left"/>
        </w:tabs>
        <w:numPr>
          <w:ilvl w:val="1"/>
          <w:numId w:val="27"/>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or other communications hereunder will be in writing and must be delivered by hand, or sent by a recognized overnight delivery service with computerized tracking capabilities, or sent by email with receipt confirmed, addressed as follows: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If to FS USA:  FactSet Research Systems Inc.</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601 Merritt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00AEEF"/>
        </w:rPr>
        <w:t xml:space="preserve">FactSet Research Systems Inc. </w:t>
      </w:r>
      <w:r>
        <w:rPr>
          <w:rFonts w:ascii="Arial" w:cs="Arial" w:eastAsia="Arial" w:hAnsi="Arial"/>
          <w:sz w:val="13"/>
          <w:szCs w:val="13"/>
          <w:color w:val="808080"/>
        </w:rPr>
        <w:t>601 Merritt 7 Norwalk, CT 06851</w:t>
      </w:r>
      <w:r>
        <w:rPr>
          <w:rFonts w:ascii="Arial" w:cs="Arial" w:eastAsia="Arial" w:hAnsi="Arial"/>
          <w:sz w:val="13"/>
          <w:szCs w:val="13"/>
          <w:color w:val="00AEEF"/>
        </w:rPr>
        <w:t xml:space="preserve"> </w:t>
      </w:r>
      <w:r>
        <w:rPr>
          <w:rFonts w:ascii="Arial" w:cs="Arial" w:eastAsia="Arial" w:hAnsi="Arial"/>
          <w:sz w:val="13"/>
          <w:szCs w:val="13"/>
          <w:color w:val="00A4E4"/>
        </w:rPr>
        <w:t>T</w:t>
      </w:r>
      <w:r>
        <w:rPr>
          <w:rFonts w:ascii="Arial" w:cs="Arial" w:eastAsia="Arial" w:hAnsi="Arial"/>
          <w:sz w:val="13"/>
          <w:szCs w:val="13"/>
          <w:color w:val="00AEEF"/>
        </w:rPr>
        <w:t xml:space="preserve"> </w:t>
      </w:r>
      <w:r>
        <w:rPr>
          <w:rFonts w:ascii="Arial" w:cs="Arial" w:eastAsia="Arial" w:hAnsi="Arial"/>
          <w:sz w:val="13"/>
          <w:szCs w:val="13"/>
          <w:color w:val="808080"/>
        </w:rPr>
        <w:t>+1.203.810.1000</w:t>
      </w:r>
      <w:r>
        <w:rPr>
          <w:rFonts w:ascii="Arial" w:cs="Arial" w:eastAsia="Arial" w:hAnsi="Arial"/>
          <w:sz w:val="13"/>
          <w:szCs w:val="13"/>
          <w:color w:val="00AEEF"/>
        </w:rPr>
        <w:t xml:space="preserve"> </w:t>
      </w:r>
      <w:r>
        <w:rPr>
          <w:rFonts w:ascii="Arial" w:cs="Arial" w:eastAsia="Arial" w:hAnsi="Arial"/>
          <w:sz w:val="13"/>
          <w:szCs w:val="13"/>
          <w:color w:val="00A4E4"/>
        </w:rPr>
        <w:t>F</w:t>
      </w:r>
      <w:r>
        <w:rPr>
          <w:rFonts w:ascii="Arial" w:cs="Arial" w:eastAsia="Arial" w:hAnsi="Arial"/>
          <w:sz w:val="13"/>
          <w:szCs w:val="13"/>
          <w:color w:val="00AEEF"/>
        </w:rPr>
        <w:t xml:space="preserve"> </w:t>
      </w:r>
      <w:r>
        <w:rPr>
          <w:rFonts w:ascii="Arial" w:cs="Arial" w:eastAsia="Arial" w:hAnsi="Arial"/>
          <w:sz w:val="13"/>
          <w:szCs w:val="13"/>
          <w:color w:val="808080"/>
        </w:rPr>
        <w:t>+1.203.810.1001</w:t>
      </w:r>
      <w:r>
        <w:rPr>
          <w:rFonts w:ascii="Arial" w:cs="Arial" w:eastAsia="Arial" w:hAnsi="Arial"/>
          <w:sz w:val="13"/>
          <w:szCs w:val="13"/>
          <w:color w:val="00AEEF"/>
        </w:rPr>
        <w:t xml:space="preserve"> </w:t>
      </w:r>
      <w:r>
        <w:rPr>
          <w:rFonts w:ascii="Arial" w:cs="Arial" w:eastAsia="Arial" w:hAnsi="Arial"/>
          <w:sz w:val="13"/>
          <w:szCs w:val="13"/>
          <w:b w:val="1"/>
          <w:bCs w:val="1"/>
          <w:color w:val="808080"/>
        </w:rPr>
        <w:t>3</w:t>
      </w:r>
      <w:r>
        <w:rPr>
          <w:rFonts w:ascii="Arial" w:cs="Arial" w:eastAsia="Arial" w:hAnsi="Arial"/>
          <w:sz w:val="13"/>
          <w:szCs w:val="13"/>
          <w:color w:val="00AEEF"/>
        </w:rPr>
        <w:t xml:space="preserve"> </w:t>
      </w:r>
      <w:r>
        <w:rPr>
          <w:rFonts w:ascii="Arial" w:cs="Arial" w:eastAsia="Arial" w:hAnsi="Arial"/>
          <w:sz w:val="13"/>
          <w:szCs w:val="13"/>
          <w:color w:val="808080"/>
        </w:rPr>
        <w:t>| Page</w:t>
      </w:r>
    </w:p>
    <w:p>
      <w:pPr>
        <w:sectPr>
          <w:pgSz w:w="11900" w:h="16838" w:orient="portrait"/>
          <w:cols w:equalWidth="0" w:num="1">
            <w:col w:w="11420"/>
          </w:cols>
          <w:pgMar w:left="240" w:top="1440" w:right="239" w:bottom="1440" w:gutter="0" w:footer="0" w:header="0"/>
        </w:sectPr>
      </w:pPr>
    </w:p>
    <w:bookmarkStart w:id="47" w:name="page48"/>
    <w:bookmarkEnd w:id="47"/>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Norwalk, CT 06851 USA</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Attention: Daniel Viens</w:t>
      </w:r>
    </w:p>
    <w:p>
      <w:pPr>
        <w:ind w:left="6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dviens@factset.com</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With required copy to: FactSet Research Systems Inc.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601 Merritt 7</w:t>
      </w:r>
    </w:p>
    <w:p>
      <w:pPr>
        <w:ind w:left="660"/>
        <w:spacing w:after="0"/>
        <w:rPr>
          <w:sz w:val="20"/>
          <w:szCs w:val="20"/>
          <w:color w:val="auto"/>
        </w:rPr>
      </w:pPr>
      <w:r>
        <w:rPr>
          <w:rFonts w:ascii="Arial" w:cs="Arial" w:eastAsia="Arial" w:hAnsi="Arial"/>
          <w:sz w:val="20"/>
          <w:szCs w:val="20"/>
          <w:color w:val="auto"/>
        </w:rPr>
        <w:t>Norwalk, CT 06851 USA</w:t>
      </w:r>
    </w:p>
    <w:p>
      <w:pPr>
        <w:ind w:left="640"/>
        <w:spacing w:after="0"/>
        <w:rPr>
          <w:sz w:val="20"/>
          <w:szCs w:val="20"/>
          <w:color w:val="auto"/>
        </w:rPr>
      </w:pPr>
      <w:r>
        <w:rPr>
          <w:rFonts w:ascii="Arial" w:cs="Arial" w:eastAsia="Arial" w:hAnsi="Arial"/>
          <w:sz w:val="20"/>
          <w:szCs w:val="20"/>
          <w:color w:val="auto"/>
        </w:rPr>
        <w:t>Attention: Legal Dept.</w:t>
      </w:r>
    </w:p>
    <w:p>
      <w:pPr>
        <w:ind w:left="6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Legal@factset.com</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If to FACTSET FRANCE: FactSet France Sarl</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12 rue du Havre</w:t>
      </w:r>
    </w:p>
    <w:p>
      <w:pPr>
        <w:ind w:left="3900"/>
        <w:spacing w:after="0"/>
        <w:rPr>
          <w:sz w:val="20"/>
          <w:szCs w:val="20"/>
          <w:color w:val="auto"/>
        </w:rPr>
      </w:pPr>
      <w:r>
        <w:rPr>
          <w:rFonts w:ascii="Arial" w:cs="Arial" w:eastAsia="Arial" w:hAnsi="Arial"/>
          <w:sz w:val="20"/>
          <w:szCs w:val="20"/>
          <w:color w:val="auto"/>
        </w:rPr>
        <w:t>75009 Paris France</w:t>
      </w:r>
    </w:p>
    <w:p>
      <w:pPr>
        <w:ind w:left="640"/>
        <w:spacing w:after="0"/>
        <w:rPr>
          <w:sz w:val="20"/>
          <w:szCs w:val="20"/>
          <w:color w:val="auto"/>
        </w:rPr>
      </w:pPr>
      <w:r>
        <w:rPr>
          <w:rFonts w:ascii="Arial" w:cs="Arial" w:eastAsia="Arial" w:hAnsi="Arial"/>
          <w:sz w:val="20"/>
          <w:szCs w:val="20"/>
          <w:color w:val="auto"/>
        </w:rPr>
        <w:t>Attention: Yves Etienne</w:t>
      </w:r>
    </w:p>
    <w:p>
      <w:pPr>
        <w:ind w:left="6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yettienne@factset.com</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With required copy to: FactSet Research Systems Inc.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601 Merritt 7</w:t>
      </w:r>
    </w:p>
    <w:p>
      <w:pPr>
        <w:ind w:left="660"/>
        <w:spacing w:after="0"/>
        <w:rPr>
          <w:sz w:val="20"/>
          <w:szCs w:val="20"/>
          <w:color w:val="auto"/>
        </w:rPr>
      </w:pPr>
      <w:r>
        <w:rPr>
          <w:rFonts w:ascii="Arial" w:cs="Arial" w:eastAsia="Arial" w:hAnsi="Arial"/>
          <w:sz w:val="20"/>
          <w:szCs w:val="20"/>
          <w:color w:val="auto"/>
        </w:rPr>
        <w:t>Norwalk, CT 06851 USA</w:t>
      </w:r>
    </w:p>
    <w:p>
      <w:pPr>
        <w:ind w:left="640"/>
        <w:spacing w:after="0"/>
        <w:rPr>
          <w:sz w:val="20"/>
          <w:szCs w:val="20"/>
          <w:color w:val="auto"/>
        </w:rPr>
      </w:pPr>
      <w:r>
        <w:rPr>
          <w:rFonts w:ascii="Arial" w:cs="Arial" w:eastAsia="Arial" w:hAnsi="Arial"/>
          <w:sz w:val="20"/>
          <w:szCs w:val="20"/>
          <w:color w:val="auto"/>
        </w:rPr>
        <w:t>Attention: Legal Dept.</w:t>
      </w:r>
    </w:p>
    <w:p>
      <w:pPr>
        <w:ind w:left="6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Legal@factset.com</w:t>
      </w: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If to Expatriate:  Franck Gossieaux</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 FactSet Research Systems Inc.</w:t>
      </w:r>
    </w:p>
    <w:p>
      <w:pPr>
        <w:ind w:left="660"/>
        <w:spacing w:after="0"/>
        <w:rPr>
          <w:sz w:val="20"/>
          <w:szCs w:val="20"/>
          <w:color w:val="auto"/>
        </w:rPr>
      </w:pPr>
      <w:r>
        <w:rPr>
          <w:rFonts w:ascii="Arial" w:cs="Arial" w:eastAsia="Arial" w:hAnsi="Arial"/>
          <w:sz w:val="20"/>
          <w:szCs w:val="20"/>
          <w:color w:val="auto"/>
        </w:rPr>
        <w:t>601 Merritt 7</w:t>
      </w:r>
    </w:p>
    <w:p>
      <w:pPr>
        <w:ind w:left="660"/>
        <w:spacing w:after="0"/>
        <w:rPr>
          <w:sz w:val="20"/>
          <w:szCs w:val="20"/>
          <w:color w:val="auto"/>
        </w:rPr>
      </w:pPr>
      <w:r>
        <w:rPr>
          <w:rFonts w:ascii="Arial" w:cs="Arial" w:eastAsia="Arial" w:hAnsi="Arial"/>
          <w:sz w:val="20"/>
          <w:szCs w:val="20"/>
          <w:color w:val="auto"/>
        </w:rPr>
        <w:t>Norwalk, CT 06851 USA</w:t>
      </w:r>
    </w:p>
    <w:p>
      <w:pPr>
        <w:ind w:left="6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fgossieaux@factset.com</w:t>
      </w:r>
    </w:p>
    <w:p>
      <w:pPr>
        <w:jc w:val="both"/>
        <w:ind w:left="1300"/>
        <w:spacing w:after="0" w:line="241" w:lineRule="auto"/>
        <w:rPr>
          <w:sz w:val="20"/>
          <w:szCs w:val="20"/>
          <w:color w:val="auto"/>
        </w:rPr>
      </w:pPr>
      <w:r>
        <w:rPr>
          <w:rFonts w:ascii="Arial" w:cs="Arial" w:eastAsia="Arial" w:hAnsi="Arial"/>
          <w:sz w:val="20"/>
          <w:szCs w:val="20"/>
          <w:color w:val="auto"/>
        </w:rPr>
        <w:t>All such notices, requests and other communications will be deemed received on the date of receipt by the recipient thereof if received prior to 5:00 p.m. in the place of receipt and such day is a business day in the place of receipt. Otherwise, any such notice, request or communication will be deemed not to have been received until the next succeeding business day in the place of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00AEEF"/>
        </w:rPr>
        <w:t xml:space="preserve">FactSet Research Systems Inc. </w:t>
      </w:r>
      <w:r>
        <w:rPr>
          <w:rFonts w:ascii="Arial" w:cs="Arial" w:eastAsia="Arial" w:hAnsi="Arial"/>
          <w:sz w:val="13"/>
          <w:szCs w:val="13"/>
          <w:color w:val="808080"/>
        </w:rPr>
        <w:t>601 Merritt 7 Norwalk, CT 06851</w:t>
      </w:r>
      <w:r>
        <w:rPr>
          <w:rFonts w:ascii="Arial" w:cs="Arial" w:eastAsia="Arial" w:hAnsi="Arial"/>
          <w:sz w:val="13"/>
          <w:szCs w:val="13"/>
          <w:color w:val="00AEEF"/>
        </w:rPr>
        <w:t xml:space="preserve"> </w:t>
      </w:r>
      <w:r>
        <w:rPr>
          <w:rFonts w:ascii="Arial" w:cs="Arial" w:eastAsia="Arial" w:hAnsi="Arial"/>
          <w:sz w:val="13"/>
          <w:szCs w:val="13"/>
          <w:color w:val="00A4E4"/>
        </w:rPr>
        <w:t>T</w:t>
      </w:r>
      <w:r>
        <w:rPr>
          <w:rFonts w:ascii="Arial" w:cs="Arial" w:eastAsia="Arial" w:hAnsi="Arial"/>
          <w:sz w:val="13"/>
          <w:szCs w:val="13"/>
          <w:color w:val="00AEEF"/>
        </w:rPr>
        <w:t xml:space="preserve"> </w:t>
      </w:r>
      <w:r>
        <w:rPr>
          <w:rFonts w:ascii="Arial" w:cs="Arial" w:eastAsia="Arial" w:hAnsi="Arial"/>
          <w:sz w:val="13"/>
          <w:szCs w:val="13"/>
          <w:color w:val="808080"/>
        </w:rPr>
        <w:t>+1.203.810.1000</w:t>
      </w:r>
      <w:r>
        <w:rPr>
          <w:rFonts w:ascii="Arial" w:cs="Arial" w:eastAsia="Arial" w:hAnsi="Arial"/>
          <w:sz w:val="13"/>
          <w:szCs w:val="13"/>
          <w:color w:val="00AEEF"/>
        </w:rPr>
        <w:t xml:space="preserve"> </w:t>
      </w:r>
      <w:r>
        <w:rPr>
          <w:rFonts w:ascii="Arial" w:cs="Arial" w:eastAsia="Arial" w:hAnsi="Arial"/>
          <w:sz w:val="13"/>
          <w:szCs w:val="13"/>
          <w:color w:val="00A4E4"/>
        </w:rPr>
        <w:t>F</w:t>
      </w:r>
      <w:r>
        <w:rPr>
          <w:rFonts w:ascii="Arial" w:cs="Arial" w:eastAsia="Arial" w:hAnsi="Arial"/>
          <w:sz w:val="13"/>
          <w:szCs w:val="13"/>
          <w:color w:val="00AEEF"/>
        </w:rPr>
        <w:t xml:space="preserve"> </w:t>
      </w:r>
      <w:r>
        <w:rPr>
          <w:rFonts w:ascii="Arial" w:cs="Arial" w:eastAsia="Arial" w:hAnsi="Arial"/>
          <w:sz w:val="13"/>
          <w:szCs w:val="13"/>
          <w:color w:val="808080"/>
        </w:rPr>
        <w:t>+1.203.810.1001</w:t>
      </w:r>
      <w:r>
        <w:rPr>
          <w:rFonts w:ascii="Arial" w:cs="Arial" w:eastAsia="Arial" w:hAnsi="Arial"/>
          <w:sz w:val="13"/>
          <w:szCs w:val="13"/>
          <w:color w:val="00AEEF"/>
        </w:rPr>
        <w:t xml:space="preserve"> </w:t>
      </w:r>
      <w:r>
        <w:rPr>
          <w:rFonts w:ascii="Arial" w:cs="Arial" w:eastAsia="Arial" w:hAnsi="Arial"/>
          <w:sz w:val="13"/>
          <w:szCs w:val="13"/>
          <w:b w:val="1"/>
          <w:bCs w:val="1"/>
          <w:color w:val="808080"/>
        </w:rPr>
        <w:t>4</w:t>
      </w:r>
      <w:r>
        <w:rPr>
          <w:rFonts w:ascii="Arial" w:cs="Arial" w:eastAsia="Arial" w:hAnsi="Arial"/>
          <w:sz w:val="13"/>
          <w:szCs w:val="13"/>
          <w:color w:val="00AEEF"/>
        </w:rPr>
        <w:t xml:space="preserve"> </w:t>
      </w:r>
      <w:r>
        <w:rPr>
          <w:rFonts w:ascii="Arial" w:cs="Arial" w:eastAsia="Arial" w:hAnsi="Arial"/>
          <w:sz w:val="13"/>
          <w:szCs w:val="13"/>
          <w:color w:val="808080"/>
        </w:rPr>
        <w:t>| Page</w:t>
      </w:r>
    </w:p>
    <w:p>
      <w:pPr>
        <w:sectPr>
          <w:pgSz w:w="11900" w:h="16838" w:orient="portrait"/>
          <w:cols w:equalWidth="0" w:num="1">
            <w:col w:w="11420"/>
          </w:cols>
          <w:pgMar w:left="240" w:top="1440" w:right="239" w:bottom="1440" w:gutter="0" w:footer="0" w:header="0"/>
        </w:sectPr>
      </w:pPr>
    </w:p>
    <w:bookmarkStart w:id="48" w:name="page49"/>
    <w:bookmarkEnd w:id="48"/>
    <w:p>
      <w:pPr>
        <w:spacing w:after="0" w:line="169" w:lineRule="exact"/>
        <w:rPr>
          <w:sz w:val="20"/>
          <w:szCs w:val="20"/>
          <w:color w:val="auto"/>
        </w:rPr>
      </w:pPr>
    </w:p>
    <w:p>
      <w:pPr>
        <w:jc w:val="both"/>
        <w:ind w:left="1300" w:hanging="320"/>
        <w:spacing w:after="0" w:line="256" w:lineRule="auto"/>
        <w:tabs>
          <w:tab w:leader="none" w:pos="1289"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 This Agreement will, in all respects, be construed in accordance with and governed by the laws of the State of New York, without regard to its conflict of laws principles. The parties hereby irrevocably and unconditionally consent to submit to the exclusive jurisdiction of the United States District Court for the Southern District of New York or any New York State court sitting in New York City (the “</w:t>
      </w:r>
      <w:r>
        <w:rPr>
          <w:rFonts w:ascii="Arial" w:cs="Arial" w:eastAsia="Arial" w:hAnsi="Arial"/>
          <w:sz w:val="19"/>
          <w:szCs w:val="19"/>
          <w:b w:val="1"/>
          <w:bCs w:val="1"/>
          <w:color w:val="auto"/>
        </w:rPr>
        <w:t>NY Courts</w:t>
      </w:r>
      <w:r>
        <w:rPr>
          <w:rFonts w:ascii="Arial" w:cs="Arial" w:eastAsia="Arial" w:hAnsi="Arial"/>
          <w:sz w:val="19"/>
          <w:szCs w:val="19"/>
          <w:color w:val="auto"/>
        </w:rPr>
        <w:t>”) in connection with any dispute, action, suit, proceeding or claim arising out of or relating to this Agreement or the transactions contemplated hereby. The parties irrevocably and unconditionally waive any objection to the laying of venue of any action, suit or proceeding arising out of or relating to this Agreement or the transactions contemplated hereby in the NY Courts, and hereby further irrevocably and unconditionally waive and agree not to plead or claim in any such NY Court that any such action, suit or proceeding brought in any such NY Court has been brought in an inconvenient forum.</w:t>
      </w:r>
    </w:p>
    <w:p>
      <w:pPr>
        <w:spacing w:after="0" w:line="211" w:lineRule="exact"/>
        <w:rPr>
          <w:rFonts w:ascii="Arial" w:cs="Arial" w:eastAsia="Arial" w:hAnsi="Arial"/>
          <w:sz w:val="19"/>
          <w:szCs w:val="19"/>
          <w:color w:val="auto"/>
        </w:rPr>
      </w:pPr>
    </w:p>
    <w:p>
      <w:pPr>
        <w:jc w:val="both"/>
        <w:ind w:left="1300" w:hanging="320"/>
        <w:spacing w:after="0" w:line="260" w:lineRule="auto"/>
        <w:tabs>
          <w:tab w:leader="none" w:pos="129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THE PARTIES IRREVOCABLY AND UNCONDITIONALLY WAIVE, TO THE FULLEST EXTENT PERMITTED BY LAW, ALL RIGHTS TO TRIAL BY JURY IN ANY ACTION, SUIT OR PROCEEDING ARISING OUT OF OR RELATING TO THIS AGREEMENT OR THE TRANSACTIONS CONTEMPLATED HEREBY, INCLUDING WITHOUT LIMITATION ANY COUNTERACTION OR COUNTERCLAIM, WHETHER IN CONTRACT, STATUTE, TORT, (INCLUDING WITHOUT LIMITATION NEGLIGENCE) OR OTHERWISE.</w:t>
      </w:r>
    </w:p>
    <w:p>
      <w:pPr>
        <w:spacing w:after="0" w:line="207" w:lineRule="exact"/>
        <w:rPr>
          <w:rFonts w:ascii="Arial" w:cs="Arial" w:eastAsia="Arial" w:hAnsi="Arial"/>
          <w:sz w:val="19"/>
          <w:szCs w:val="19"/>
          <w:color w:val="auto"/>
        </w:rPr>
      </w:pPr>
    </w:p>
    <w:p>
      <w:pPr>
        <w:jc w:val="both"/>
        <w:ind w:left="1300" w:hanging="320"/>
        <w:spacing w:after="0" w:line="246" w:lineRule="auto"/>
        <w:tabs>
          <w:tab w:leader="none" w:pos="1289"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contained in this Agreement is, for any reason, held to be invalid, illegal or unenforceable in any respect, such invalidity, illegality or unenforceability will not affect any other provisions of this Agreement. This Agreement will be construed as if such invalid, illegal or unenforceable provision had never been contained herein.</w:t>
      </w:r>
    </w:p>
    <w:p>
      <w:pPr>
        <w:spacing w:after="0" w:line="218" w:lineRule="exact"/>
        <w:rPr>
          <w:rFonts w:ascii="Arial" w:cs="Arial" w:eastAsia="Arial" w:hAnsi="Arial"/>
          <w:sz w:val="20"/>
          <w:szCs w:val="20"/>
          <w:color w:val="auto"/>
        </w:rPr>
      </w:pPr>
    </w:p>
    <w:p>
      <w:pPr>
        <w:jc w:val="both"/>
        <w:ind w:left="1300" w:hanging="320"/>
        <w:spacing w:after="0" w:line="246" w:lineRule="auto"/>
        <w:tabs>
          <w:tab w:leader="none" w:pos="129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embodies the entire agreement and understanding of the parties with respect to the subject matter of this Agreement and supersedes all prior and contemporaneous agreements and understandings, oral or written. This Agreement may only be amended or any provision waived in a writing signed by Expatriate and an authorized officer of each of FS USA and FACTSET FRANCE.</w:t>
      </w:r>
    </w:p>
    <w:p>
      <w:pPr>
        <w:spacing w:after="0" w:line="218" w:lineRule="exact"/>
        <w:rPr>
          <w:rFonts w:ascii="Arial" w:cs="Arial" w:eastAsia="Arial" w:hAnsi="Arial"/>
          <w:sz w:val="20"/>
          <w:szCs w:val="20"/>
          <w:color w:val="auto"/>
        </w:rPr>
      </w:pPr>
    </w:p>
    <w:p>
      <w:pPr>
        <w:jc w:val="both"/>
        <w:ind w:left="1300" w:hanging="320"/>
        <w:spacing w:after="0" w:line="243" w:lineRule="auto"/>
        <w:tabs>
          <w:tab w:leader="none" w:pos="1297"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Assignment and Successors</w:t>
      </w:r>
      <w:r>
        <w:rPr>
          <w:rFonts w:ascii="Arial" w:cs="Arial" w:eastAsia="Arial" w:hAnsi="Arial"/>
          <w:sz w:val="20"/>
          <w:szCs w:val="20"/>
          <w:color w:val="auto"/>
        </w:rPr>
        <w:t>. This Agreement, and the various rights and obligations arising hereunder, will inure to the benefit of, and be binding upon the parties and their respective successors and permitted assigns. This Agreement may not be assigned by any party without the prior written consent of the other parties hereto; provided, however, that either FACTSET FRANCE or FS USA may assign its rights under this Agreement to any corporate parent, subsidiary or affiliate upon written notice given to the other parties, provided that such assignment will not relieve such party from its obligations and duties under this Agreement.</w:t>
      </w:r>
    </w:p>
    <w:p>
      <w:pPr>
        <w:spacing w:after="0" w:line="223" w:lineRule="exact"/>
        <w:rPr>
          <w:rFonts w:ascii="Arial" w:cs="Arial" w:eastAsia="Arial" w:hAnsi="Arial"/>
          <w:sz w:val="20"/>
          <w:szCs w:val="20"/>
          <w:color w:val="auto"/>
        </w:rPr>
      </w:pPr>
    </w:p>
    <w:p>
      <w:pPr>
        <w:jc w:val="both"/>
        <w:ind w:left="1300" w:hanging="320"/>
        <w:spacing w:after="0" w:line="269" w:lineRule="auto"/>
        <w:tabs>
          <w:tab w:leader="none" w:pos="1289"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No Rights Conferred on Expatriate</w:t>
      </w:r>
      <w:r>
        <w:rPr>
          <w:rFonts w:ascii="Arial" w:cs="Arial" w:eastAsia="Arial" w:hAnsi="Arial"/>
          <w:sz w:val="19"/>
          <w:szCs w:val="19"/>
          <w:color w:val="auto"/>
        </w:rPr>
        <w:t>. Nothing herein, expressed or implied, shall confer upon the Expatriate any continuing right to employment by FS USA or right to assignment to FS USA for any specified period. It is expressly agreed that this Agreement is not intended to be for the benefit of or otherwise be enforceable by, any third party.</w:t>
      </w:r>
    </w:p>
    <w:p>
      <w:pPr>
        <w:spacing w:after="0" w:line="197" w:lineRule="exact"/>
        <w:rPr>
          <w:rFonts w:ascii="Arial" w:cs="Arial" w:eastAsia="Arial" w:hAnsi="Arial"/>
          <w:sz w:val="19"/>
          <w:szCs w:val="19"/>
          <w:color w:val="auto"/>
        </w:rPr>
      </w:pPr>
    </w:p>
    <w:p>
      <w:pPr>
        <w:ind w:left="1300" w:hanging="320"/>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Survivability</w:t>
      </w:r>
      <w:r>
        <w:rPr>
          <w:rFonts w:ascii="Arial" w:cs="Arial" w:eastAsia="Arial" w:hAnsi="Arial"/>
          <w:sz w:val="20"/>
          <w:szCs w:val="20"/>
          <w:color w:val="auto"/>
        </w:rPr>
        <w:t>. The following Sections of this Agreement shall survive termination of this Agreement: 3, 5, and 6.</w:t>
      </w:r>
    </w:p>
    <w:p>
      <w:pPr>
        <w:spacing w:after="0" w:line="242" w:lineRule="exact"/>
        <w:rPr>
          <w:rFonts w:ascii="Arial" w:cs="Arial" w:eastAsia="Arial" w:hAnsi="Arial"/>
          <w:sz w:val="20"/>
          <w:szCs w:val="20"/>
          <w:color w:val="auto"/>
        </w:rPr>
      </w:pPr>
    </w:p>
    <w:p>
      <w:pPr>
        <w:ind w:left="1300" w:hanging="320"/>
        <w:spacing w:after="0" w:line="260" w:lineRule="auto"/>
        <w:tabs>
          <w:tab w:leader="none" w:pos="1299"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are inserted for convenience only and will not constitute a part of this Agreement for purposes of construing or interpreting any provision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00AEEF"/>
        </w:rPr>
        <w:t xml:space="preserve">FactSet Research Systems Inc. </w:t>
      </w:r>
      <w:r>
        <w:rPr>
          <w:rFonts w:ascii="Arial" w:cs="Arial" w:eastAsia="Arial" w:hAnsi="Arial"/>
          <w:sz w:val="13"/>
          <w:szCs w:val="13"/>
          <w:color w:val="808080"/>
        </w:rPr>
        <w:t>601 Merritt 7 Norwalk, CT 06851</w:t>
      </w:r>
      <w:r>
        <w:rPr>
          <w:rFonts w:ascii="Arial" w:cs="Arial" w:eastAsia="Arial" w:hAnsi="Arial"/>
          <w:sz w:val="13"/>
          <w:szCs w:val="13"/>
          <w:color w:val="00AEEF"/>
        </w:rPr>
        <w:t xml:space="preserve"> </w:t>
      </w:r>
      <w:r>
        <w:rPr>
          <w:rFonts w:ascii="Arial" w:cs="Arial" w:eastAsia="Arial" w:hAnsi="Arial"/>
          <w:sz w:val="13"/>
          <w:szCs w:val="13"/>
          <w:color w:val="00A4E4"/>
        </w:rPr>
        <w:t>T</w:t>
      </w:r>
      <w:r>
        <w:rPr>
          <w:rFonts w:ascii="Arial" w:cs="Arial" w:eastAsia="Arial" w:hAnsi="Arial"/>
          <w:sz w:val="13"/>
          <w:szCs w:val="13"/>
          <w:color w:val="00AEEF"/>
        </w:rPr>
        <w:t xml:space="preserve"> </w:t>
      </w:r>
      <w:r>
        <w:rPr>
          <w:rFonts w:ascii="Arial" w:cs="Arial" w:eastAsia="Arial" w:hAnsi="Arial"/>
          <w:sz w:val="13"/>
          <w:szCs w:val="13"/>
          <w:color w:val="808080"/>
        </w:rPr>
        <w:t>+1.203.810.1000</w:t>
      </w:r>
      <w:r>
        <w:rPr>
          <w:rFonts w:ascii="Arial" w:cs="Arial" w:eastAsia="Arial" w:hAnsi="Arial"/>
          <w:sz w:val="13"/>
          <w:szCs w:val="13"/>
          <w:color w:val="00AEEF"/>
        </w:rPr>
        <w:t xml:space="preserve"> </w:t>
      </w:r>
      <w:r>
        <w:rPr>
          <w:rFonts w:ascii="Arial" w:cs="Arial" w:eastAsia="Arial" w:hAnsi="Arial"/>
          <w:sz w:val="13"/>
          <w:szCs w:val="13"/>
          <w:color w:val="00A4E4"/>
        </w:rPr>
        <w:t>F</w:t>
      </w:r>
      <w:r>
        <w:rPr>
          <w:rFonts w:ascii="Arial" w:cs="Arial" w:eastAsia="Arial" w:hAnsi="Arial"/>
          <w:sz w:val="13"/>
          <w:szCs w:val="13"/>
          <w:color w:val="00AEEF"/>
        </w:rPr>
        <w:t xml:space="preserve"> </w:t>
      </w:r>
      <w:r>
        <w:rPr>
          <w:rFonts w:ascii="Arial" w:cs="Arial" w:eastAsia="Arial" w:hAnsi="Arial"/>
          <w:sz w:val="13"/>
          <w:szCs w:val="13"/>
          <w:color w:val="808080"/>
        </w:rPr>
        <w:t>+1.203.810.1001</w:t>
      </w:r>
      <w:r>
        <w:rPr>
          <w:rFonts w:ascii="Arial" w:cs="Arial" w:eastAsia="Arial" w:hAnsi="Arial"/>
          <w:sz w:val="13"/>
          <w:szCs w:val="13"/>
          <w:color w:val="00AEEF"/>
        </w:rPr>
        <w:t xml:space="preserve"> </w:t>
      </w:r>
      <w:r>
        <w:rPr>
          <w:rFonts w:ascii="Arial" w:cs="Arial" w:eastAsia="Arial" w:hAnsi="Arial"/>
          <w:sz w:val="13"/>
          <w:szCs w:val="13"/>
          <w:b w:val="1"/>
          <w:bCs w:val="1"/>
          <w:color w:val="808080"/>
        </w:rPr>
        <w:t>5</w:t>
      </w:r>
      <w:r>
        <w:rPr>
          <w:rFonts w:ascii="Arial" w:cs="Arial" w:eastAsia="Arial" w:hAnsi="Arial"/>
          <w:sz w:val="13"/>
          <w:szCs w:val="13"/>
          <w:color w:val="00AEEF"/>
        </w:rPr>
        <w:t xml:space="preserve"> </w:t>
      </w:r>
      <w:r>
        <w:rPr>
          <w:rFonts w:ascii="Arial" w:cs="Arial" w:eastAsia="Arial" w:hAnsi="Arial"/>
          <w:sz w:val="13"/>
          <w:szCs w:val="13"/>
          <w:color w:val="808080"/>
        </w:rPr>
        <w:t>| Page</w:t>
      </w:r>
    </w:p>
    <w:p>
      <w:pPr>
        <w:sectPr>
          <w:pgSz w:w="11900" w:h="16838" w:orient="portrait"/>
          <w:cols w:equalWidth="0" w:num="1">
            <w:col w:w="11420"/>
          </w:cols>
          <w:pgMar w:left="240" w:top="1440" w:right="239" w:bottom="1440" w:gutter="0" w:footer="0" w:header="0"/>
        </w:sectPr>
      </w:pPr>
    </w:p>
    <w:bookmarkStart w:id="49" w:name="page50"/>
    <w:bookmarkEnd w:id="49"/>
    <w:p>
      <w:pPr>
        <w:spacing w:after="0" w:line="169" w:lineRule="exact"/>
        <w:rPr>
          <w:sz w:val="20"/>
          <w:szCs w:val="20"/>
          <w:color w:val="auto"/>
        </w:rPr>
      </w:pPr>
    </w:p>
    <w:p>
      <w:pPr>
        <w:ind w:left="1300" w:hanging="320"/>
        <w:spacing w:after="0" w:line="260" w:lineRule="auto"/>
        <w:tabs>
          <w:tab w:leader="none" w:pos="1299"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simultaneously in multiple counterparts, each of which will be deemed an original but all of which, taken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00AEEF"/>
        </w:rPr>
        <w:t xml:space="preserve">FactSet Research Systems Inc. </w:t>
      </w:r>
      <w:r>
        <w:rPr>
          <w:rFonts w:ascii="Arial" w:cs="Arial" w:eastAsia="Arial" w:hAnsi="Arial"/>
          <w:sz w:val="13"/>
          <w:szCs w:val="13"/>
          <w:color w:val="808080"/>
        </w:rPr>
        <w:t>601 Merritt 7 Norwalk, CT 06851</w:t>
      </w:r>
      <w:r>
        <w:rPr>
          <w:rFonts w:ascii="Arial" w:cs="Arial" w:eastAsia="Arial" w:hAnsi="Arial"/>
          <w:sz w:val="13"/>
          <w:szCs w:val="13"/>
          <w:color w:val="00AEEF"/>
        </w:rPr>
        <w:t xml:space="preserve"> </w:t>
      </w:r>
      <w:r>
        <w:rPr>
          <w:rFonts w:ascii="Arial" w:cs="Arial" w:eastAsia="Arial" w:hAnsi="Arial"/>
          <w:sz w:val="13"/>
          <w:szCs w:val="13"/>
          <w:color w:val="00A4E4"/>
        </w:rPr>
        <w:t>T</w:t>
      </w:r>
      <w:r>
        <w:rPr>
          <w:rFonts w:ascii="Arial" w:cs="Arial" w:eastAsia="Arial" w:hAnsi="Arial"/>
          <w:sz w:val="13"/>
          <w:szCs w:val="13"/>
          <w:color w:val="00AEEF"/>
        </w:rPr>
        <w:t xml:space="preserve"> </w:t>
      </w:r>
      <w:r>
        <w:rPr>
          <w:rFonts w:ascii="Arial" w:cs="Arial" w:eastAsia="Arial" w:hAnsi="Arial"/>
          <w:sz w:val="13"/>
          <w:szCs w:val="13"/>
          <w:color w:val="808080"/>
        </w:rPr>
        <w:t>+1.203.810.1000</w:t>
      </w:r>
      <w:r>
        <w:rPr>
          <w:rFonts w:ascii="Arial" w:cs="Arial" w:eastAsia="Arial" w:hAnsi="Arial"/>
          <w:sz w:val="13"/>
          <w:szCs w:val="13"/>
          <w:color w:val="00AEEF"/>
        </w:rPr>
        <w:t xml:space="preserve"> </w:t>
      </w:r>
      <w:r>
        <w:rPr>
          <w:rFonts w:ascii="Arial" w:cs="Arial" w:eastAsia="Arial" w:hAnsi="Arial"/>
          <w:sz w:val="13"/>
          <w:szCs w:val="13"/>
          <w:color w:val="00A4E4"/>
        </w:rPr>
        <w:t>F</w:t>
      </w:r>
      <w:r>
        <w:rPr>
          <w:rFonts w:ascii="Arial" w:cs="Arial" w:eastAsia="Arial" w:hAnsi="Arial"/>
          <w:sz w:val="13"/>
          <w:szCs w:val="13"/>
          <w:color w:val="00AEEF"/>
        </w:rPr>
        <w:t xml:space="preserve"> </w:t>
      </w:r>
      <w:r>
        <w:rPr>
          <w:rFonts w:ascii="Arial" w:cs="Arial" w:eastAsia="Arial" w:hAnsi="Arial"/>
          <w:sz w:val="13"/>
          <w:szCs w:val="13"/>
          <w:color w:val="808080"/>
        </w:rPr>
        <w:t>+1.203.810.1001</w:t>
      </w:r>
      <w:r>
        <w:rPr>
          <w:rFonts w:ascii="Arial" w:cs="Arial" w:eastAsia="Arial" w:hAnsi="Arial"/>
          <w:sz w:val="13"/>
          <w:szCs w:val="13"/>
          <w:color w:val="00AEEF"/>
        </w:rPr>
        <w:t xml:space="preserve"> </w:t>
      </w:r>
      <w:r>
        <w:rPr>
          <w:rFonts w:ascii="Arial" w:cs="Arial" w:eastAsia="Arial" w:hAnsi="Arial"/>
          <w:sz w:val="13"/>
          <w:szCs w:val="13"/>
          <w:b w:val="1"/>
          <w:bCs w:val="1"/>
          <w:color w:val="808080"/>
        </w:rPr>
        <w:t>6</w:t>
      </w:r>
      <w:r>
        <w:rPr>
          <w:rFonts w:ascii="Arial" w:cs="Arial" w:eastAsia="Arial" w:hAnsi="Arial"/>
          <w:sz w:val="13"/>
          <w:szCs w:val="13"/>
          <w:color w:val="00AEEF"/>
        </w:rPr>
        <w:t xml:space="preserve"> </w:t>
      </w:r>
      <w:r>
        <w:rPr>
          <w:rFonts w:ascii="Arial" w:cs="Arial" w:eastAsia="Arial" w:hAnsi="Arial"/>
          <w:sz w:val="13"/>
          <w:szCs w:val="13"/>
          <w:color w:val="808080"/>
        </w:rPr>
        <w:t>| Page</w:t>
      </w:r>
    </w:p>
    <w:p>
      <w:pPr>
        <w:sectPr>
          <w:pgSz w:w="11900" w:h="16838" w:orient="portrait"/>
          <w:cols w:equalWidth="0" w:num="1">
            <w:col w:w="11400"/>
          </w:cols>
          <w:pgMar w:left="240" w:top="1440" w:right="259" w:bottom="1440" w:gutter="0" w:footer="0" w:header="0"/>
        </w:sectPr>
      </w:pPr>
    </w:p>
    <w:bookmarkStart w:id="50" w:name="page51"/>
    <w:bookmarkEnd w:id="50"/>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day and year first above written.</w:t>
      </w:r>
    </w:p>
    <w:p>
      <w:pPr>
        <w:spacing w:after="0" w:line="200" w:lineRule="exact"/>
        <w:rPr>
          <w:sz w:val="20"/>
          <w:szCs w:val="20"/>
          <w:color w:val="auto"/>
        </w:rPr>
      </w:pPr>
    </w:p>
    <w:p>
      <w:pPr>
        <w:spacing w:after="0" w:line="25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FACTSET RESEARCH SYSTEMS INC.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0"/>
        <w:spacing w:after="0"/>
        <w:tabs>
          <w:tab w:leader="none" w:pos="3120" w:val="left"/>
        </w:tabs>
        <w:rPr>
          <w:sz w:val="20"/>
          <w:szCs w:val="20"/>
          <w:color w:val="auto"/>
        </w:rPr>
      </w:pPr>
      <w:r>
        <w:rPr>
          <w:rFonts w:ascii="Arial" w:cs="Arial" w:eastAsia="Arial" w:hAnsi="Arial"/>
          <w:sz w:val="20"/>
          <w:szCs w:val="20"/>
          <w:color w:val="auto"/>
        </w:rPr>
        <w:t>By: /s/ DANIEL VIENS</w:t>
      </w:r>
      <w:r>
        <w:rPr>
          <w:sz w:val="20"/>
          <w:szCs w:val="20"/>
          <w:color w:val="auto"/>
        </w:rPr>
        <w:tab/>
      </w:r>
      <w:r>
        <w:rPr>
          <w:rFonts w:ascii="Arial" w:cs="Arial" w:eastAsia="Arial" w:hAnsi="Arial"/>
          <w:sz w:val="18"/>
          <w:szCs w:val="18"/>
          <w:color w:val="auto"/>
        </w:rPr>
        <w:t>Name: Daniel Viens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-14605</wp:posOffset>
            </wp:positionV>
            <wp:extent cx="1176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0"/>
          <w:szCs w:val="20"/>
          <w:color w:val="auto"/>
        </w:rPr>
        <w:t>Title: Senior Vice President,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FACTSET FRANCE SARL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00"/>
        <w:spacing w:after="0"/>
        <w:tabs>
          <w:tab w:leader="none" w:pos="3000" w:val="left"/>
        </w:tabs>
        <w:rPr>
          <w:sz w:val="20"/>
          <w:szCs w:val="20"/>
          <w:color w:val="auto"/>
        </w:rPr>
      </w:pPr>
      <w:r>
        <w:rPr>
          <w:rFonts w:ascii="Arial" w:cs="Arial" w:eastAsia="Arial" w:hAnsi="Arial"/>
          <w:sz w:val="20"/>
          <w:szCs w:val="20"/>
          <w:color w:val="auto"/>
        </w:rPr>
        <w:t>By: /s/ YVES ETIENNE</w:t>
      </w:r>
      <w:r>
        <w:rPr>
          <w:sz w:val="20"/>
          <w:szCs w:val="20"/>
          <w:color w:val="auto"/>
        </w:rPr>
        <w:tab/>
      </w:r>
      <w:r>
        <w:rPr>
          <w:rFonts w:ascii="Arial" w:cs="Arial" w:eastAsia="Arial" w:hAnsi="Arial"/>
          <w:sz w:val="16"/>
          <w:szCs w:val="16"/>
          <w:color w:val="auto"/>
        </w:rPr>
        <w:t>Name: Yves Etienne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-14605</wp:posOffset>
            </wp:positionV>
            <wp:extent cx="11976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9761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0"/>
          <w:szCs w:val="20"/>
          <w:color w:val="auto"/>
        </w:rPr>
        <w:t>Title: Director of Human Resources, EMEA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/s/ FRANCK GOSSIEAUX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-14605</wp:posOffset>
            </wp:positionV>
            <wp:extent cx="15297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29715"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0"/>
          <w:szCs w:val="20"/>
          <w:b w:val="1"/>
          <w:bCs w:val="1"/>
          <w:color w:val="auto"/>
        </w:rPr>
        <w:t>FRANCK GOSSIEAUX</w:t>
      </w:r>
      <w:r>
        <w:rPr>
          <w:rFonts w:ascii="Arial" w:cs="Arial" w:eastAsia="Arial" w:hAnsi="Arial"/>
          <w:sz w:val="20"/>
          <w:szCs w:val="20"/>
          <w:color w:val="auto"/>
        </w:rPr>
        <w:t>, Expatriate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00AEEF"/>
        </w:rPr>
        <w:t xml:space="preserve">FactSet Research Systems Inc. </w:t>
      </w:r>
      <w:r>
        <w:rPr>
          <w:rFonts w:ascii="Arial" w:cs="Arial" w:eastAsia="Arial" w:hAnsi="Arial"/>
          <w:sz w:val="13"/>
          <w:szCs w:val="13"/>
          <w:color w:val="808080"/>
        </w:rPr>
        <w:t>601 Merritt 7 Norwalk, CT 06851</w:t>
      </w:r>
      <w:r>
        <w:rPr>
          <w:rFonts w:ascii="Arial" w:cs="Arial" w:eastAsia="Arial" w:hAnsi="Arial"/>
          <w:sz w:val="13"/>
          <w:szCs w:val="13"/>
          <w:color w:val="00AEEF"/>
        </w:rPr>
        <w:t xml:space="preserve"> </w:t>
      </w:r>
      <w:r>
        <w:rPr>
          <w:rFonts w:ascii="Arial" w:cs="Arial" w:eastAsia="Arial" w:hAnsi="Arial"/>
          <w:sz w:val="13"/>
          <w:szCs w:val="13"/>
          <w:color w:val="00A4E4"/>
        </w:rPr>
        <w:t>T</w:t>
      </w:r>
      <w:r>
        <w:rPr>
          <w:rFonts w:ascii="Arial" w:cs="Arial" w:eastAsia="Arial" w:hAnsi="Arial"/>
          <w:sz w:val="13"/>
          <w:szCs w:val="13"/>
          <w:color w:val="00AEEF"/>
        </w:rPr>
        <w:t xml:space="preserve"> </w:t>
      </w:r>
      <w:r>
        <w:rPr>
          <w:rFonts w:ascii="Arial" w:cs="Arial" w:eastAsia="Arial" w:hAnsi="Arial"/>
          <w:sz w:val="13"/>
          <w:szCs w:val="13"/>
          <w:color w:val="808080"/>
        </w:rPr>
        <w:t>+1.203.810.1000</w:t>
      </w:r>
      <w:r>
        <w:rPr>
          <w:rFonts w:ascii="Arial" w:cs="Arial" w:eastAsia="Arial" w:hAnsi="Arial"/>
          <w:sz w:val="13"/>
          <w:szCs w:val="13"/>
          <w:color w:val="00AEEF"/>
        </w:rPr>
        <w:t xml:space="preserve"> </w:t>
      </w:r>
      <w:r>
        <w:rPr>
          <w:rFonts w:ascii="Arial" w:cs="Arial" w:eastAsia="Arial" w:hAnsi="Arial"/>
          <w:sz w:val="13"/>
          <w:szCs w:val="13"/>
          <w:color w:val="00A4E4"/>
        </w:rPr>
        <w:t>F</w:t>
      </w:r>
      <w:r>
        <w:rPr>
          <w:rFonts w:ascii="Arial" w:cs="Arial" w:eastAsia="Arial" w:hAnsi="Arial"/>
          <w:sz w:val="13"/>
          <w:szCs w:val="13"/>
          <w:color w:val="00AEEF"/>
        </w:rPr>
        <w:t xml:space="preserve"> </w:t>
      </w:r>
      <w:r>
        <w:rPr>
          <w:rFonts w:ascii="Arial" w:cs="Arial" w:eastAsia="Arial" w:hAnsi="Arial"/>
          <w:sz w:val="13"/>
          <w:szCs w:val="13"/>
          <w:color w:val="808080"/>
        </w:rPr>
        <w:t>+1.203.810.1001</w:t>
      </w:r>
      <w:r>
        <w:rPr>
          <w:rFonts w:ascii="Arial" w:cs="Arial" w:eastAsia="Arial" w:hAnsi="Arial"/>
          <w:sz w:val="13"/>
          <w:szCs w:val="13"/>
          <w:color w:val="00AEEF"/>
        </w:rPr>
        <w:t xml:space="preserve"> </w:t>
      </w:r>
      <w:r>
        <w:rPr>
          <w:rFonts w:ascii="Arial" w:cs="Arial" w:eastAsia="Arial" w:hAnsi="Arial"/>
          <w:sz w:val="13"/>
          <w:szCs w:val="13"/>
          <w:b w:val="1"/>
          <w:bCs w:val="1"/>
          <w:color w:val="808080"/>
        </w:rPr>
        <w:t>7</w:t>
      </w:r>
      <w:r>
        <w:rPr>
          <w:rFonts w:ascii="Arial" w:cs="Arial" w:eastAsia="Arial" w:hAnsi="Arial"/>
          <w:sz w:val="13"/>
          <w:szCs w:val="13"/>
          <w:color w:val="00AEEF"/>
        </w:rPr>
        <w:t xml:space="preserve"> </w:t>
      </w:r>
      <w:r>
        <w:rPr>
          <w:rFonts w:ascii="Arial" w:cs="Arial" w:eastAsia="Arial" w:hAnsi="Arial"/>
          <w:sz w:val="13"/>
          <w:szCs w:val="13"/>
          <w:color w:val="808080"/>
        </w:rPr>
        <w:t>| Page</w:t>
      </w:r>
    </w:p>
    <w:p>
      <w:pPr>
        <w:sectPr>
          <w:pgSz w:w="11900" w:h="16838" w:orient="portrait"/>
          <w:cols w:equalWidth="0" w:num="1">
            <w:col w:w="10219"/>
          </w:cols>
          <w:pgMar w:left="240" w:top="1440"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10.2</w:t>
      </w:r>
    </w:p>
    <w:p>
      <w:pPr>
        <w:spacing w:after="0" w:line="248" w:lineRule="exact"/>
        <w:rPr>
          <w:sz w:val="20"/>
          <w:szCs w:val="20"/>
          <w:color w:val="auto"/>
        </w:rPr>
      </w:pPr>
    </w:p>
    <w:p>
      <w:pPr>
        <w:jc w:val="center"/>
        <w:ind w:left="2220" w:right="2220"/>
        <w:spacing w:after="0" w:line="253" w:lineRule="auto"/>
        <w:rPr>
          <w:sz w:val="20"/>
          <w:szCs w:val="20"/>
          <w:color w:val="auto"/>
        </w:rPr>
      </w:pPr>
      <w:r>
        <w:rPr>
          <w:rFonts w:ascii="Arial" w:cs="Arial" w:eastAsia="Arial" w:hAnsi="Arial"/>
          <w:sz w:val="20"/>
          <w:szCs w:val="20"/>
          <w:b w:val="1"/>
          <w:bCs w:val="1"/>
          <w:u w:val="single" w:color="auto"/>
          <w:color w:val="auto"/>
        </w:rPr>
        <w:t>AVENANT D'EXPATRIATION AU CONTRAT DE TRAVAIL DU 31 MARS 2009 EXPATRIATION ADDENDUM TO THE EMPLOYMENT CONTRACT DATED MARCH 31, 2009</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20"/>
          <w:szCs w:val="20"/>
          <w:i w:val="1"/>
          <w:iCs w:val="1"/>
          <w:color w:val="auto"/>
        </w:rPr>
        <w:t>English version for information purposes only</w:t>
      </w:r>
    </w:p>
    <w:p>
      <w:pPr>
        <w:sectPr>
          <w:pgSz w:w="11900" w:h="16838" w:orient="portrait"/>
          <w:cols w:equalWidth="0" w:num="1">
            <w:col w:w="11400"/>
          </w:cols>
          <w:pgMar w:left="260" w:top="1391"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ENTRE LES SOUSSIGNES</w:t>
      </w:r>
    </w:p>
    <w:p>
      <w:pPr>
        <w:spacing w:after="0" w:line="24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FACTSET France, société à responsabilité limitée, immatriculée au Registre du Commerce et des Sociétés de Paris sous le numéro 345 370 019, dont le siège social est situé 12 rue du Havre à 75009 Paris, représentée par Yves Etienne, en sa qualité de Directeur des Ressources Humaines, EMEA dûment habilité,</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Ci-après désignée « la Société »</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D’UNE PART,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ET</w:t>
      </w:r>
    </w:p>
    <w:p>
      <w:pPr>
        <w:spacing w:after="0" w:line="202" w:lineRule="exact"/>
        <w:rPr>
          <w:sz w:val="20"/>
          <w:szCs w:val="20"/>
          <w:color w:val="auto"/>
        </w:rPr>
      </w:pPr>
    </w:p>
    <w:p>
      <w:pPr>
        <w:ind w:right="1380"/>
        <w:spacing w:after="0" w:line="232" w:lineRule="auto"/>
        <w:rPr>
          <w:sz w:val="20"/>
          <w:szCs w:val="20"/>
          <w:color w:val="auto"/>
        </w:rPr>
      </w:pPr>
      <w:r>
        <w:rPr>
          <w:rFonts w:ascii="Arial" w:cs="Arial" w:eastAsia="Arial" w:hAnsi="Arial"/>
          <w:sz w:val="20"/>
          <w:szCs w:val="20"/>
          <w:b w:val="1"/>
          <w:bCs w:val="1"/>
          <w:color w:val="auto"/>
        </w:rPr>
        <w:t>Monsieur Franck Gossieaux</w:t>
      </w:r>
      <w:r>
        <w:rPr>
          <w:rFonts w:ascii="Arial" w:cs="Arial" w:eastAsia="Arial" w:hAnsi="Arial"/>
          <w:sz w:val="20"/>
          <w:szCs w:val="20"/>
          <w:color w:val="auto"/>
        </w:rPr>
        <w:t>, demeurant 17 rue</w:t>
      </w:r>
      <w:r>
        <w:rPr>
          <w:rFonts w:ascii="Arial" w:cs="Arial" w:eastAsia="Arial" w:hAnsi="Arial"/>
          <w:sz w:val="20"/>
          <w:szCs w:val="20"/>
          <w:b w:val="1"/>
          <w:bCs w:val="1"/>
          <w:color w:val="auto"/>
        </w:rPr>
        <w:t xml:space="preserve"> </w:t>
      </w:r>
      <w:r>
        <w:rPr>
          <w:rFonts w:ascii="Arial" w:cs="Arial" w:eastAsia="Arial" w:hAnsi="Arial"/>
          <w:sz w:val="20"/>
          <w:szCs w:val="20"/>
          <w:color w:val="auto"/>
        </w:rPr>
        <w:t>de la Pompe à 75116 Paris,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Ci-après dénommé « Monsieur Gossieaux »</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D’AUTRE PART.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PREAMBULE</w:t>
      </w:r>
    </w:p>
    <w:p>
      <w:pPr>
        <w:spacing w:after="0" w:line="195"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Monsieur Gossieaux a été engagé par la Société le 31 mars 2009 aux termes d'un contrat de travail à durée indéterminée (ci-après, le "Contrat de Travail"), en qualité de Vice-Président FactSet Partners. Il a en dernier lieu occupé au sein de FactSet France les fonctions de Senior Vice President, Directeur des Ventes, EMEA.</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Son ancienneté est reconnue au 1</w:t>
      </w:r>
      <w:r>
        <w:rPr>
          <w:rFonts w:ascii="Arial" w:cs="Arial" w:eastAsia="Arial" w:hAnsi="Arial"/>
          <w:sz w:val="25"/>
          <w:szCs w:val="25"/>
          <w:color w:val="auto"/>
          <w:vertAlign w:val="superscript"/>
        </w:rPr>
        <w:t>er</w:t>
      </w:r>
      <w:r>
        <w:rPr>
          <w:rFonts w:ascii="Arial" w:cs="Arial" w:eastAsia="Arial" w:hAnsi="Arial"/>
          <w:sz w:val="20"/>
          <w:szCs w:val="20"/>
          <w:color w:val="auto"/>
        </w:rPr>
        <w:t xml:space="preserve"> septembre 1999.</w:t>
      </w:r>
    </w:p>
    <w:p>
      <w:pPr>
        <w:spacing w:after="0" w:line="185"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Monsieur Gossieaux a été expatrié temporairement aux Etats-Unis suivant lettre d'offre du 31 juillet 2017 afin d'y accomplir à compter du 1</w:t>
      </w:r>
      <w:r>
        <w:rPr>
          <w:rFonts w:ascii="Arial" w:cs="Arial" w:eastAsia="Arial" w:hAnsi="Arial"/>
          <w:sz w:val="25"/>
          <w:szCs w:val="25"/>
          <w:color w:val="auto"/>
          <w:vertAlign w:val="superscript"/>
        </w:rPr>
        <w:t>er</w:t>
      </w:r>
      <w:r>
        <w:rPr>
          <w:rFonts w:ascii="Arial" w:cs="Arial" w:eastAsia="Arial" w:hAnsi="Arial"/>
          <w:sz w:val="20"/>
          <w:szCs w:val="20"/>
          <w:color w:val="auto"/>
        </w:rPr>
        <w:t xml:space="preserve"> août 2017 une mission de Senior Vice-Président Ventes - Amériques.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BETWEEN THE UNDERSIGNED</w:t>
      </w:r>
    </w:p>
    <w:p>
      <w:pPr>
        <w:spacing w:after="0" w:line="249" w:lineRule="exact"/>
        <w:rPr>
          <w:sz w:val="20"/>
          <w:szCs w:val="20"/>
          <w:color w:val="auto"/>
        </w:rPr>
      </w:pPr>
    </w:p>
    <w:p>
      <w:pPr>
        <w:jc w:val="both"/>
        <w:ind w:right="700"/>
        <w:spacing w:after="0" w:line="243" w:lineRule="auto"/>
        <w:rPr>
          <w:sz w:val="20"/>
          <w:szCs w:val="20"/>
          <w:color w:val="auto"/>
        </w:rPr>
      </w:pPr>
      <w:r>
        <w:rPr>
          <w:rFonts w:ascii="Arial" w:cs="Arial" w:eastAsia="Arial" w:hAnsi="Arial"/>
          <w:sz w:val="20"/>
          <w:szCs w:val="20"/>
          <w:color w:val="auto"/>
        </w:rPr>
        <w:t>FACTSET France, a limited liability company foreign company, registered with the commercial registry of Paris under number 345 370 019, with its registered office located 12 rue du Havre, at 75009 Paris represented for the purposes hereof by Yves Etienne, in his capacity as Director of Human Resources, EMEA, duly empowered,</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Hereafter referred to as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OF THE FIRST PART,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AND</w:t>
      </w:r>
    </w:p>
    <w:p>
      <w:pPr>
        <w:spacing w:after="0" w:line="202" w:lineRule="exact"/>
        <w:rPr>
          <w:sz w:val="20"/>
          <w:szCs w:val="20"/>
          <w:color w:val="auto"/>
        </w:rPr>
      </w:pPr>
    </w:p>
    <w:p>
      <w:pPr>
        <w:ind w:right="2200"/>
        <w:spacing w:after="0" w:line="232" w:lineRule="auto"/>
        <w:rPr>
          <w:sz w:val="20"/>
          <w:szCs w:val="20"/>
          <w:color w:val="auto"/>
        </w:rPr>
      </w:pPr>
      <w:r>
        <w:rPr>
          <w:rFonts w:ascii="Arial" w:cs="Arial" w:eastAsia="Arial" w:hAnsi="Arial"/>
          <w:sz w:val="20"/>
          <w:szCs w:val="20"/>
          <w:b w:val="1"/>
          <w:bCs w:val="1"/>
          <w:color w:val="auto"/>
        </w:rPr>
        <w:t>Mr. Franck Gossieaux</w:t>
      </w:r>
      <w:r>
        <w:rPr>
          <w:rFonts w:ascii="Arial" w:cs="Arial" w:eastAsia="Arial" w:hAnsi="Arial"/>
          <w:sz w:val="20"/>
          <w:szCs w:val="20"/>
          <w:color w:val="auto"/>
        </w:rPr>
        <w:t>, residing 17 rue de la</w:t>
      </w:r>
      <w:r>
        <w:rPr>
          <w:rFonts w:ascii="Arial" w:cs="Arial" w:eastAsia="Arial" w:hAnsi="Arial"/>
          <w:sz w:val="20"/>
          <w:szCs w:val="20"/>
          <w:b w:val="1"/>
          <w:bCs w:val="1"/>
          <w:color w:val="auto"/>
        </w:rPr>
        <w:t xml:space="preserve"> </w:t>
      </w:r>
      <w:r>
        <w:rPr>
          <w:rFonts w:ascii="Arial" w:cs="Arial" w:eastAsia="Arial" w:hAnsi="Arial"/>
          <w:sz w:val="20"/>
          <w:szCs w:val="20"/>
          <w:color w:val="auto"/>
        </w:rPr>
        <w:t>Pompe, at 75116 Paris,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Hereafter referred to as “Mr. Gossieaux”</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OF THE SECOND PART.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PREAMBLE</w:t>
      </w:r>
    </w:p>
    <w:p>
      <w:pPr>
        <w:spacing w:after="0" w:line="222" w:lineRule="exact"/>
        <w:rPr>
          <w:sz w:val="20"/>
          <w:szCs w:val="20"/>
          <w:color w:val="auto"/>
        </w:rPr>
      </w:pPr>
    </w:p>
    <w:p>
      <w:pPr>
        <w:ind w:right="920"/>
        <w:spacing w:after="0" w:line="321" w:lineRule="auto"/>
        <w:rPr>
          <w:sz w:val="20"/>
          <w:szCs w:val="20"/>
          <w:color w:val="auto"/>
        </w:rPr>
      </w:pPr>
      <w:r>
        <w:rPr>
          <w:rFonts w:ascii="Arial" w:cs="Arial" w:eastAsia="Arial" w:hAnsi="Arial"/>
          <w:sz w:val="16"/>
          <w:szCs w:val="16"/>
          <w:color w:val="auto"/>
        </w:rPr>
        <w:t>Mr. Gossieaux was hired by the Company on March 31, 2009 per the terms of an indefinite term employment agreement (hereinafter the “Employment Contract”) as Vice President FactSet Partners. Lately, he held within FactSet France the position of Senior Vice President, Director of Sales, EMEA.</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His seniority is recognized as of September 1, 1999.</w:t>
      </w:r>
    </w:p>
    <w:p>
      <w:pPr>
        <w:spacing w:after="0" w:line="243" w:lineRule="exact"/>
        <w:rPr>
          <w:sz w:val="20"/>
          <w:szCs w:val="20"/>
          <w:color w:val="auto"/>
        </w:rPr>
      </w:pPr>
    </w:p>
    <w:p>
      <w:pPr>
        <w:ind w:right="700"/>
        <w:spacing w:after="0" w:line="246" w:lineRule="auto"/>
        <w:rPr>
          <w:sz w:val="20"/>
          <w:szCs w:val="20"/>
          <w:color w:val="auto"/>
        </w:rPr>
      </w:pPr>
      <w:r>
        <w:rPr>
          <w:rFonts w:ascii="Arial" w:cs="Arial" w:eastAsia="Arial" w:hAnsi="Arial"/>
          <w:sz w:val="20"/>
          <w:szCs w:val="20"/>
          <w:color w:val="auto"/>
        </w:rPr>
        <w:t>Mr. Gossieaux was expatriated in the United States following an assignment letter dated July 31, 2017 to perform, on a temporary basis, a mission of Senior Vice-President of Sales - Americas.</w:t>
      </w:r>
    </w:p>
    <w:p>
      <w:pPr>
        <w:spacing w:after="0" w:line="200" w:lineRule="exact"/>
        <w:rPr>
          <w:sz w:val="20"/>
          <w:szCs w:val="20"/>
          <w:color w:val="auto"/>
        </w:rPr>
      </w:pPr>
    </w:p>
    <w:p>
      <w:pPr>
        <w:sectPr>
          <w:pgSz w:w="11900" w:h="16838" w:orient="portrait"/>
          <w:cols w:equalWidth="0" w:num="2">
            <w:col w:w="5260" w:space="340"/>
            <w:col w:w="5800"/>
          </w:cols>
          <w:pgMar w:left="260" w:top="139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60" w:top="1391" w:right="239" w:bottom="1440" w:gutter="0" w:footer="0" w:header="0"/>
          <w:type w:val="continuous"/>
        </w:sectPr>
      </w:pPr>
    </w:p>
    <w:bookmarkStart w:id="52" w:name="page53"/>
    <w:bookmarkEnd w:id="52"/>
    <w:p>
      <w:pPr>
        <w:spacing w:after="0" w:line="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Il est aujourd'hui proposé de confier à Monsieur Gossieaux une mission de Directeur des Ventes et Solutions Clients - Monde dans les conditions d'une expatriation, suivant lettre d’offre du 1</w:t>
      </w:r>
      <w:r>
        <w:rPr>
          <w:rFonts w:ascii="Arial" w:cs="Arial" w:eastAsia="Arial" w:hAnsi="Arial"/>
          <w:sz w:val="25"/>
          <w:szCs w:val="25"/>
          <w:color w:val="auto"/>
          <w:vertAlign w:val="superscript"/>
        </w:rPr>
        <w:t>er</w:t>
      </w:r>
      <w:r>
        <w:rPr>
          <w:rFonts w:ascii="Arial" w:cs="Arial" w:eastAsia="Arial" w:hAnsi="Arial"/>
          <w:sz w:val="20"/>
          <w:szCs w:val="20"/>
          <w:color w:val="auto"/>
        </w:rPr>
        <w:t xml:space="preserve"> juin 2019.</w:t>
      </w:r>
    </w:p>
    <w:p>
      <w:pPr>
        <w:spacing w:after="0" w:line="22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Le présent avenant a pour objet de formaliser les conditions dans lesquelles Mr. Gossieaux exécutera cette nouvelle mission.</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Le présent avenant remplace et prévaut sur tout contrat de détachement ou d'expatriation précédemment applicable entre les parties, en ce compris la lettre d’offre du 31 juillet 2107.</w:t>
      </w:r>
    </w:p>
    <w:p>
      <w:pPr>
        <w:spacing w:after="0" w:line="20" w:lineRule="exact"/>
        <w:rPr>
          <w:sz w:val="20"/>
          <w:szCs w:val="20"/>
          <w:color w:val="auto"/>
        </w:rPr>
      </w:pPr>
      <w:r>
        <w:rPr>
          <w:sz w:val="20"/>
          <w:szCs w:val="20"/>
          <w:color w:val="auto"/>
        </w:rPr>
        <w:br w:type="column"/>
      </w:r>
    </w:p>
    <w:p>
      <w:pPr>
        <w:jc w:val="both"/>
        <w:ind w:right="700"/>
        <w:spacing w:after="0" w:line="291" w:lineRule="auto"/>
        <w:rPr>
          <w:sz w:val="20"/>
          <w:szCs w:val="20"/>
          <w:color w:val="auto"/>
        </w:rPr>
      </w:pPr>
      <w:r>
        <w:rPr>
          <w:rFonts w:ascii="Arial" w:cs="Arial" w:eastAsia="Arial" w:hAnsi="Arial"/>
          <w:sz w:val="18"/>
          <w:szCs w:val="18"/>
          <w:color w:val="auto"/>
        </w:rPr>
        <w:t>It is proposed to entrust Mr. Gossieaux, under an assignment letter dated June 1, 2019, with a mission of Global Head of Sales and Client Solutions, under an expatriate status.</w:t>
      </w:r>
    </w:p>
    <w:p>
      <w:pPr>
        <w:spacing w:after="0" w:line="165" w:lineRule="exact"/>
        <w:rPr>
          <w:sz w:val="20"/>
          <w:szCs w:val="20"/>
          <w:color w:val="auto"/>
        </w:rPr>
      </w:pPr>
    </w:p>
    <w:p>
      <w:pPr>
        <w:jc w:val="both"/>
        <w:ind w:right="700"/>
        <w:spacing w:after="0" w:line="250" w:lineRule="auto"/>
        <w:rPr>
          <w:sz w:val="20"/>
          <w:szCs w:val="20"/>
          <w:color w:val="auto"/>
        </w:rPr>
      </w:pPr>
      <w:r>
        <w:rPr>
          <w:rFonts w:ascii="Arial" w:cs="Arial" w:eastAsia="Arial" w:hAnsi="Arial"/>
          <w:sz w:val="20"/>
          <w:szCs w:val="20"/>
          <w:color w:val="auto"/>
        </w:rPr>
        <w:t>This amendment is aimed at formalizing the terms and conditions under which Mr. Gossieaux will perform this new mission.</w:t>
      </w:r>
    </w:p>
    <w:p>
      <w:pPr>
        <w:spacing w:after="0" w:line="200"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color w:val="auto"/>
        </w:rPr>
        <w:t>This amendment replaces and supersedes any previous secondment or expatriation agreement between the parties, including the assignment letter dated July 31, 2017.</w:t>
      </w:r>
    </w:p>
    <w:p>
      <w:pPr>
        <w:spacing w:after="0" w:line="227" w:lineRule="exact"/>
        <w:rPr>
          <w:sz w:val="20"/>
          <w:szCs w:val="20"/>
          <w:color w:val="auto"/>
        </w:rPr>
      </w:pPr>
    </w:p>
    <w:p>
      <w:pPr>
        <w:sectPr>
          <w:pgSz w:w="11900" w:h="16838" w:orient="portrait"/>
          <w:cols w:equalWidth="0" w:num="2">
            <w:col w:w="5260" w:space="340"/>
            <w:col w:w="5800"/>
          </w:cols>
          <w:pgMar w:left="260" w:top="1440" w:right="23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IL A ÉTÉ CONVENU ET ACCEPTE CE QUI SUIT :</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1 - Objet de l'expatriation</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 compter du 1</w:t>
      </w:r>
      <w:r>
        <w:rPr>
          <w:rFonts w:ascii="Arial" w:cs="Arial" w:eastAsia="Arial" w:hAnsi="Arial"/>
          <w:sz w:val="24"/>
          <w:szCs w:val="24"/>
          <w:color w:val="auto"/>
          <w:vertAlign w:val="superscript"/>
        </w:rPr>
        <w:t>er</w:t>
      </w:r>
      <w:r>
        <w:rPr>
          <w:rFonts w:ascii="Arial" w:cs="Arial" w:eastAsia="Arial" w:hAnsi="Arial"/>
          <w:sz w:val="19"/>
          <w:szCs w:val="19"/>
          <w:color w:val="auto"/>
        </w:rPr>
        <w:t xml:space="preserve"> juin 2019, Monsieur Gossieaux occupera la fonction de Directeur des Ventes - Monde dans le cadre d'un contrat d'expatriation avec FactSet Research Systems Inc.</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Les principales missions de Monsieur Gossieaux en qualité de Directeur des Ventes et Solutions Clients - Monde, et les conditions de cette expatriation sont décrites en Annexe 1 ci-dessous.</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Monsieur Gossieaux déclare maîtriser l’anglais et ne pas avoir besoin d'une traduction française de cette lettre de mission.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Le Contrat de Travail de Monsieur Gossieaux sera suspendu pendant la durée de cette expatriation et reprendra cours de façon automatique au terme de cette expatriation, quel qu'en soit le motif.</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 HAS BEEN AGREED AS FOLLOWS :</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1 - Purpose of the expatriation</w:t>
      </w:r>
    </w:p>
    <w:p>
      <w:pPr>
        <w:spacing w:after="0" w:line="249" w:lineRule="exact"/>
        <w:rPr>
          <w:sz w:val="20"/>
          <w:szCs w:val="20"/>
          <w:color w:val="auto"/>
        </w:rPr>
      </w:pPr>
    </w:p>
    <w:p>
      <w:pPr>
        <w:jc w:val="both"/>
        <w:ind w:right="700"/>
        <w:spacing w:after="0" w:line="250" w:lineRule="auto"/>
        <w:rPr>
          <w:sz w:val="20"/>
          <w:szCs w:val="20"/>
          <w:color w:val="auto"/>
        </w:rPr>
      </w:pPr>
      <w:r>
        <w:rPr>
          <w:rFonts w:ascii="Arial" w:cs="Arial" w:eastAsia="Arial" w:hAnsi="Arial"/>
          <w:sz w:val="20"/>
          <w:szCs w:val="20"/>
          <w:color w:val="auto"/>
        </w:rPr>
        <w:t>As of June 1, 2019, Mr. Gossieaux will be performing the role of Global Head of Sales under an expatriation agreement with FactSet Research Systems Inc.</w:t>
      </w:r>
    </w:p>
    <w:p>
      <w:pPr>
        <w:spacing w:after="0" w:line="213" w:lineRule="exact"/>
        <w:rPr>
          <w:sz w:val="20"/>
          <w:szCs w:val="20"/>
          <w:color w:val="auto"/>
        </w:rPr>
      </w:pPr>
    </w:p>
    <w:p>
      <w:pPr>
        <w:jc w:val="both"/>
        <w:ind w:right="700"/>
        <w:spacing w:after="0" w:line="250" w:lineRule="auto"/>
        <w:rPr>
          <w:sz w:val="20"/>
          <w:szCs w:val="20"/>
          <w:color w:val="auto"/>
        </w:rPr>
      </w:pPr>
      <w:r>
        <w:rPr>
          <w:rFonts w:ascii="Arial" w:cs="Arial" w:eastAsia="Arial" w:hAnsi="Arial"/>
          <w:sz w:val="20"/>
          <w:szCs w:val="20"/>
          <w:color w:val="auto"/>
        </w:rPr>
        <w:t>Mr. Gossieaux’ principal missions as Global Head of Sales and Client Solutions and the terms and conditions of this expatriation are described in Annex 1 below.</w:t>
      </w:r>
    </w:p>
    <w:p>
      <w:pPr>
        <w:spacing w:after="0" w:line="213" w:lineRule="exact"/>
        <w:rPr>
          <w:sz w:val="20"/>
          <w:szCs w:val="20"/>
          <w:color w:val="auto"/>
        </w:rPr>
      </w:pPr>
    </w:p>
    <w:p>
      <w:pPr>
        <w:jc w:val="both"/>
        <w:ind w:right="700"/>
        <w:spacing w:after="0" w:line="250" w:lineRule="auto"/>
        <w:rPr>
          <w:sz w:val="20"/>
          <w:szCs w:val="20"/>
          <w:color w:val="auto"/>
        </w:rPr>
      </w:pPr>
      <w:r>
        <w:rPr>
          <w:rFonts w:ascii="Arial" w:cs="Arial" w:eastAsia="Arial" w:hAnsi="Arial"/>
          <w:sz w:val="20"/>
          <w:szCs w:val="20"/>
          <w:color w:val="auto"/>
        </w:rPr>
        <w:t>Given his duties and new assignment, Mr. Gossieaux declares he is fluent in English and does not need a French translation thereof.</w:t>
      </w:r>
    </w:p>
    <w:p>
      <w:pPr>
        <w:spacing w:after="0" w:line="213"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color w:val="auto"/>
        </w:rPr>
        <w:t>Mr. Gossieaux’s Employment Contract will be suspended during this expatriation and will resume automatically upon termination of this expatriation, for whatever reason.</w:t>
      </w:r>
    </w:p>
    <w:p>
      <w:pPr>
        <w:spacing w:after="0" w:line="200" w:lineRule="exact"/>
        <w:rPr>
          <w:sz w:val="20"/>
          <w:szCs w:val="20"/>
          <w:color w:val="auto"/>
        </w:rPr>
      </w:pPr>
    </w:p>
    <w:p>
      <w:pPr>
        <w:sectPr>
          <w:pgSz w:w="11900" w:h="16838" w:orient="portrait"/>
          <w:cols w:equalWidth="0" w:num="2">
            <w:col w:w="5260" w:space="340"/>
            <w:col w:w="5800"/>
          </w:cols>
          <w:pgMar w:left="26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60" w:top="1440" w:right="239" w:bottom="1440" w:gutter="0" w:footer="0" w:header="0"/>
          <w:type w:val="continuous"/>
        </w:sectPr>
      </w:pPr>
    </w:p>
    <w:bookmarkStart w:id="53" w:name="page54"/>
    <w:bookmarkEnd w:id="53"/>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2 - Durée de l'expatriation</w:t>
      </w:r>
    </w:p>
    <w:p>
      <w:pPr>
        <w:spacing w:after="0" w:line="24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Monsieur Gossieaux est expatrié aux Etats-Unis et mis à disposition de la société FactSet Research Systems Inc. pour y exercer les fonctions de Directeur des Ventes et Solutions Clients</w:t>
      </w:r>
    </w:p>
    <w:p>
      <w:pPr>
        <w:ind w:firstLine="6"/>
        <w:spacing w:after="0" w:line="217" w:lineRule="auto"/>
        <w:tabs>
          <w:tab w:leader="none" w:pos="130" w:val="left"/>
        </w:tabs>
        <w:numPr>
          <w:ilvl w:val="0"/>
          <w:numId w:val="30"/>
        </w:numPr>
        <w:rPr>
          <w:rFonts w:ascii="Arial" w:cs="Arial" w:eastAsia="Arial" w:hAnsi="Arial"/>
          <w:sz w:val="20"/>
          <w:szCs w:val="20"/>
          <w:color w:val="auto"/>
        </w:rPr>
      </w:pPr>
      <w:r>
        <w:rPr>
          <w:rFonts w:ascii="Arial" w:cs="Arial" w:eastAsia="Arial" w:hAnsi="Arial"/>
          <w:sz w:val="20"/>
          <w:szCs w:val="20"/>
          <w:color w:val="auto"/>
        </w:rPr>
        <w:t>Monde pour une période de vingt-quatre mois à compter du 1</w:t>
      </w:r>
      <w:r>
        <w:rPr>
          <w:rFonts w:ascii="Arial" w:cs="Arial" w:eastAsia="Arial" w:hAnsi="Arial"/>
          <w:sz w:val="25"/>
          <w:szCs w:val="25"/>
          <w:color w:val="auto"/>
          <w:vertAlign w:val="superscript"/>
        </w:rPr>
        <w:t>er</w:t>
      </w:r>
      <w:r>
        <w:rPr>
          <w:rFonts w:ascii="Arial" w:cs="Arial" w:eastAsia="Arial" w:hAnsi="Arial"/>
          <w:sz w:val="20"/>
          <w:szCs w:val="20"/>
          <w:color w:val="auto"/>
        </w:rPr>
        <w:t xml:space="preserve"> juin 2019.</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Cette période d'expatriation pourra être réduite ou prolongée d'accord parties.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3 - Lieu de travail</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Monsieur Gossieaux exercera le rôle de Directeur des Ventes - Monde à l'adresse ci-après : 90 Park Avenue, à New York, NY 10016 - Etats-Unis.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Il est expressément convenu que la fonction de Directeur des Ventes et Solutions Clients - Monde pourra le cas échéant, pendant ou à l'issue de cette période de deux ans, être relocalisée au sein d'une autre entité du groupe FactSet. Si cette relocalisation est décidée pendant la période de deux ans de la présente expatriation, Mr. Gossieaux en sera informé de ce changement avec un préavis de six (6) mois.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4 – Congés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Les droits à congés payés de Monsieur Gossieaux, pendant toute la durée de son expatriation aux Etats-Unis, seront calculés suivant les termes de son Contrat de travail, savoir 28 jours ouvrés par an, en plus des jours normalement fériés aux Etats-Unis, et à l'exclusion des jours fériés français.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u w:val="single" w:color="auto"/>
          <w:color w:val="auto"/>
        </w:rPr>
        <w:t>ARTICLE 2 – Duration of the expatriation</w:t>
      </w:r>
    </w:p>
    <w:p>
      <w:pPr>
        <w:spacing w:after="0" w:line="249" w:lineRule="exact"/>
        <w:rPr>
          <w:sz w:val="20"/>
          <w:szCs w:val="20"/>
          <w:color w:val="auto"/>
        </w:rPr>
      </w:pPr>
    </w:p>
    <w:p>
      <w:pPr>
        <w:jc w:val="both"/>
        <w:ind w:right="700"/>
        <w:spacing w:after="0" w:line="246" w:lineRule="auto"/>
        <w:rPr>
          <w:sz w:val="20"/>
          <w:szCs w:val="20"/>
          <w:color w:val="auto"/>
        </w:rPr>
      </w:pPr>
      <w:r>
        <w:rPr>
          <w:rFonts w:ascii="Arial" w:cs="Arial" w:eastAsia="Arial" w:hAnsi="Arial"/>
          <w:sz w:val="20"/>
          <w:szCs w:val="20"/>
          <w:color w:val="auto"/>
        </w:rPr>
        <w:t>Mr. Gossieaux is expatriated to the United States and is available to FactSet Research Systems Inc. to hold the role of Global Head of Sales and Client Solutions for a period of twenty-four months as of June 1, 2019.</w:t>
      </w:r>
    </w:p>
    <w:p>
      <w:pPr>
        <w:spacing w:after="0" w:line="219" w:lineRule="exact"/>
        <w:rPr>
          <w:sz w:val="20"/>
          <w:szCs w:val="20"/>
          <w:color w:val="auto"/>
        </w:rPr>
      </w:pPr>
    </w:p>
    <w:p>
      <w:pPr>
        <w:jc w:val="both"/>
        <w:ind w:right="700"/>
        <w:spacing w:after="0" w:line="260" w:lineRule="auto"/>
        <w:rPr>
          <w:sz w:val="20"/>
          <w:szCs w:val="20"/>
          <w:color w:val="auto"/>
        </w:rPr>
      </w:pPr>
      <w:r>
        <w:rPr>
          <w:rFonts w:ascii="Arial" w:cs="Arial" w:eastAsia="Arial" w:hAnsi="Arial"/>
          <w:sz w:val="20"/>
          <w:szCs w:val="20"/>
          <w:color w:val="auto"/>
        </w:rPr>
        <w:t>This period of expatriation may be reduced or increased, subject to the parties’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3 – Place of work</w:t>
      </w:r>
    </w:p>
    <w:p>
      <w:pPr>
        <w:spacing w:after="0" w:line="249" w:lineRule="exact"/>
        <w:rPr>
          <w:sz w:val="20"/>
          <w:szCs w:val="20"/>
          <w:color w:val="auto"/>
        </w:rPr>
      </w:pPr>
    </w:p>
    <w:p>
      <w:pPr>
        <w:jc w:val="both"/>
        <w:ind w:right="700"/>
        <w:spacing w:after="0" w:line="250" w:lineRule="auto"/>
        <w:rPr>
          <w:sz w:val="20"/>
          <w:szCs w:val="20"/>
          <w:color w:val="auto"/>
        </w:rPr>
      </w:pPr>
      <w:r>
        <w:rPr>
          <w:rFonts w:ascii="Arial" w:cs="Arial" w:eastAsia="Arial" w:hAnsi="Arial"/>
          <w:sz w:val="20"/>
          <w:szCs w:val="20"/>
          <w:color w:val="auto"/>
        </w:rPr>
        <w:t xml:space="preserve">Mr. Gossieaux’s place of work as Global Head of Sales will be located at 90 Park Avenue, New York, NY 10016 </w:t>
      </w:r>
      <w:r>
        <w:rPr>
          <w:rFonts w:ascii="Arial" w:cs="Arial" w:eastAsia="Arial" w:hAnsi="Arial"/>
          <w:sz w:val="20"/>
          <w:szCs w:val="20"/>
          <w:i w:val="1"/>
          <w:iCs w:val="1"/>
          <w:color w:val="auto"/>
        </w:rPr>
        <w:t>-</w:t>
      </w:r>
      <w:r>
        <w:rPr>
          <w:rFonts w:ascii="Arial" w:cs="Arial" w:eastAsia="Arial" w:hAnsi="Arial"/>
          <w:sz w:val="20"/>
          <w:szCs w:val="20"/>
          <w:color w:val="auto"/>
        </w:rPr>
        <w:t xml:space="preserve"> United States.</w:t>
      </w:r>
    </w:p>
    <w:p>
      <w:pPr>
        <w:spacing w:after="0" w:line="200" w:lineRule="exact"/>
        <w:rPr>
          <w:sz w:val="20"/>
          <w:szCs w:val="20"/>
          <w:color w:val="auto"/>
        </w:rPr>
      </w:pPr>
    </w:p>
    <w:p>
      <w:pPr>
        <w:spacing w:after="0" w:line="256" w:lineRule="exact"/>
        <w:rPr>
          <w:sz w:val="20"/>
          <w:szCs w:val="20"/>
          <w:color w:val="auto"/>
        </w:rPr>
      </w:pPr>
    </w:p>
    <w:p>
      <w:pPr>
        <w:jc w:val="both"/>
        <w:ind w:right="700"/>
        <w:spacing w:after="0" w:line="243" w:lineRule="auto"/>
        <w:rPr>
          <w:sz w:val="20"/>
          <w:szCs w:val="20"/>
          <w:color w:val="auto"/>
        </w:rPr>
      </w:pPr>
      <w:r>
        <w:rPr>
          <w:rFonts w:ascii="Arial" w:cs="Arial" w:eastAsia="Arial" w:hAnsi="Arial"/>
          <w:sz w:val="20"/>
          <w:szCs w:val="20"/>
          <w:color w:val="auto"/>
        </w:rPr>
        <w:t>It is expressly agreed that this role of Global Head of Sales and Client Solutions may, during or at the expiry of this two-year period, be relocated to another entity of the FactSet group. If this change is implemented during the two-year period of this expatriation, Mr. Gossieaux will be informed of this change with six (6) months’ notice.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4 – Paid vacation</w:t>
      </w:r>
    </w:p>
    <w:p>
      <w:pPr>
        <w:spacing w:after="0" w:line="249" w:lineRule="exact"/>
        <w:rPr>
          <w:sz w:val="20"/>
          <w:szCs w:val="20"/>
          <w:color w:val="auto"/>
        </w:rPr>
      </w:pPr>
    </w:p>
    <w:p>
      <w:pPr>
        <w:jc w:val="both"/>
        <w:ind w:right="700"/>
        <w:spacing w:after="0" w:line="278" w:lineRule="auto"/>
        <w:rPr>
          <w:sz w:val="20"/>
          <w:szCs w:val="20"/>
          <w:color w:val="auto"/>
        </w:rPr>
      </w:pPr>
      <w:r>
        <w:rPr>
          <w:rFonts w:ascii="Arial" w:cs="Arial" w:eastAsia="Arial" w:hAnsi="Arial"/>
          <w:sz w:val="18"/>
          <w:szCs w:val="18"/>
          <w:color w:val="auto"/>
        </w:rPr>
        <w:t>Mr. Gossieaux’s paid vacation entitlements will, during the whole duration of his expatriation in the United States, be calculated pursuant to his Employment contract, meaning 28 business days per year, in addition to the normal bank holidays in the United States excluding any French bank holidays.</w:t>
      </w:r>
    </w:p>
    <w:p>
      <w:pPr>
        <w:spacing w:after="0" w:line="200" w:lineRule="exact"/>
        <w:rPr>
          <w:sz w:val="20"/>
          <w:szCs w:val="20"/>
          <w:color w:val="auto"/>
        </w:rPr>
      </w:pPr>
    </w:p>
    <w:p>
      <w:pPr>
        <w:sectPr>
          <w:pgSz w:w="11900" w:h="16838" w:orient="portrait"/>
          <w:cols w:equalWidth="0" w:num="2">
            <w:col w:w="5260" w:space="340"/>
            <w:col w:w="5800"/>
          </w:cols>
          <w:pgMar w:left="26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60" w:top="1440" w:right="239" w:bottom="1440" w:gutter="0" w:footer="0" w:header="0"/>
          <w:type w:val="continuous"/>
        </w:sectPr>
      </w:pPr>
    </w:p>
    <w:bookmarkStart w:id="54" w:name="page55"/>
    <w:bookmarkEnd w:id="54"/>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5 - Maladie, chômage, retraite et prévoyance</w:t>
      </w:r>
    </w:p>
    <w:p>
      <w:pPr>
        <w:spacing w:after="0" w:line="24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Pendant son expatriation, le Salarié continuera à bénéficier des couvertures de retraite et chômage. La Société versera pendant l'intégralité de la période d'expatriation les parts salariales et patronales des cotisations aux régimes de retraite de base et complémentaires (AGIRC et ARCCO) et de chômage.</w:t>
      </w:r>
    </w:p>
    <w:p>
      <w:pPr>
        <w:spacing w:after="0" w:line="200" w:lineRule="exact"/>
        <w:rPr>
          <w:sz w:val="20"/>
          <w:szCs w:val="20"/>
          <w:color w:val="auto"/>
        </w:rPr>
      </w:pP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Les cotisations à ces régimes d'assurance retraite et chômage seront calculées sur le salaire habituel de base de Monsieur Gossieaux ainsi que sur tout bonus reçus durant son expatriation</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.Aucune cotisation ne sera due sur les attributions et gains de stock options ou autre rémunération de même nature et sur les avantages spécifiques à l’ expatriation.</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S'agissant de l'assurance maladie et prévoyance, Monsieur Gossieaux bénéficiera, pendant la durée de son expatriation, de la couverture américaine souscrite par le groupe FactSet.</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La Société prendra également à sa charge le versement des cotisations à la Caisse des Français à l'Etranger (CFE) pour la retraite de base.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En cas d'accident du travail, Monsieur Gossieaux devra informer la Société au plus tard dans les vingt-quatre heures par lettre recommandée.</w:t>
      </w:r>
    </w:p>
    <w:p>
      <w:pPr>
        <w:spacing w:after="0" w:line="20" w:lineRule="exact"/>
        <w:rPr>
          <w:sz w:val="20"/>
          <w:szCs w:val="20"/>
          <w:color w:val="auto"/>
        </w:rPr>
      </w:pPr>
      <w:r>
        <w:rPr>
          <w:sz w:val="20"/>
          <w:szCs w:val="20"/>
          <w:color w:val="auto"/>
        </w:rPr>
        <w:br w:type="column"/>
      </w:r>
    </w:p>
    <w:p>
      <w:pPr>
        <w:jc w:val="both"/>
        <w:ind w:right="700"/>
        <w:spacing w:after="0" w:line="267" w:lineRule="auto"/>
        <w:rPr>
          <w:sz w:val="20"/>
          <w:szCs w:val="20"/>
          <w:color w:val="auto"/>
        </w:rPr>
      </w:pPr>
      <w:r>
        <w:rPr>
          <w:rFonts w:ascii="Arial" w:cs="Arial" w:eastAsia="Arial" w:hAnsi="Arial"/>
          <w:sz w:val="20"/>
          <w:szCs w:val="20"/>
          <w:b w:val="1"/>
          <w:bCs w:val="1"/>
          <w:u w:val="single" w:color="auto"/>
          <w:color w:val="auto"/>
        </w:rPr>
        <w:t>ARTICLE 5 - Sickness, unemployment, retirement and welfare</w:t>
      </w:r>
    </w:p>
    <w:p>
      <w:pPr>
        <w:spacing w:after="0" w:line="197" w:lineRule="exact"/>
        <w:rPr>
          <w:sz w:val="20"/>
          <w:szCs w:val="20"/>
          <w:color w:val="auto"/>
        </w:rPr>
      </w:pPr>
    </w:p>
    <w:p>
      <w:pPr>
        <w:jc w:val="both"/>
        <w:ind w:right="700"/>
        <w:spacing w:after="0" w:line="276" w:lineRule="auto"/>
        <w:rPr>
          <w:sz w:val="20"/>
          <w:szCs w:val="20"/>
          <w:color w:val="auto"/>
        </w:rPr>
      </w:pPr>
      <w:r>
        <w:rPr>
          <w:rFonts w:ascii="Arial" w:cs="Arial" w:eastAsia="Arial" w:hAnsi="Arial"/>
          <w:sz w:val="18"/>
          <w:szCs w:val="18"/>
          <w:color w:val="auto"/>
        </w:rPr>
        <w:t>During the expatriation, the Employee will continue to benefit from retirement and unemployment coverages. The Company will throughout the expatriation period pay the contributions (both the employee and the employer parts) to the retirement of basic pension plan and supplementary (AGIRC et ARCCO) and unemployment state insurance schemes.</w:t>
      </w:r>
    </w:p>
    <w:p>
      <w:pPr>
        <w:spacing w:after="0" w:line="192" w:lineRule="exact"/>
        <w:rPr>
          <w:sz w:val="20"/>
          <w:szCs w:val="20"/>
          <w:color w:val="auto"/>
        </w:rPr>
      </w:pPr>
    </w:p>
    <w:p>
      <w:pPr>
        <w:jc w:val="both"/>
        <w:ind w:right="700"/>
        <w:spacing w:after="0" w:line="278" w:lineRule="auto"/>
        <w:rPr>
          <w:sz w:val="20"/>
          <w:szCs w:val="20"/>
          <w:color w:val="auto"/>
        </w:rPr>
      </w:pPr>
      <w:r>
        <w:rPr>
          <w:rFonts w:ascii="Arial" w:cs="Arial" w:eastAsia="Arial" w:hAnsi="Arial"/>
          <w:sz w:val="18"/>
          <w:szCs w:val="18"/>
          <w:color w:val="auto"/>
        </w:rPr>
        <w:t>The contributions to the above insurance schemes will be calculated based on Mr. Gossieaux’s usual base salary plus any bonus received during the expatriation. No contributions will be due on the grants and the gains of stock options or other similar nature or on any benefits specific to the expatriation.</w:t>
      </w:r>
    </w:p>
    <w:p>
      <w:pPr>
        <w:spacing w:after="0" w:line="192" w:lineRule="exact"/>
        <w:rPr>
          <w:sz w:val="20"/>
          <w:szCs w:val="20"/>
          <w:color w:val="auto"/>
        </w:rPr>
      </w:pPr>
    </w:p>
    <w:p>
      <w:pPr>
        <w:jc w:val="both"/>
        <w:ind w:right="700"/>
        <w:spacing w:after="0" w:line="250" w:lineRule="auto"/>
        <w:rPr>
          <w:sz w:val="20"/>
          <w:szCs w:val="20"/>
          <w:color w:val="auto"/>
        </w:rPr>
      </w:pPr>
      <w:r>
        <w:rPr>
          <w:rFonts w:ascii="Arial" w:cs="Arial" w:eastAsia="Arial" w:hAnsi="Arial"/>
          <w:sz w:val="20"/>
          <w:szCs w:val="20"/>
          <w:color w:val="auto"/>
        </w:rPr>
        <w:t>Regarding the health and disability insurance, Mr. Gossieaux will benefit, for the duration of his expatriation, from the US coverage subscribed by the FactSet group.</w:t>
      </w:r>
    </w:p>
    <w:p>
      <w:pPr>
        <w:spacing w:after="0" w:line="213" w:lineRule="exact"/>
        <w:rPr>
          <w:sz w:val="20"/>
          <w:szCs w:val="20"/>
          <w:color w:val="auto"/>
        </w:rPr>
      </w:pPr>
    </w:p>
    <w:p>
      <w:pPr>
        <w:jc w:val="both"/>
        <w:ind w:right="700"/>
        <w:spacing w:after="0" w:line="316" w:lineRule="auto"/>
        <w:rPr>
          <w:sz w:val="20"/>
          <w:szCs w:val="20"/>
          <w:color w:val="auto"/>
        </w:rPr>
      </w:pPr>
      <w:r>
        <w:rPr>
          <w:rFonts w:ascii="Arial" w:cs="Arial" w:eastAsia="Arial" w:hAnsi="Arial"/>
          <w:sz w:val="18"/>
          <w:szCs w:val="18"/>
          <w:color w:val="auto"/>
        </w:rPr>
        <w:t>The Company will also pay for the contributions to the Caisse des Français à l'Etranger (CFE) for the basic pension plan.</w:t>
      </w:r>
    </w:p>
    <w:p>
      <w:pPr>
        <w:spacing w:after="0" w:line="157"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color w:val="auto"/>
        </w:rPr>
        <w:t>In case of a work accident, Mr. Gossieaux shall inform the Company at the latest within twenty-four hours, by registered letter with acknowledgement of receipt requested.</w:t>
      </w:r>
    </w:p>
    <w:p>
      <w:pPr>
        <w:spacing w:after="0" w:line="427" w:lineRule="exact"/>
        <w:rPr>
          <w:sz w:val="20"/>
          <w:szCs w:val="20"/>
          <w:color w:val="auto"/>
        </w:rPr>
      </w:pPr>
    </w:p>
    <w:p>
      <w:pPr>
        <w:sectPr>
          <w:pgSz w:w="11900" w:h="16838" w:orient="portrait"/>
          <w:cols w:equalWidth="0" w:num="2">
            <w:col w:w="5260" w:space="340"/>
            <w:col w:w="5800"/>
          </w:cols>
          <w:pgMar w:left="260" w:top="1440" w:right="239"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6 - Fin de l'expatriation</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l'issue de la période d'expatriation, et sous réserve de la performance de Monsieur Gossieaux, l'objectif est de le rapatrier en France sur un poste au moins équivalent au poste qu'il occupait pendant la période d'expatriation.</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6 - End of the expatriation</w:t>
      </w:r>
    </w:p>
    <w:p>
      <w:pPr>
        <w:spacing w:after="0" w:line="249" w:lineRule="exact"/>
        <w:rPr>
          <w:sz w:val="20"/>
          <w:szCs w:val="20"/>
          <w:color w:val="auto"/>
        </w:rPr>
      </w:pPr>
    </w:p>
    <w:p>
      <w:pPr>
        <w:jc w:val="both"/>
        <w:ind w:right="700"/>
        <w:spacing w:after="0" w:line="246" w:lineRule="auto"/>
        <w:rPr>
          <w:sz w:val="20"/>
          <w:szCs w:val="20"/>
          <w:color w:val="auto"/>
        </w:rPr>
      </w:pPr>
      <w:r>
        <w:rPr>
          <w:rFonts w:ascii="Arial" w:cs="Arial" w:eastAsia="Arial" w:hAnsi="Arial"/>
          <w:sz w:val="20"/>
          <w:szCs w:val="20"/>
          <w:color w:val="auto"/>
        </w:rPr>
        <w:t>At the end of the expatriation period, and subject to the performance of Mr. Gossieaux, the ambition is to repatriate him in France in a position at least equivalent to his current role during the expatriation period.</w:t>
      </w:r>
    </w:p>
    <w:p>
      <w:pPr>
        <w:spacing w:after="0" w:line="200" w:lineRule="exact"/>
        <w:rPr>
          <w:sz w:val="20"/>
          <w:szCs w:val="20"/>
          <w:color w:val="auto"/>
        </w:rPr>
      </w:pPr>
    </w:p>
    <w:p>
      <w:pPr>
        <w:sectPr>
          <w:pgSz w:w="11900" w:h="16838" w:orient="portrait"/>
          <w:cols w:equalWidth="0" w:num="2">
            <w:col w:w="5260" w:space="340"/>
            <w:col w:w="5800"/>
          </w:cols>
          <w:pgMar w:left="26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60" w:top="1440"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u w:val="single" w:color="auto"/>
          <w:color w:val="auto"/>
        </w:rPr>
        <w:t>ARTICLE 7 – Langue</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La version définitive du présent avenant qui lie les parties est la version française, la version anglaise de cet avenant n’étant fournie qu’à titre d’information. En cas de contradiction entre les versions française et anglaise, la version française prévaudra, à l'exception des Annexes.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u w:val="single" w:color="auto"/>
          <w:color w:val="auto"/>
        </w:rPr>
        <w:t>ARTICLE 7 – Language</w:t>
      </w:r>
    </w:p>
    <w:p>
      <w:pPr>
        <w:spacing w:after="0" w:line="249" w:lineRule="exact"/>
        <w:rPr>
          <w:sz w:val="20"/>
          <w:szCs w:val="20"/>
          <w:color w:val="auto"/>
        </w:rPr>
      </w:pPr>
    </w:p>
    <w:p>
      <w:pPr>
        <w:jc w:val="both"/>
        <w:ind w:right="700"/>
        <w:spacing w:after="0" w:line="260" w:lineRule="auto"/>
        <w:rPr>
          <w:sz w:val="20"/>
          <w:szCs w:val="20"/>
          <w:color w:val="auto"/>
        </w:rPr>
      </w:pPr>
      <w:r>
        <w:rPr>
          <w:rFonts w:ascii="Arial" w:cs="Arial" w:eastAsia="Arial" w:hAnsi="Arial"/>
          <w:sz w:val="19"/>
          <w:szCs w:val="19"/>
          <w:color w:val="auto"/>
        </w:rPr>
        <w:t>The definitive version of this amendment that binds the parties is the French language version, the English version being provided for information purposes only. In the event of a contradiction between the two versions, the French version shall prevail, with the exception of the Annexes.</w:t>
      </w:r>
    </w:p>
    <w:p>
      <w:pPr>
        <w:spacing w:after="0" w:line="200" w:lineRule="exact"/>
        <w:rPr>
          <w:sz w:val="20"/>
          <w:szCs w:val="20"/>
          <w:color w:val="auto"/>
        </w:rPr>
      </w:pPr>
    </w:p>
    <w:p>
      <w:pPr>
        <w:sectPr>
          <w:pgSz w:w="11900" w:h="16838" w:orient="portrait"/>
          <w:cols w:equalWidth="0" w:num="2">
            <w:col w:w="5160" w:space="440"/>
            <w:col w:w="5800"/>
          </w:cols>
          <w:pgMar w:left="260" w:top="1427"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8 - Loi applicable</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Les conditions générales du présent avenant au Contrat de travail de Monsieur Gossieaux sont régies par la législation française, mais il est bien précisé que durant la période de mise à disposition, il est soumis à la législation des Etats-Unis d’Amériques.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8 - Applicable law</w:t>
      </w:r>
    </w:p>
    <w:p>
      <w:pPr>
        <w:spacing w:after="0" w:line="249" w:lineRule="exact"/>
        <w:rPr>
          <w:sz w:val="20"/>
          <w:szCs w:val="20"/>
          <w:color w:val="auto"/>
        </w:rPr>
      </w:pPr>
    </w:p>
    <w:p>
      <w:pPr>
        <w:jc w:val="both"/>
        <w:ind w:right="700"/>
        <w:spacing w:after="0" w:line="263" w:lineRule="auto"/>
        <w:rPr>
          <w:sz w:val="20"/>
          <w:szCs w:val="20"/>
          <w:color w:val="auto"/>
        </w:rPr>
      </w:pPr>
      <w:r>
        <w:rPr>
          <w:rFonts w:ascii="Arial" w:cs="Arial" w:eastAsia="Arial" w:hAnsi="Arial"/>
          <w:sz w:val="19"/>
          <w:szCs w:val="19"/>
          <w:color w:val="auto"/>
        </w:rPr>
        <w:t>The terms and conditions of this addendum to Mr. Gossieaux’s Employment Contract shall be governed by French law, however during the period of the expatriation, Mr. Gossieaux’s employment will be subject to US law.</w:t>
      </w:r>
    </w:p>
    <w:p>
      <w:pPr>
        <w:spacing w:after="0" w:line="411" w:lineRule="exact"/>
        <w:rPr>
          <w:sz w:val="20"/>
          <w:szCs w:val="20"/>
          <w:color w:val="auto"/>
        </w:rPr>
      </w:pPr>
    </w:p>
    <w:p>
      <w:pPr>
        <w:sectPr>
          <w:pgSz w:w="11900" w:h="16838" w:orient="portrait"/>
          <w:cols w:equalWidth="0" w:num="2">
            <w:col w:w="5260" w:space="340"/>
            <w:col w:w="5800"/>
          </w:cols>
          <w:pgMar w:left="260" w:top="1427"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9 - Divers</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Les autres dispositions du Contrat de Travail demeurent inchangées. Les stipulations ci-dessus remplacent, à compter de la signature du présent Avenant, toute stipulation identique ou similaire conclue entre la Société et le Salarié</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En double exemplaire / In duplicate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YVES ETIENNE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Yves Etienne</w:t>
      </w:r>
    </w:p>
    <w:p>
      <w:pPr>
        <w:spacing w:after="0"/>
        <w:rPr>
          <w:sz w:val="20"/>
          <w:szCs w:val="20"/>
          <w:color w:val="auto"/>
        </w:rPr>
      </w:pPr>
      <w:r>
        <w:rPr>
          <w:rFonts w:ascii="Arial" w:cs="Arial" w:eastAsia="Arial" w:hAnsi="Arial"/>
          <w:sz w:val="20"/>
          <w:szCs w:val="20"/>
          <w:color w:val="auto"/>
        </w:rPr>
        <w:t>Pour la Société / For the Company,</w:t>
      </w:r>
    </w:p>
    <w:p>
      <w:pPr>
        <w:spacing w:after="0" w:line="234" w:lineRule="exact"/>
        <w:rPr>
          <w:sz w:val="20"/>
          <w:szCs w:val="20"/>
          <w:color w:val="auto"/>
        </w:rPr>
      </w:pPr>
    </w:p>
    <w:p>
      <w:pPr>
        <w:ind w:right="560"/>
        <w:spacing w:after="0" w:line="255" w:lineRule="auto"/>
        <w:rPr>
          <w:sz w:val="20"/>
          <w:szCs w:val="20"/>
          <w:color w:val="auto"/>
        </w:rPr>
      </w:pPr>
      <w:r>
        <w:rPr>
          <w:rFonts w:ascii="Arial" w:cs="Arial" w:eastAsia="Arial" w:hAnsi="Arial"/>
          <w:sz w:val="16"/>
          <w:szCs w:val="16"/>
          <w:color w:val="auto"/>
        </w:rPr>
        <w:t>*(Chaque page doit être paraphée et les signatures ci-dessus doivent être précédées de la mention manuscrite suivante:</w:t>
      </w:r>
    </w:p>
    <w:p>
      <w:pPr>
        <w:spacing w:after="0" w:line="1" w:lineRule="exact"/>
        <w:rPr>
          <w:sz w:val="20"/>
          <w:szCs w:val="20"/>
          <w:color w:val="auto"/>
        </w:rPr>
      </w:pPr>
    </w:p>
    <w:p>
      <w:pPr>
        <w:ind w:left="120" w:hanging="114"/>
        <w:spacing w:after="0"/>
        <w:tabs>
          <w:tab w:leader="none" w:pos="12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Lu et approuvé, bon pour accord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9 - Miscellaneous</w:t>
      </w:r>
    </w:p>
    <w:p>
      <w:pPr>
        <w:spacing w:after="0" w:line="235" w:lineRule="exact"/>
        <w:rPr>
          <w:sz w:val="20"/>
          <w:szCs w:val="20"/>
          <w:color w:val="auto"/>
        </w:rPr>
      </w:pPr>
    </w:p>
    <w:p>
      <w:pPr>
        <w:jc w:val="both"/>
        <w:ind w:right="700"/>
        <w:spacing w:after="0" w:line="210" w:lineRule="auto"/>
        <w:rPr>
          <w:sz w:val="20"/>
          <w:szCs w:val="20"/>
          <w:color w:val="auto"/>
        </w:rPr>
      </w:pPr>
      <w:r>
        <w:rPr>
          <w:rFonts w:ascii="Arial" w:cs="Arial" w:eastAsia="Arial" w:hAnsi="Arial"/>
          <w:sz w:val="20"/>
          <w:szCs w:val="20"/>
          <w:color w:val="auto"/>
        </w:rPr>
        <w:t>All other provisions of the Employment Agreement remain unchanged. The above provisions shall supersede, as from the date of signature of this Amendment, any and all identical or similar provisions entered into between the Company and the Employee.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In/A </w:t>
      </w:r>
      <w:r>
        <w:rPr>
          <w:rFonts w:ascii="Arial" w:cs="Arial" w:eastAsia="Arial" w:hAnsi="Arial"/>
          <w:sz w:val="20"/>
          <w:szCs w:val="20"/>
          <w:u w:val="single" w:color="auto"/>
          <w:color w:val="auto"/>
        </w:rPr>
        <w:t>Paris</w:t>
      </w:r>
      <w:r>
        <w:rPr>
          <w:rFonts w:ascii="Arial" w:cs="Arial" w:eastAsia="Arial" w:hAnsi="Arial"/>
          <w:sz w:val="20"/>
          <w:szCs w:val="20"/>
          <w:color w:val="auto"/>
        </w:rPr>
        <w:t xml:space="preserve"> On/Le </w:t>
      </w:r>
      <w:r>
        <w:rPr>
          <w:rFonts w:ascii="Arial" w:cs="Arial" w:eastAsia="Arial" w:hAnsi="Arial"/>
          <w:sz w:val="20"/>
          <w:szCs w:val="20"/>
          <w:u w:val="single" w:color="auto"/>
          <w:color w:val="auto"/>
        </w:rPr>
        <w:t>01/06/2019</w:t>
      </w:r>
      <w:r>
        <w:rPr>
          <w:rFonts w:ascii="Arial" w:cs="Arial" w:eastAsia="Arial" w:hAnsi="Arial"/>
          <w:sz w:val="20"/>
          <w:szCs w:val="20"/>
          <w:color w:val="auto"/>
        </w:rPr>
        <w: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FRANCK GOSSIEAUX</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Franck Gossieaux*</w:t>
      </w:r>
    </w:p>
    <w:p>
      <w:pPr>
        <w:spacing w:after="0" w:line="200" w:lineRule="exact"/>
        <w:rPr>
          <w:sz w:val="20"/>
          <w:szCs w:val="20"/>
          <w:color w:val="auto"/>
        </w:rPr>
      </w:pPr>
    </w:p>
    <w:p>
      <w:pPr>
        <w:spacing w:after="0" w:line="268" w:lineRule="exact"/>
        <w:rPr>
          <w:sz w:val="20"/>
          <w:szCs w:val="20"/>
          <w:color w:val="auto"/>
        </w:rPr>
      </w:pPr>
    </w:p>
    <w:p>
      <w:pPr>
        <w:ind w:right="1120"/>
        <w:spacing w:after="0" w:line="250" w:lineRule="auto"/>
        <w:rPr>
          <w:sz w:val="20"/>
          <w:szCs w:val="20"/>
          <w:color w:val="auto"/>
        </w:rPr>
      </w:pPr>
      <w:r>
        <w:rPr>
          <w:rFonts w:ascii="Arial" w:cs="Arial" w:eastAsia="Arial" w:hAnsi="Arial"/>
          <w:sz w:val="14"/>
          <w:szCs w:val="14"/>
          <w:color w:val="auto"/>
        </w:rPr>
        <w:t>*(Each page must be initialized and on the last page the above signatures must be preceded by the following handwritten words: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“read and approved, good for agreement” </w:t>
      </w:r>
      <w:r>
        <w:rPr>
          <w:rFonts w:ascii="Arial" w:cs="Arial" w:eastAsia="Arial" w:hAnsi="Arial"/>
          <w:sz w:val="14"/>
          <w:szCs w:val="14"/>
          <w:color w:val="auto"/>
        </w:rPr>
        <w:t>in French)</w:t>
      </w:r>
    </w:p>
    <w:p>
      <w:pPr>
        <w:spacing w:after="0" w:line="274" w:lineRule="exact"/>
        <w:rPr>
          <w:sz w:val="20"/>
          <w:szCs w:val="20"/>
          <w:color w:val="auto"/>
        </w:rPr>
      </w:pPr>
    </w:p>
    <w:p>
      <w:pPr>
        <w:sectPr>
          <w:pgSz w:w="11900" w:h="16838" w:orient="portrait"/>
          <w:cols w:equalWidth="0" w:num="2">
            <w:col w:w="5260" w:space="340"/>
            <w:col w:w="5800"/>
          </w:cols>
          <w:pgMar w:left="260" w:top="14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3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60" w:top="1427" w:right="239" w:bottom="1440" w:gutter="0" w:footer="0" w:header="0"/>
          <w:type w:val="continuous"/>
        </w:sectPr>
      </w:pPr>
    </w:p>
    <w:bookmarkStart w:id="56" w:name="page57"/>
    <w:bookmarkEnd w:id="56"/>
    <w:p>
      <w:pPr>
        <w:spacing w:after="0" w:line="1" w:lineRule="exact"/>
        <w:rPr>
          <w:sz w:val="20"/>
          <w:szCs w:val="20"/>
          <w:color w:val="auto"/>
        </w:rPr>
      </w:pPr>
    </w:p>
    <w:p>
      <w:pPr>
        <w:ind w:left="234" w:right="40" w:hanging="234"/>
        <w:spacing w:after="0" w:line="253"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ANNEXE 1 : RESPONSABILITÉS DU RÔLE DE DIRECTEUR DES VENTES ET SOLUTIONS CLIENTS - MONDE</w:t>
      </w:r>
    </w:p>
    <w:p>
      <w:pPr>
        <w:spacing w:after="0" w:line="251" w:lineRule="exact"/>
        <w:rPr>
          <w:rFonts w:ascii="Arial" w:cs="Arial" w:eastAsia="Arial" w:hAnsi="Arial"/>
          <w:sz w:val="20"/>
          <w:szCs w:val="20"/>
          <w:color w:val="auto"/>
        </w:rPr>
      </w:pPr>
    </w:p>
    <w:p>
      <w:pPr>
        <w:ind w:left="234" w:right="60" w:hanging="234"/>
        <w:spacing w:after="0" w:line="205"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Diriger une équipe de Ventes et de Solutions Clients de classe mondiale.</w:t>
      </w:r>
    </w:p>
    <w:p>
      <w:pPr>
        <w:spacing w:after="0" w:line="1" w:lineRule="exact"/>
        <w:rPr>
          <w:rFonts w:ascii="Arial" w:cs="Arial" w:eastAsia="Arial" w:hAnsi="Arial"/>
          <w:sz w:val="20"/>
          <w:szCs w:val="20"/>
          <w:color w:val="auto"/>
        </w:rPr>
      </w:pPr>
    </w:p>
    <w:p>
      <w:pPr>
        <w:ind w:left="234" w:right="880"/>
        <w:spacing w:after="0" w:line="197" w:lineRule="auto"/>
        <w:rPr>
          <w:rFonts w:ascii="Arial" w:cs="Arial" w:eastAsia="Arial" w:hAnsi="Arial"/>
          <w:sz w:val="20"/>
          <w:szCs w:val="20"/>
          <w:color w:val="auto"/>
        </w:rPr>
      </w:pPr>
      <w:r>
        <w:rPr>
          <w:rFonts w:ascii="Arial" w:cs="Arial" w:eastAsia="Arial" w:hAnsi="Arial"/>
          <w:sz w:val="20"/>
          <w:szCs w:val="20"/>
          <w:color w:val="auto"/>
        </w:rPr>
        <w:t>Assurer le succès grâce au leadership stratégique et opérationnel d'une équipe</w:t>
      </w:r>
    </w:p>
    <w:p>
      <w:pPr>
        <w:ind w:left="234"/>
        <w:spacing w:after="0"/>
        <w:rPr>
          <w:rFonts w:ascii="Arial" w:cs="Arial" w:eastAsia="Arial" w:hAnsi="Arial"/>
          <w:sz w:val="20"/>
          <w:szCs w:val="20"/>
          <w:color w:val="auto"/>
        </w:rPr>
      </w:pPr>
      <w:r>
        <w:rPr>
          <w:rFonts w:ascii="Arial" w:cs="Arial" w:eastAsia="Arial" w:hAnsi="Arial"/>
          <w:sz w:val="20"/>
          <w:szCs w:val="20"/>
          <w:color w:val="auto"/>
        </w:rPr>
        <w:t>mondiale.</w:t>
      </w:r>
    </w:p>
    <w:p>
      <w:pPr>
        <w:spacing w:after="0" w:line="10" w:lineRule="exact"/>
        <w:rPr>
          <w:rFonts w:ascii="Arial" w:cs="Arial" w:eastAsia="Arial" w:hAnsi="Arial"/>
          <w:sz w:val="20"/>
          <w:szCs w:val="20"/>
          <w:color w:val="auto"/>
        </w:rPr>
      </w:pPr>
    </w:p>
    <w:p>
      <w:pPr>
        <w:ind w:left="234" w:right="320" w:hanging="234"/>
        <w:spacing w:after="0" w:line="247"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Formuler une vision stratégique claire de la croissance des ventes qui inspire et</w:t>
      </w:r>
    </w:p>
    <w:p>
      <w:pPr>
        <w:spacing w:after="0" w:line="1" w:lineRule="exact"/>
        <w:rPr>
          <w:rFonts w:ascii="Arial" w:cs="Arial" w:eastAsia="Arial" w:hAnsi="Arial"/>
          <w:sz w:val="20"/>
          <w:szCs w:val="20"/>
          <w:color w:val="auto"/>
        </w:rPr>
      </w:pPr>
    </w:p>
    <w:p>
      <w:pPr>
        <w:ind w:left="234"/>
        <w:spacing w:after="0"/>
        <w:rPr>
          <w:rFonts w:ascii="Arial" w:cs="Arial" w:eastAsia="Arial" w:hAnsi="Arial"/>
          <w:sz w:val="20"/>
          <w:szCs w:val="20"/>
          <w:color w:val="auto"/>
        </w:rPr>
      </w:pPr>
      <w:r>
        <w:rPr>
          <w:rFonts w:ascii="Arial" w:cs="Arial" w:eastAsia="Arial" w:hAnsi="Arial"/>
          <w:sz w:val="20"/>
          <w:szCs w:val="20"/>
          <w:color w:val="auto"/>
        </w:rPr>
        <w:t>engage les équipes de GSCS et donne des résultats.</w:t>
      </w:r>
    </w:p>
    <w:p>
      <w:pPr>
        <w:spacing w:after="0" w:line="37" w:lineRule="exact"/>
        <w:rPr>
          <w:rFonts w:ascii="Arial" w:cs="Arial" w:eastAsia="Arial" w:hAnsi="Arial"/>
          <w:sz w:val="20"/>
          <w:szCs w:val="20"/>
          <w:color w:val="auto"/>
        </w:rPr>
      </w:pPr>
    </w:p>
    <w:p>
      <w:pPr>
        <w:ind w:left="234" w:right="240" w:hanging="234"/>
        <w:spacing w:after="0" w:line="247"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En tant que visage de l'organisation commerciale, avoir des interactions</w:t>
      </w:r>
    </w:p>
    <w:p>
      <w:pPr>
        <w:spacing w:after="0" w:line="1" w:lineRule="exact"/>
        <w:rPr>
          <w:rFonts w:ascii="Arial" w:cs="Arial" w:eastAsia="Arial" w:hAnsi="Arial"/>
          <w:sz w:val="20"/>
          <w:szCs w:val="20"/>
          <w:color w:val="auto"/>
        </w:rPr>
      </w:pPr>
    </w:p>
    <w:p>
      <w:pPr>
        <w:ind w:left="234"/>
        <w:spacing w:after="0" w:line="288" w:lineRule="auto"/>
        <w:rPr>
          <w:rFonts w:ascii="Arial" w:cs="Arial" w:eastAsia="Arial" w:hAnsi="Arial"/>
          <w:sz w:val="20"/>
          <w:szCs w:val="20"/>
          <w:color w:val="auto"/>
        </w:rPr>
      </w:pPr>
      <w:r>
        <w:rPr>
          <w:rFonts w:ascii="Arial" w:cs="Arial" w:eastAsia="Arial" w:hAnsi="Arial"/>
          <w:sz w:val="18"/>
          <w:szCs w:val="18"/>
          <w:color w:val="auto"/>
        </w:rPr>
        <w:t>fréquentes avec les prospects, clients et partenaires clés. Aider à orienter les négociations avec les principaux clients.</w:t>
      </w:r>
    </w:p>
    <w:p>
      <w:pPr>
        <w:ind w:left="234" w:hanging="234"/>
        <w:spacing w:after="0" w:line="247"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Travailler en partenariat avec les responsables des Spécialistes SBU afin</w:t>
      </w:r>
    </w:p>
    <w:p>
      <w:pPr>
        <w:spacing w:after="0" w:line="1" w:lineRule="exact"/>
        <w:rPr>
          <w:rFonts w:ascii="Arial" w:cs="Arial" w:eastAsia="Arial" w:hAnsi="Arial"/>
          <w:sz w:val="20"/>
          <w:szCs w:val="20"/>
          <w:color w:val="auto"/>
        </w:rPr>
      </w:pPr>
    </w:p>
    <w:p>
      <w:pPr>
        <w:ind w:left="234" w:right="40"/>
        <w:spacing w:after="0" w:line="239" w:lineRule="auto"/>
        <w:rPr>
          <w:rFonts w:ascii="Arial" w:cs="Arial" w:eastAsia="Arial" w:hAnsi="Arial"/>
          <w:sz w:val="20"/>
          <w:szCs w:val="20"/>
          <w:color w:val="auto"/>
        </w:rPr>
      </w:pPr>
      <w:r>
        <w:rPr>
          <w:rFonts w:ascii="Arial" w:cs="Arial" w:eastAsia="Arial" w:hAnsi="Arial"/>
          <w:sz w:val="20"/>
          <w:szCs w:val="20"/>
          <w:color w:val="auto"/>
        </w:rPr>
        <w:t>d'optimiser les objectifs de vente et l'allocation des ressources dans tous les</w:t>
      </w:r>
    </w:p>
    <w:p>
      <w:pPr>
        <w:spacing w:after="0" w:line="1" w:lineRule="exact"/>
        <w:rPr>
          <w:rFonts w:ascii="Arial" w:cs="Arial" w:eastAsia="Arial" w:hAnsi="Arial"/>
          <w:sz w:val="20"/>
          <w:szCs w:val="20"/>
          <w:color w:val="auto"/>
        </w:rPr>
      </w:pPr>
    </w:p>
    <w:p>
      <w:pPr>
        <w:ind w:left="234"/>
        <w:spacing w:after="0"/>
        <w:rPr>
          <w:rFonts w:ascii="Arial" w:cs="Arial" w:eastAsia="Arial" w:hAnsi="Arial"/>
          <w:sz w:val="20"/>
          <w:szCs w:val="20"/>
          <w:color w:val="auto"/>
        </w:rPr>
      </w:pPr>
      <w:r>
        <w:rPr>
          <w:rFonts w:ascii="Arial" w:cs="Arial" w:eastAsia="Arial" w:hAnsi="Arial"/>
          <w:sz w:val="20"/>
          <w:szCs w:val="20"/>
          <w:color w:val="auto"/>
        </w:rPr>
        <w:t>rôles en contact avec les clients.</w:t>
      </w:r>
    </w:p>
    <w:p>
      <w:pPr>
        <w:spacing w:after="0" w:line="37" w:lineRule="exact"/>
        <w:rPr>
          <w:rFonts w:ascii="Arial" w:cs="Arial" w:eastAsia="Arial" w:hAnsi="Arial"/>
          <w:sz w:val="20"/>
          <w:szCs w:val="20"/>
          <w:color w:val="auto"/>
        </w:rPr>
      </w:pPr>
    </w:p>
    <w:p>
      <w:pPr>
        <w:ind w:left="234" w:right="60" w:hanging="234"/>
        <w:spacing w:after="0" w:line="247"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Travaillez en partenariat avec les Finances pour tirer parti des données et de la</w:t>
      </w:r>
    </w:p>
    <w:p>
      <w:pPr>
        <w:spacing w:after="0" w:line="1" w:lineRule="exact"/>
        <w:rPr>
          <w:rFonts w:ascii="Arial" w:cs="Arial" w:eastAsia="Arial" w:hAnsi="Arial"/>
          <w:sz w:val="20"/>
          <w:szCs w:val="20"/>
          <w:color w:val="auto"/>
        </w:rPr>
      </w:pPr>
    </w:p>
    <w:p>
      <w:pPr>
        <w:ind w:left="234" w:right="140"/>
        <w:spacing w:after="0" w:line="241" w:lineRule="auto"/>
        <w:rPr>
          <w:rFonts w:ascii="Arial" w:cs="Arial" w:eastAsia="Arial" w:hAnsi="Arial"/>
          <w:sz w:val="20"/>
          <w:szCs w:val="20"/>
          <w:color w:val="auto"/>
        </w:rPr>
      </w:pPr>
      <w:r>
        <w:rPr>
          <w:rFonts w:ascii="Arial" w:cs="Arial" w:eastAsia="Arial" w:hAnsi="Arial"/>
          <w:sz w:val="20"/>
          <w:szCs w:val="20"/>
          <w:color w:val="auto"/>
        </w:rPr>
        <w:t>business intelligence, en élaborant des KPIs et des métriques qui sont exploitables au sein de l'équipe de direction des ventes et du support.</w:t>
      </w:r>
    </w:p>
    <w:p>
      <w:pPr>
        <w:spacing w:after="0" w:line="33" w:lineRule="exact"/>
        <w:rPr>
          <w:rFonts w:ascii="Arial" w:cs="Arial" w:eastAsia="Arial" w:hAnsi="Arial"/>
          <w:sz w:val="20"/>
          <w:szCs w:val="20"/>
          <w:color w:val="auto"/>
        </w:rPr>
      </w:pPr>
    </w:p>
    <w:p>
      <w:pPr>
        <w:ind w:left="234" w:right="1460" w:hanging="234"/>
        <w:spacing w:after="0" w:line="275" w:lineRule="auto"/>
        <w:tabs>
          <w:tab w:leader="none" w:pos="2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Continuer d'accroître la prise en charge et la responsabilisation grâce à une structure</w:t>
      </w:r>
    </w:p>
    <w:p>
      <w:pPr>
        <w:ind w:left="234" w:right="380"/>
        <w:spacing w:after="0" w:line="288" w:lineRule="auto"/>
        <w:rPr>
          <w:rFonts w:ascii="Arial" w:cs="Arial" w:eastAsia="Arial" w:hAnsi="Arial"/>
          <w:sz w:val="18"/>
          <w:szCs w:val="18"/>
          <w:color w:val="auto"/>
        </w:rPr>
      </w:pPr>
      <w:r>
        <w:rPr>
          <w:rFonts w:ascii="Arial" w:cs="Arial" w:eastAsia="Arial" w:hAnsi="Arial"/>
          <w:sz w:val="18"/>
          <w:szCs w:val="18"/>
          <w:color w:val="auto"/>
        </w:rPr>
        <w:t>de leadership régional diffuse qui harmonise davantage le soutien et les ventes dans les bureaux régionaux.</w:t>
      </w:r>
    </w:p>
    <w:p>
      <w:pPr>
        <w:ind w:left="234" w:right="600" w:hanging="234"/>
        <w:spacing w:after="0" w:line="247"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Consolider davantage GSCS en tant qu'organisation de destination et continuer</w:t>
      </w:r>
    </w:p>
    <w:p>
      <w:pPr>
        <w:spacing w:after="0" w:line="1" w:lineRule="exact"/>
        <w:rPr>
          <w:rFonts w:ascii="Arial" w:cs="Arial" w:eastAsia="Arial" w:hAnsi="Arial"/>
          <w:sz w:val="20"/>
          <w:szCs w:val="20"/>
          <w:color w:val="auto"/>
        </w:rPr>
      </w:pPr>
    </w:p>
    <w:p>
      <w:pPr>
        <w:ind w:left="234"/>
        <w:spacing w:after="0"/>
        <w:rPr>
          <w:rFonts w:ascii="Arial" w:cs="Arial" w:eastAsia="Arial" w:hAnsi="Arial"/>
          <w:sz w:val="20"/>
          <w:szCs w:val="20"/>
          <w:color w:val="auto"/>
        </w:rPr>
      </w:pPr>
      <w:r>
        <w:rPr>
          <w:rFonts w:ascii="Arial" w:cs="Arial" w:eastAsia="Arial" w:hAnsi="Arial"/>
          <w:sz w:val="20"/>
          <w:szCs w:val="20"/>
          <w:color w:val="auto"/>
        </w:rPr>
        <w:t>d'accroître les rôles de Ventes.</w:t>
      </w:r>
    </w:p>
    <w:p>
      <w:pPr>
        <w:spacing w:after="0" w:line="37" w:lineRule="exact"/>
        <w:rPr>
          <w:rFonts w:ascii="Arial" w:cs="Arial" w:eastAsia="Arial" w:hAnsi="Arial"/>
          <w:sz w:val="20"/>
          <w:szCs w:val="20"/>
          <w:color w:val="auto"/>
        </w:rPr>
      </w:pPr>
    </w:p>
    <w:p>
      <w:pPr>
        <w:ind w:left="234" w:right="60" w:hanging="234"/>
        <w:spacing w:after="0" w:line="247"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S'appuyer sur le succès du modèle Strategic Client en mettant l'accent sur</w:t>
      </w:r>
    </w:p>
    <w:p>
      <w:pPr>
        <w:spacing w:after="0" w:line="1" w:lineRule="exact"/>
        <w:rPr>
          <w:rFonts w:ascii="Arial" w:cs="Arial" w:eastAsia="Arial" w:hAnsi="Arial"/>
          <w:sz w:val="20"/>
          <w:szCs w:val="20"/>
          <w:color w:val="auto"/>
        </w:rPr>
      </w:pPr>
    </w:p>
    <w:p>
      <w:pPr>
        <w:ind w:left="234" w:right="820"/>
        <w:spacing w:after="0" w:line="239" w:lineRule="auto"/>
        <w:rPr>
          <w:rFonts w:ascii="Arial" w:cs="Arial" w:eastAsia="Arial" w:hAnsi="Arial"/>
          <w:sz w:val="20"/>
          <w:szCs w:val="20"/>
          <w:color w:val="auto"/>
        </w:rPr>
      </w:pPr>
      <w:r>
        <w:rPr>
          <w:rFonts w:ascii="Arial" w:cs="Arial" w:eastAsia="Arial" w:hAnsi="Arial"/>
          <w:sz w:val="20"/>
          <w:szCs w:val="20"/>
          <w:color w:val="auto"/>
        </w:rPr>
        <w:t>l'accélération de la croissance de nos clients les plus importants et les plus</w:t>
      </w:r>
    </w:p>
    <w:p>
      <w:pPr>
        <w:spacing w:after="0" w:line="1" w:lineRule="exact"/>
        <w:rPr>
          <w:rFonts w:ascii="Arial" w:cs="Arial" w:eastAsia="Arial" w:hAnsi="Arial"/>
          <w:sz w:val="20"/>
          <w:szCs w:val="20"/>
          <w:color w:val="auto"/>
        </w:rPr>
      </w:pPr>
    </w:p>
    <w:p>
      <w:pPr>
        <w:ind w:left="234"/>
        <w:spacing w:after="0"/>
        <w:rPr>
          <w:rFonts w:ascii="Arial" w:cs="Arial" w:eastAsia="Arial" w:hAnsi="Arial"/>
          <w:sz w:val="20"/>
          <w:szCs w:val="20"/>
          <w:color w:val="auto"/>
        </w:rPr>
      </w:pPr>
      <w:r>
        <w:rPr>
          <w:rFonts w:ascii="Arial" w:cs="Arial" w:eastAsia="Arial" w:hAnsi="Arial"/>
          <w:sz w:val="20"/>
          <w:szCs w:val="20"/>
          <w:color w:val="auto"/>
        </w:rPr>
        <w:t>stratégiques.</w:t>
      </w:r>
    </w:p>
    <w:p>
      <w:pPr>
        <w:spacing w:after="0" w:line="37" w:lineRule="exact"/>
        <w:rPr>
          <w:rFonts w:ascii="Arial" w:cs="Arial" w:eastAsia="Arial" w:hAnsi="Arial"/>
          <w:sz w:val="20"/>
          <w:szCs w:val="20"/>
          <w:color w:val="auto"/>
        </w:rPr>
      </w:pPr>
    </w:p>
    <w:p>
      <w:pPr>
        <w:ind w:left="234" w:right="80" w:hanging="234"/>
        <w:spacing w:after="0" w:line="247" w:lineRule="auto"/>
        <w:tabs>
          <w:tab w:leader="none" w:pos="2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Voyages fréquents (jusqu'à 50%) à l'étranger pour développer et entretenir des</w:t>
      </w:r>
    </w:p>
    <w:p>
      <w:pPr>
        <w:spacing w:after="0" w:line="1" w:lineRule="exact"/>
        <w:rPr>
          <w:rFonts w:ascii="Arial" w:cs="Arial" w:eastAsia="Arial" w:hAnsi="Arial"/>
          <w:sz w:val="20"/>
          <w:szCs w:val="20"/>
          <w:color w:val="auto"/>
        </w:rPr>
      </w:pPr>
    </w:p>
    <w:p>
      <w:pPr>
        <w:ind w:left="234" w:right="860"/>
        <w:spacing w:after="0" w:line="244" w:lineRule="auto"/>
        <w:rPr>
          <w:rFonts w:ascii="Arial" w:cs="Arial" w:eastAsia="Arial" w:hAnsi="Arial"/>
          <w:sz w:val="20"/>
          <w:szCs w:val="20"/>
          <w:color w:val="auto"/>
        </w:rPr>
      </w:pPr>
      <w:r>
        <w:rPr>
          <w:rFonts w:ascii="Arial" w:cs="Arial" w:eastAsia="Arial" w:hAnsi="Arial"/>
          <w:sz w:val="20"/>
          <w:szCs w:val="20"/>
          <w:color w:val="auto"/>
        </w:rPr>
        <w:t>relations avec les équipes de vente, les clients et les partenaires stratégiques.</w:t>
      </w:r>
    </w:p>
    <w:p>
      <w:pPr>
        <w:spacing w:after="0" w:line="20" w:lineRule="exact"/>
        <w:rPr>
          <w:sz w:val="20"/>
          <w:szCs w:val="20"/>
          <w:color w:val="auto"/>
        </w:rPr>
      </w:pPr>
      <w:r>
        <w:rPr>
          <w:sz w:val="20"/>
          <w:szCs w:val="20"/>
          <w:color w:val="auto"/>
        </w:rPr>
        <w:br w:type="column"/>
      </w:r>
    </w:p>
    <w:p>
      <w:pPr>
        <w:ind w:left="256" w:right="560" w:hanging="256"/>
        <w:spacing w:after="0" w:line="293" w:lineRule="auto"/>
        <w:tabs>
          <w:tab w:leader="none" w:pos="256"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ANNEX 1: RESPONSIBILITIES OF THE ROLE OF GLOBAL HEAD OF SALES AND CLIENT SOLUTIONS</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256" w:right="440" w:hanging="256"/>
        <w:spacing w:after="0" w:line="250" w:lineRule="auto"/>
        <w:tabs>
          <w:tab w:leader="none" w:pos="2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Lead a world-class Sales and Client solutions team. Drive success through strategic and operational leadership for a global team.</w:t>
      </w:r>
    </w:p>
    <w:p>
      <w:pPr>
        <w:spacing w:after="0" w:line="280" w:lineRule="exact"/>
        <w:rPr>
          <w:rFonts w:ascii="Arial" w:cs="Arial" w:eastAsia="Arial" w:hAnsi="Arial"/>
          <w:sz w:val="20"/>
          <w:szCs w:val="20"/>
          <w:color w:val="auto"/>
        </w:rPr>
      </w:pPr>
    </w:p>
    <w:p>
      <w:pPr>
        <w:ind w:left="256" w:right="560" w:hanging="256"/>
        <w:spacing w:after="0" w:line="316" w:lineRule="auto"/>
        <w:tabs>
          <w:tab w:leader="none" w:pos="2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Articulate a clear strategic vision for sales growth that inspires and engages the GSCS teams and delivers results.</w:t>
      </w:r>
    </w:p>
    <w:p>
      <w:pPr>
        <w:spacing w:after="0" w:line="197" w:lineRule="exact"/>
        <w:rPr>
          <w:rFonts w:ascii="Arial" w:cs="Arial" w:eastAsia="Arial" w:hAnsi="Arial"/>
          <w:sz w:val="18"/>
          <w:szCs w:val="18"/>
          <w:color w:val="auto"/>
        </w:rPr>
      </w:pPr>
    </w:p>
    <w:p>
      <w:pPr>
        <w:jc w:val="both"/>
        <w:ind w:left="256" w:right="580" w:hanging="256"/>
        <w:spacing w:after="0" w:line="250" w:lineRule="auto"/>
        <w:tabs>
          <w:tab w:leader="none" w:pos="2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As the face of the sales organization, have frequent interaction with key prospects, clients and partners. Help drive key client negotiations.</w:t>
      </w:r>
    </w:p>
    <w:p>
      <w:pPr>
        <w:spacing w:after="0" w:line="253" w:lineRule="exact"/>
        <w:rPr>
          <w:rFonts w:ascii="Arial" w:cs="Arial" w:eastAsia="Arial" w:hAnsi="Arial"/>
          <w:sz w:val="20"/>
          <w:szCs w:val="20"/>
          <w:color w:val="auto"/>
        </w:rPr>
      </w:pPr>
    </w:p>
    <w:p>
      <w:pPr>
        <w:ind w:left="256" w:right="500" w:hanging="256"/>
        <w:spacing w:after="0" w:line="260" w:lineRule="auto"/>
        <w:tabs>
          <w:tab w:leader="none" w:pos="2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Partner with SBU Specialist leaders to optimize sales goals and resource allocation across client facing roles.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03" w:lineRule="exact"/>
        <w:rPr>
          <w:rFonts w:ascii="Arial" w:cs="Arial" w:eastAsia="Arial" w:hAnsi="Arial"/>
          <w:sz w:val="20"/>
          <w:szCs w:val="20"/>
          <w:color w:val="auto"/>
        </w:rPr>
      </w:pPr>
    </w:p>
    <w:p>
      <w:pPr>
        <w:ind w:left="256" w:right="480" w:hanging="256"/>
        <w:spacing w:after="0" w:line="250" w:lineRule="auto"/>
        <w:tabs>
          <w:tab w:leader="none" w:pos="2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Partner with Finance to leverage data and business intelligence, building KPIs and metrics that are actionable for the sales and support leadership team.</w:t>
      </w:r>
    </w:p>
    <w:p>
      <w:pPr>
        <w:spacing w:after="0" w:line="200" w:lineRule="exact"/>
        <w:rPr>
          <w:rFonts w:ascii="Arial" w:cs="Arial" w:eastAsia="Arial" w:hAnsi="Arial"/>
          <w:sz w:val="20"/>
          <w:szCs w:val="20"/>
          <w:color w:val="auto"/>
        </w:rPr>
      </w:pPr>
    </w:p>
    <w:p>
      <w:pPr>
        <w:spacing w:after="0" w:line="283" w:lineRule="exact"/>
        <w:rPr>
          <w:rFonts w:ascii="Arial" w:cs="Arial" w:eastAsia="Arial" w:hAnsi="Arial"/>
          <w:sz w:val="20"/>
          <w:szCs w:val="20"/>
          <w:color w:val="auto"/>
        </w:rPr>
      </w:pPr>
    </w:p>
    <w:p>
      <w:pPr>
        <w:ind w:left="256" w:right="640" w:hanging="256"/>
        <w:spacing w:after="0" w:line="269" w:lineRule="auto"/>
        <w:tabs>
          <w:tab w:leader="none" w:pos="256"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Continue to build increased ownership and accountability through a distributed regional leadership structure that further aligns support and sales in the regional offices.</w:t>
      </w:r>
    </w:p>
    <w:p>
      <w:pPr>
        <w:spacing w:after="0" w:line="237" w:lineRule="exact"/>
        <w:rPr>
          <w:rFonts w:ascii="Arial" w:cs="Arial" w:eastAsia="Arial" w:hAnsi="Arial"/>
          <w:sz w:val="19"/>
          <w:szCs w:val="19"/>
          <w:color w:val="auto"/>
        </w:rPr>
      </w:pPr>
    </w:p>
    <w:p>
      <w:pPr>
        <w:ind w:left="256" w:right="360" w:hanging="256"/>
        <w:spacing w:after="0" w:line="260" w:lineRule="auto"/>
        <w:tabs>
          <w:tab w:leader="none" w:pos="256" w:val="left"/>
        </w:tabs>
        <w:numPr>
          <w:ilvl w:val="0"/>
          <w:numId w:val="33"/>
        </w:numPr>
        <w:rPr>
          <w:rFonts w:ascii="Arial" w:cs="Arial" w:eastAsia="Arial" w:hAnsi="Arial"/>
          <w:sz w:val="20"/>
          <w:szCs w:val="20"/>
          <w:color w:val="auto"/>
        </w:rPr>
      </w:pPr>
      <w:r>
        <w:rPr>
          <w:rFonts w:ascii="Arial" w:cs="Arial" w:eastAsia="Arial" w:hAnsi="Arial"/>
          <w:sz w:val="20"/>
          <w:szCs w:val="20"/>
          <w:color w:val="auto"/>
        </w:rPr>
        <w:t>Further solidify GSCS as a destination organization and continue to elevate Sales roles.</w:t>
      </w:r>
    </w:p>
    <w:p>
      <w:pPr>
        <w:spacing w:after="0" w:line="244" w:lineRule="exact"/>
        <w:rPr>
          <w:rFonts w:ascii="Arial" w:cs="Arial" w:eastAsia="Arial" w:hAnsi="Arial"/>
          <w:sz w:val="20"/>
          <w:szCs w:val="20"/>
          <w:color w:val="auto"/>
        </w:rPr>
      </w:pPr>
    </w:p>
    <w:p>
      <w:pPr>
        <w:ind w:left="256" w:right="340" w:hanging="256"/>
        <w:spacing w:after="0" w:line="386" w:lineRule="auto"/>
        <w:tabs>
          <w:tab w:leader="none" w:pos="2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Build on the success of the Strategic Client model with a focus on accelerating growth at our largest and most strategic accounts.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256" w:right="700" w:hanging="256"/>
        <w:spacing w:after="0" w:line="386" w:lineRule="auto"/>
        <w:tabs>
          <w:tab w:leader="none" w:pos="2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Frequent (up to 50%) global travel to develop and maintain relationships with sales teams, clients, and strategic partners.</w:t>
      </w:r>
    </w:p>
    <w:p>
      <w:pPr>
        <w:spacing w:after="0" w:line="550" w:lineRule="exact"/>
        <w:rPr>
          <w:sz w:val="20"/>
          <w:szCs w:val="20"/>
          <w:color w:val="auto"/>
        </w:rPr>
      </w:pPr>
    </w:p>
    <w:p>
      <w:pPr>
        <w:sectPr>
          <w:pgSz w:w="11900" w:h="16838" w:orient="portrait"/>
          <w:cols w:equalWidth="0" w:num="2">
            <w:col w:w="5174" w:space="444"/>
            <w:col w:w="5776"/>
          </w:cols>
          <w:pgMar w:left="266"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314"/>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94"/>
          </w:cols>
          <w:pgMar w:left="266" w:top="1440" w:right="2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260" w:right="208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84" w:lineRule="exact"/>
        <w:rPr>
          <w:rFonts w:ascii="Arial" w:cs="Arial" w:eastAsia="Arial" w:hAnsi="Arial"/>
          <w:sz w:val="18"/>
          <w:szCs w:val="18"/>
          <w:color w:val="auto"/>
        </w:rPr>
      </w:pPr>
    </w:p>
    <w:p>
      <w:pPr>
        <w:ind w:left="500" w:right="20" w:hanging="492"/>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980" w:right="280" w:hanging="486"/>
        <w:spacing w:after="0" w:line="264" w:lineRule="auto"/>
        <w:tabs>
          <w:tab w:leader="none" w:pos="9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980" w:right="540" w:hanging="486"/>
        <w:spacing w:after="0" w:line="264" w:lineRule="auto"/>
        <w:tabs>
          <w:tab w:leader="none" w:pos="9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980" w:right="780" w:hanging="486"/>
        <w:spacing w:after="0" w:line="342" w:lineRule="auto"/>
        <w:tabs>
          <w:tab w:leader="none" w:pos="97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980" w:right="280" w:hanging="486"/>
        <w:spacing w:after="0" w:line="342" w:lineRule="auto"/>
        <w:tabs>
          <w:tab w:leader="none" w:pos="968"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6" w:lineRule="exact"/>
        <w:rPr>
          <w:rFonts w:ascii="Arial" w:cs="Arial" w:eastAsia="Arial" w:hAnsi="Arial"/>
          <w:sz w:val="16"/>
          <w:szCs w:val="16"/>
          <w:color w:val="auto"/>
        </w:rPr>
      </w:pPr>
    </w:p>
    <w:p>
      <w:pPr>
        <w:ind w:left="500" w:right="34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980" w:right="180" w:hanging="486"/>
        <w:spacing w:after="0" w:line="308" w:lineRule="auto"/>
        <w:tabs>
          <w:tab w:leader="none" w:pos="971"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980" w:right="520" w:hanging="486"/>
        <w:spacing w:after="0" w:line="277" w:lineRule="auto"/>
        <w:tabs>
          <w:tab w:leader="none" w:pos="9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9,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89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left="260" w:right="208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98" w:lineRule="exact"/>
        <w:rPr>
          <w:rFonts w:ascii="Arial" w:cs="Arial" w:eastAsia="Arial" w:hAnsi="Arial"/>
          <w:sz w:val="18"/>
          <w:szCs w:val="18"/>
          <w:color w:val="auto"/>
        </w:rPr>
      </w:pPr>
    </w:p>
    <w:p>
      <w:pPr>
        <w:ind w:left="500" w:right="2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980" w:right="280" w:hanging="486"/>
        <w:spacing w:after="0" w:line="264" w:lineRule="auto"/>
        <w:tabs>
          <w:tab w:leader="none" w:pos="9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980" w:right="540" w:hanging="486"/>
        <w:spacing w:after="0" w:line="264"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980" w:right="780" w:hanging="486"/>
        <w:spacing w:after="0" w:line="342" w:lineRule="auto"/>
        <w:tabs>
          <w:tab w:leader="none" w:pos="97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980" w:right="280" w:hanging="486"/>
        <w:spacing w:after="0" w:line="342" w:lineRule="auto"/>
        <w:tabs>
          <w:tab w:leader="none" w:pos="968"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3" w:lineRule="exact"/>
        <w:rPr>
          <w:rFonts w:ascii="Arial" w:cs="Arial" w:eastAsia="Arial" w:hAnsi="Arial"/>
          <w:sz w:val="16"/>
          <w:szCs w:val="16"/>
          <w:color w:val="auto"/>
        </w:rPr>
      </w:pPr>
    </w:p>
    <w:p>
      <w:pPr>
        <w:ind w:left="500" w:right="34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980" w:right="180" w:hanging="486"/>
        <w:spacing w:after="0" w:line="308" w:lineRule="auto"/>
        <w:tabs>
          <w:tab w:leader="none" w:pos="97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right="520" w:hanging="486"/>
        <w:spacing w:after="0" w:line="277" w:lineRule="auto"/>
        <w:tabs>
          <w:tab w:leader="none" w:pos="9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January 9,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Helen L. Shan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06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3"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November 30, 2019, as filed with the Securities and Exchange Commission on the date hereof (the “Report”), I, F. Philip Snow, do hereby certify, pursuant to 18 U.S.C. §1350, as adopted pursuant to §906 of the Sarbanes-Oxley Act of 2002, that:</w:t>
      </w:r>
    </w:p>
    <w:p>
      <w:pPr>
        <w:spacing w:after="0" w:line="141"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780" w:hanging="324"/>
        <w:spacing w:after="0" w:line="277" w:lineRule="auto"/>
        <w:tabs>
          <w:tab w:leader="none" w:pos="9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F.Philip Snow</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2020</w:t>
      </w:r>
    </w:p>
    <w:p>
      <w:pPr>
        <w:sectPr>
          <w:pgSz w:w="11900" w:h="16838" w:orient="portrait"/>
          <w:cols w:equalWidth="0" w:num="1">
            <w:col w:w="11420"/>
          </w:cols>
          <w:pgMar w:left="240" w:top="89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November 30, 2019, as filed with the Securities and Exchange Commission on the date hereof (the “Report”), I, Helen L. Shan, do hereby certify, pursuant to 18 U.S.C. §1350, as adopted pursuant to §906 of the Sarbanes-Oxley Act of 2002, that:</w:t>
      </w:r>
    </w:p>
    <w:p>
      <w:pPr>
        <w:spacing w:after="0" w:line="14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780" w:hanging="324"/>
        <w:spacing w:after="0" w:line="277" w:lineRule="auto"/>
        <w:tabs>
          <w:tab w:leader="none" w:pos="9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Helen L. Shan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2020</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Letter"/>
      <w:start w:val="1"/>
    </w:lvl>
    <w:lvl w:ilvl="1">
      <w:lvlJc w:val="left"/>
      <w:lvlText w:val="%2."/>
      <w:numFmt w:val="decimal"/>
      <w:start w:val="1"/>
    </w:lvl>
  </w:abstractNum>
  <w:abstractNum w:abstractNumId="5">
    <w:nsid w:val="333AB105"/>
    <w:multiLevelType w:val="hybridMultilevel"/>
    <w:lvl w:ilvl="0">
      <w:lvlJc w:val="left"/>
      <w:lvlText w:val="(%1)"/>
      <w:numFmt w:val="lowerLetter"/>
      <w:start w:val="2"/>
    </w:lvl>
    <w:lvl w:ilvl="1">
      <w:lvlJc w:val="left"/>
      <w:lvlText w:val="%2"/>
      <w:numFmt w:val="decimal"/>
      <w:start w:val="1"/>
    </w:lvl>
  </w:abstractNum>
  <w:abstractNum w:abstractNumId="6">
    <w:nsid w:val="721DA317"/>
    <w:multiLevelType w:val="hybridMultilevel"/>
    <w:lvl w:ilvl="0">
      <w:lvlJc w:val="left"/>
      <w:lvlText w:val="%1."/>
      <w:numFmt w:val="decimal"/>
      <w:start w:val="6"/>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endash "/>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lowerRoman"/>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decimal"/>
      <w:start w:val="1"/>
    </w:lvl>
    <w:lvl w:ilvl="1">
      <w:lvlJc w:val="left"/>
      <w:lvlText w:val="%2)"/>
      <w:numFmt w:val="lowerLetter"/>
      <w:start w:val="1"/>
    </w:lvl>
  </w:abstractNum>
  <w:abstractNum w:abstractNumId="21">
    <w:nsid w:val="3A95F874"/>
    <w:multiLevelType w:val="hybridMultilevel"/>
    <w:lvl w:ilvl="0">
      <w:lvlJc w:val="left"/>
      <w:lvlText w:val="%1"/>
      <w:numFmt w:val="decimal"/>
      <w:start w:val="1"/>
    </w:lvl>
    <w:lvl w:ilvl="1">
      <w:lvlJc w:val="left"/>
      <w:lvlText w:val="%2)"/>
      <w:numFmt w:val="lowerLetter"/>
      <w:start w:val="4"/>
    </w:lvl>
  </w:abstractNum>
  <w:abstractNum w:abstractNumId="22">
    <w:nsid w:val="8138641"/>
    <w:multiLevelType w:val="hybridMultilevel"/>
    <w:lvl w:ilvl="0">
      <w:lvlJc w:val="left"/>
      <w:lvlText w:val="%1."/>
      <w:numFmt w:val="decimal"/>
      <w:start w:val="3"/>
    </w:lvl>
    <w:lvl w:ilvl="1">
      <w:lvlJc w:val="left"/>
      <w:lvlText w:val="%2)"/>
      <w:numFmt w:val="lowerLetter"/>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4"/>
    </w:lvl>
  </w:abstractNum>
  <w:abstractNum w:abstractNumId="25">
    <w:nsid w:val="737B8DDC"/>
    <w:multiLevelType w:val="hybridMultilevel"/>
    <w:lvl w:ilvl="0">
      <w:lvlJc w:val="left"/>
      <w:lvlText w:val="%1"/>
      <w:numFmt w:val="decimal"/>
      <w:start w:val="1"/>
    </w:lvl>
    <w:lvl w:ilvl="1">
      <w:lvlJc w:val="left"/>
      <w:lvlText w:val="%2)"/>
      <w:numFmt w:val="lowerLetter"/>
      <w:start w:val="1"/>
    </w:lvl>
  </w:abstractNum>
  <w:abstractNum w:abstractNumId="26">
    <w:nsid w:val="6CEAF087"/>
    <w:multiLevelType w:val="hybridMultilevel"/>
    <w:lvl w:ilvl="0">
      <w:lvlJc w:val="left"/>
      <w:lvlText w:val="%1."/>
      <w:numFmt w:val="decimal"/>
      <w:start w:val="6"/>
    </w:lvl>
    <w:lvl w:ilvl="1">
      <w:lvlJc w:val="left"/>
      <w:lvlText w:val="%2)"/>
      <w:numFmt w:val="lowerLetter"/>
      <w:start w:val="1"/>
    </w:lvl>
  </w:abstractNum>
  <w:abstractNum w:abstractNumId="27">
    <w:nsid w:val="22221A70"/>
    <w:multiLevelType w:val="hybridMultilevel"/>
    <w:lvl w:ilvl="0">
      <w:lvlJc w:val="left"/>
      <w:lvlText w:val="%1)"/>
      <w:numFmt w:val="lowerLetter"/>
      <w:start w:val="2"/>
    </w:lvl>
  </w:abstractNum>
  <w:abstractNum w:abstractNumId="28">
    <w:nsid w:val="4516DDE9"/>
    <w:multiLevelType w:val="hybridMultilevel"/>
    <w:lvl w:ilvl="0">
      <w:lvlJc w:val="left"/>
      <w:lvlText w:val="%1)"/>
      <w:numFmt w:val="lowerLetter"/>
      <w:start w:val="10"/>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2020-01-09T06:07:28Z</dcterms:created>
  <dcterms:modified xsi:type="dcterms:W3CDTF">2020-01-09T06:07:28Z</dcterms:modified>
</cp:coreProperties>
</file>