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dgdoc.xml.htm"/>
      <w:bookmarkStart w:id="1" w:name="ksrdg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Daly Brian G</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FACTSET RESEARCH SYSTEMS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601 MERRITT 7</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NORWALK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06851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FACTSET RESEARCH SYSTEMS INC</w:t>
              </w:r>
            </w:hyperlink>
            <w:r>
              <w:rPr/>
              <w:t xml:space="preserve"> [ </w:t>
            </w:r>
            <w:r>
              <w:rPr>
                <w:rFonts w:ascii="Times;serif" w:hAnsi="Times;serif"/>
                <w:color w:val="0000FF"/>
                <w:sz w:val="24"/>
                <w:highlight w:val="white"/>
              </w:rPr>
              <w:t>FDS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Principal Accounting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07/11/2019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07/11/2019</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502</w:t>
            </w:r>
            <w:r>
              <w:rPr>
                <w:rFonts w:ascii="Times;serif" w:hAnsi="Times;serif"/>
                <w:color w:val="008000"/>
                <w:position w:val="7"/>
                <w:sz w:val="16"/>
                <w:sz w:val="20"/>
                <w:highlight w:val="white"/>
              </w:rPr>
              <w:t>(1)</w:t>
            </w:r>
            <w:r>
              <w:rPr/>
              <w:t xml:space="preserve"> </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162.96</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735</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07/11/2019</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473</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294.17</w:t>
            </w:r>
            <w:r>
              <w:rPr>
                <w:rFonts w:ascii="Times;serif" w:hAnsi="Times;serif"/>
                <w:color w:val="008000"/>
                <w:position w:val="7"/>
                <w:sz w:val="16"/>
                <w:sz w:val="20"/>
                <w:highlight w:val="white"/>
              </w:rPr>
              <w:t>(2)</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262</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843" w:type="dxa"/>
        <w:jc w:val="left"/>
        <w:tblInd w:w="0" w:type="dxa"/>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162.96</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07/11/2019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473</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05/01/2027</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1,420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Includes 29 shares acquired through the FactSet Research Systems Inc. Employee Stock Purchase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Price reported in Column 4 is a weighted average price based on various sales prices within a range. For the shares aggregating 473, the per share sales prices ranged from $294.10 to $294.21. The reporting person undertakes to provide FactSet, any security holder of FactSet and the staff of the Securities and Exchange Commission upon request, full information regarding the number of shares sold in each separate price within the range set forth in this footnote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Options were granted on May 1, 2017 and vest 20% annually on the anniversary date of the grant and are fully vested after five years.</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Brian G. Daly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07/12/2019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765793" TargetMode="External"/><Relationship Id="rId4" Type="http://schemas.openxmlformats.org/officeDocument/2006/relationships/hyperlink" Target="http://www.sec.gov/cgi-bin/browse-edgar?action=getcompany&amp;CIK=00010132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672</Words>
  <CharactersWithSpaces>4158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