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23" w:lineRule="exact"/>
        <w:rPr>
          <w:sz w:val="24"/>
          <w:szCs w:val="24"/>
          <w:color w:val="auto"/>
        </w:rPr>
      </w:pPr>
    </w:p>
    <w:p>
      <w:pPr>
        <w:ind w:left="3840" w:right="1640" w:hanging="3814"/>
        <w:spacing w:after="0" w:line="355" w:lineRule="auto"/>
        <w:tabs>
          <w:tab w:leader="none" w:pos="453" w:val="left"/>
        </w:tabs>
        <w:numPr>
          <w:ilvl w:val="0"/>
          <w:numId w:val="1"/>
        </w:numPr>
        <w:rPr>
          <w:rFonts w:ascii="Arial" w:cs="Arial" w:eastAsia="Arial" w:hAnsi="Arial"/>
          <w:sz w:val="20"/>
          <w:szCs w:val="20"/>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February 28, 2021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900" w:right="1620" w:hanging="3874"/>
        <w:spacing w:after="0" w:line="419" w:lineRule="auto"/>
        <w:tabs>
          <w:tab w:leader="none" w:pos="458"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1-11869</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FACTSET RESEARCH SYSTEMS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68580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644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w:t>
            </w:r>
          </w:p>
        </w:tc>
        <w:tc>
          <w:tcPr>
            <w:tcW w:w="1400" w:type="dxa"/>
            <w:vAlign w:val="bottom"/>
          </w:tcPr>
          <w:p>
            <w:pPr>
              <w:spacing w:after="0"/>
              <w:rPr>
                <w:sz w:val="17"/>
                <w:szCs w:val="17"/>
                <w:color w:val="auto"/>
              </w:rPr>
            </w:pPr>
          </w:p>
        </w:tc>
      </w:tr>
      <w:tr>
        <w:trPr>
          <w:trHeight w:val="248"/>
        </w:trPr>
        <w:tc>
          <w:tcPr>
            <w:tcW w:w="6440" w:type="dxa"/>
            <w:vAlign w:val="bottom"/>
          </w:tcPr>
          <w:p>
            <w:pPr>
              <w:jc w:val="center"/>
              <w:ind w:right="3232"/>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13-3362547</w:t>
            </w:r>
          </w:p>
        </w:tc>
      </w:tr>
      <w:tr>
        <w:trPr>
          <w:trHeight w:val="176"/>
        </w:trPr>
        <w:tc>
          <w:tcPr>
            <w:tcW w:w="6440" w:type="dxa"/>
            <w:vAlign w:val="bottom"/>
          </w:tcPr>
          <w:p>
            <w:pPr>
              <w:jc w:val="center"/>
              <w:ind w:right="3232"/>
              <w:spacing w:after="0" w:line="176" w:lineRule="exact"/>
              <w:rPr>
                <w:sz w:val="20"/>
                <w:szCs w:val="20"/>
                <w:color w:val="auto"/>
              </w:rPr>
            </w:pPr>
            <w:r>
              <w:rPr>
                <w:rFonts w:ascii="Arial" w:cs="Arial" w:eastAsia="Arial" w:hAnsi="Arial"/>
                <w:sz w:val="18"/>
                <w:szCs w:val="18"/>
                <w:color w:val="auto"/>
                <w:w w:val="92"/>
              </w:rPr>
              <w:t>(State or other jurisdiction of</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440" w:type="dxa"/>
            <w:vAlign w:val="bottom"/>
          </w:tcPr>
          <w:p>
            <w:pPr>
              <w:jc w:val="center"/>
              <w:ind w:right="3232"/>
              <w:spacing w:after="0"/>
              <w:rPr>
                <w:sz w:val="20"/>
                <w:szCs w:val="20"/>
                <w:color w:val="auto"/>
              </w:rPr>
            </w:pPr>
            <w:r>
              <w:rPr>
                <w:rFonts w:ascii="Arial" w:cs="Arial" w:eastAsia="Arial" w:hAnsi="Arial"/>
                <w:sz w:val="18"/>
                <w:szCs w:val="18"/>
                <w:color w:val="auto"/>
                <w:w w:val="94"/>
              </w:rPr>
              <w:t>incorporation)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20"/>
        </w:trPr>
        <w:tc>
          <w:tcPr>
            <w:tcW w:w="6440" w:type="dxa"/>
            <w:vAlign w:val="bottom"/>
          </w:tcPr>
          <w:p>
            <w:pPr>
              <w:jc w:val="center"/>
              <w:ind w:right="3212"/>
              <w:spacing w:after="0"/>
              <w:rPr>
                <w:sz w:val="20"/>
                <w:szCs w:val="20"/>
                <w:color w:val="auto"/>
              </w:rPr>
            </w:pPr>
            <w:r>
              <w:rPr>
                <w:rFonts w:ascii="Arial" w:cs="Arial" w:eastAsia="Arial" w:hAnsi="Arial"/>
                <w:sz w:val="18"/>
                <w:szCs w:val="18"/>
                <w:b w:val="1"/>
                <w:bCs w:val="1"/>
                <w:color w:val="auto"/>
                <w:w w:val="90"/>
              </w:rPr>
              <w:t>45 Glover Avenue, Norwalk, Connecticut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06850</w:t>
            </w:r>
          </w:p>
        </w:tc>
      </w:tr>
      <w:tr>
        <w:trPr>
          <w:trHeight w:val="256"/>
        </w:trPr>
        <w:tc>
          <w:tcPr>
            <w:tcW w:w="6440" w:type="dxa"/>
            <w:vAlign w:val="bottom"/>
          </w:tcPr>
          <w:p>
            <w:pPr>
              <w:jc w:val="center"/>
              <w:ind w:right="3212"/>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43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Trading Symbols(s)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FDS</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4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40" w:type="dxa"/>
            <w:vAlign w:val="bottom"/>
            <w:tcBorders>
              <w:bottom w:val="single" w:sz="8" w:color="auto"/>
              <w:right w:val="single" w:sz="8" w:color="auto"/>
            </w:tcBorders>
          </w:tcPr>
          <w:p>
            <w:pPr>
              <w:spacing w:after="0"/>
              <w:rPr>
                <w:sz w:val="12"/>
                <w:szCs w:val="12"/>
                <w:color w:val="auto"/>
              </w:rPr>
            </w:pPr>
          </w:p>
        </w:tc>
        <w:tc>
          <w:tcPr>
            <w:tcW w:w="4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x</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March 31, 2021 was 37,852,172.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FactSet Research Systems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w w:val="97"/>
              </w:rPr>
              <w:t>Form 10-Q</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For the Quarter Ended February 28, 2021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vMerge w:val="restart"/>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700" w:type="dxa"/>
            <w:vAlign w:val="bottom"/>
            <w:gridSpan w:val="2"/>
            <w:vMerge w:val="restart"/>
          </w:tcPr>
          <w:p>
            <w:pPr>
              <w:ind w:left="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7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Income for the </w:t>
              </w:r>
            </w:hyperlink>
            <w:r>
              <w:rPr>
                <w:rFonts w:ascii="Arial" w:cs="Arial" w:eastAsia="Arial" w:hAnsi="Arial"/>
                <w:sz w:val="18"/>
                <w:szCs w:val="18"/>
                <w:color w:val="auto"/>
              </w:rPr>
              <w:t xml:space="preserve">three and six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February 28,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February 29, 2020</w:t>
            </w:r>
          </w:p>
        </w:tc>
        <w:tc>
          <w:tcPr>
            <w:tcW w:w="64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w w:val="92"/>
              </w:rPr>
            </w:pPr>
            <w:hyperlink w:anchor="page4">
              <w:r>
                <w:rPr>
                  <w:rFonts w:ascii="Arial" w:cs="Arial" w:eastAsia="Arial" w:hAnsi="Arial"/>
                  <w:sz w:val="18"/>
                  <w:szCs w:val="18"/>
                  <w:color w:val="auto"/>
                  <w:w w:val="92"/>
                </w:rPr>
                <w:t xml:space="preserve">Consolidated Statements of Comprehensive Income for the </w:t>
              </w:r>
            </w:hyperlink>
            <w:r>
              <w:rPr>
                <w:rFonts w:ascii="Arial" w:cs="Arial" w:eastAsia="Arial" w:hAnsi="Arial"/>
                <w:sz w:val="18"/>
                <w:szCs w:val="18"/>
                <w:color w:val="auto"/>
                <w:w w:val="92"/>
              </w:rPr>
              <w:t>three and six months ended February 28, 2021 and February 29, 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Sheets at </w:t>
              </w:r>
            </w:hyperlink>
            <w:r>
              <w:rPr>
                <w:rFonts w:ascii="Arial" w:cs="Arial" w:eastAsia="Arial" w:hAnsi="Arial"/>
                <w:sz w:val="18"/>
                <w:szCs w:val="18"/>
                <w:color w:val="auto"/>
              </w:rPr>
              <w:t xml:space="preserve">February 28, 2021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August 31, 2020</w:t>
            </w:r>
          </w:p>
        </w:tc>
        <w:tc>
          <w:tcPr>
            <w:tcW w:w="64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for the </w:t>
              </w:r>
            </w:hyperlink>
            <w:r>
              <w:rPr>
                <w:rFonts w:ascii="Arial" w:cs="Arial" w:eastAsia="Arial" w:hAnsi="Arial"/>
                <w:sz w:val="18"/>
                <w:szCs w:val="18"/>
                <w:color w:val="auto"/>
              </w:rPr>
              <w:t xml:space="preserve">six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February 28,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February 29, 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Changes in Stockholders’ Equity for the </w:t>
              </w:r>
            </w:hyperlink>
            <w:r>
              <w:rPr>
                <w:rFonts w:ascii="Arial" w:cs="Arial" w:eastAsia="Arial" w:hAnsi="Arial"/>
                <w:sz w:val="18"/>
                <w:szCs w:val="18"/>
                <w:color w:val="auto"/>
              </w:rPr>
              <w:t xml:space="preserve">three and six </w:t>
            </w:r>
            <w:hyperlink w:anchor="page7">
              <w:r>
                <w:rPr>
                  <w:rFonts w:ascii="Arial" w:cs="Arial" w:eastAsia="Arial" w:hAnsi="Arial"/>
                  <w:sz w:val="18"/>
                  <w:szCs w:val="18"/>
                  <w:color w:val="auto"/>
                </w:rPr>
                <w:t xml:space="preserve">months ended </w:t>
              </w:r>
            </w:hyperlink>
            <w:r>
              <w:rPr>
                <w:rFonts w:ascii="Arial" w:cs="Arial" w:eastAsia="Arial" w:hAnsi="Arial"/>
                <w:sz w:val="18"/>
                <w:szCs w:val="18"/>
                <w:color w:val="auto"/>
              </w:rPr>
              <w:t>February 28, 2021</w:t>
            </w:r>
          </w:p>
        </w:tc>
        <w:tc>
          <w:tcPr>
            <w:tcW w:w="64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8">
              <w:r>
                <w:rPr>
                  <w:rFonts w:ascii="Arial" w:cs="Arial" w:eastAsia="Arial" w:hAnsi="Arial"/>
                  <w:sz w:val="18"/>
                  <w:szCs w:val="18"/>
                  <w:color w:val="auto"/>
                </w:rPr>
                <w:t xml:space="preserve">Consolidated Statements of Changes in Stockholders’ Equity for the </w:t>
              </w:r>
            </w:hyperlink>
            <w:r>
              <w:rPr>
                <w:rFonts w:ascii="Arial" w:cs="Arial" w:eastAsia="Arial" w:hAnsi="Arial"/>
                <w:sz w:val="18"/>
                <w:szCs w:val="18"/>
                <w:color w:val="auto"/>
              </w:rPr>
              <w:t xml:space="preserve">three and six </w:t>
            </w:r>
            <w:hyperlink w:anchor="page8">
              <w:r>
                <w:rPr>
                  <w:rFonts w:ascii="Arial" w:cs="Arial" w:eastAsia="Arial" w:hAnsi="Arial"/>
                  <w:sz w:val="18"/>
                  <w:szCs w:val="18"/>
                  <w:color w:val="auto"/>
                </w:rPr>
                <w:t xml:space="preserve">months ended </w:t>
              </w:r>
            </w:hyperlink>
            <w:r>
              <w:rPr>
                <w:rFonts w:ascii="Arial" w:cs="Arial" w:eastAsia="Arial" w:hAnsi="Arial"/>
                <w:sz w:val="18"/>
                <w:szCs w:val="18"/>
                <w:color w:val="auto"/>
              </w:rPr>
              <w:t>February 29, 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9">
              <w:r>
                <w:rPr>
                  <w:rFonts w:ascii="Arial" w:cs="Arial" w:eastAsia="Arial" w:hAnsi="Arial"/>
                  <w:sz w:val="18"/>
                  <w:szCs w:val="18"/>
                  <w:color w:val="auto"/>
                </w:rPr>
                <w:t>Notes to the Consolidated Financial Statements</w:t>
              </w:r>
            </w:hyperlink>
          </w:p>
        </w:tc>
        <w:tc>
          <w:tcPr>
            <w:tcW w:w="640" w:type="dxa"/>
            <w:vAlign w:val="bottom"/>
          </w:tcPr>
          <w:p>
            <w:pPr>
              <w:jc w:val="center"/>
              <w:spacing w:after="0"/>
              <w:rPr>
                <w:rFonts w:ascii="Arial" w:cs="Arial" w:eastAsia="Arial" w:hAnsi="Arial"/>
                <w:sz w:val="18"/>
                <w:szCs w:val="18"/>
                <w:color w:val="auto"/>
                <w:w w:val="89"/>
              </w:rPr>
            </w:pPr>
            <w:hyperlink w:anchor="page9">
              <w:r>
                <w:rPr>
                  <w:rFonts w:ascii="Arial" w:cs="Arial" w:eastAsia="Arial" w:hAnsi="Arial"/>
                  <w:sz w:val="18"/>
                  <w:szCs w:val="18"/>
                  <w:color w:val="auto"/>
                  <w:w w:val="89"/>
                </w:rPr>
                <w:t>10</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29</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3.</w:t>
              </w:r>
            </w:hyperlink>
          </w:p>
        </w:tc>
        <w:tc>
          <w:tcPr>
            <w:tcW w:w="9700" w:type="dxa"/>
            <w:vAlign w:val="bottom"/>
            <w:gridSpan w:val="2"/>
          </w:tcPr>
          <w:p>
            <w:pPr>
              <w:ind w:left="60"/>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64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Item 4.</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6">
              <w:r>
                <w:rPr>
                  <w:rFonts w:ascii="Arial" w:cs="Arial" w:eastAsia="Arial" w:hAnsi="Arial"/>
                  <w:sz w:val="18"/>
                  <w:szCs w:val="18"/>
                  <w:color w:val="auto"/>
                </w:rPr>
                <w:t>Controls and Procedures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Part II</w:t>
              </w:r>
            </w:hyperlink>
          </w:p>
        </w:tc>
        <w:tc>
          <w:tcPr>
            <w:tcW w:w="9700" w:type="dxa"/>
            <w:vAlign w:val="bottom"/>
            <w:gridSpan w:val="2"/>
          </w:tcPr>
          <w:p>
            <w:pPr>
              <w:ind w:left="6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OTHER INFORMATION</w:t>
              </w:r>
            </w:hyperlink>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Item 1.</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8">
              <w:r>
                <w:rPr>
                  <w:rFonts w:ascii="Arial" w:cs="Arial" w:eastAsia="Arial" w:hAnsi="Arial"/>
                  <w:sz w:val="18"/>
                  <w:szCs w:val="18"/>
                  <w:color w:val="auto"/>
                </w:rPr>
                <w:t>Legal Proceedings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Item 1A.</w:t>
              </w:r>
            </w:hyperlink>
          </w:p>
        </w:tc>
        <w:tc>
          <w:tcPr>
            <w:tcW w:w="9700" w:type="dxa"/>
            <w:vAlign w:val="bottom"/>
            <w:gridSpan w:val="2"/>
          </w:tcPr>
          <w:p>
            <w:pPr>
              <w:ind w:left="60"/>
              <w:spacing w:after="0"/>
              <w:rPr>
                <w:rFonts w:ascii="Arial" w:cs="Arial" w:eastAsia="Arial" w:hAnsi="Arial"/>
                <w:sz w:val="18"/>
                <w:szCs w:val="18"/>
                <w:color w:val="auto"/>
              </w:rPr>
            </w:pPr>
            <w:hyperlink w:anchor="page48">
              <w:r>
                <w:rPr>
                  <w:rFonts w:ascii="Arial" w:cs="Arial" w:eastAsia="Arial" w:hAnsi="Arial"/>
                  <w:sz w:val="18"/>
                  <w:szCs w:val="18"/>
                  <w:color w:val="auto"/>
                </w:rPr>
                <w:t>Risk Factors</w:t>
              </w:r>
            </w:hyperlink>
          </w:p>
        </w:tc>
        <w:tc>
          <w:tcPr>
            <w:tcW w:w="640" w:type="dxa"/>
            <w:vAlign w:val="bottom"/>
          </w:tcPr>
          <w:p>
            <w:pPr>
              <w:jc w:val="center"/>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Item 2.</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9">
              <w:r>
                <w:rPr>
                  <w:rFonts w:ascii="Arial" w:cs="Arial" w:eastAsia="Arial" w:hAnsi="Arial"/>
                  <w:sz w:val="18"/>
                  <w:szCs w:val="18"/>
                  <w:color w:val="auto"/>
                </w:rPr>
                <w:t>Unregistered Sales of Equity Securities and Use of Proceeds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Item 3.</w:t>
              </w:r>
            </w:hyperlink>
          </w:p>
        </w:tc>
        <w:tc>
          <w:tcPr>
            <w:tcW w:w="9700" w:type="dxa"/>
            <w:vAlign w:val="bottom"/>
            <w:gridSpan w:val="2"/>
          </w:tcPr>
          <w:p>
            <w:pPr>
              <w:ind w:left="60"/>
              <w:spacing w:after="0"/>
              <w:rPr>
                <w:rFonts w:ascii="Arial" w:cs="Arial" w:eastAsia="Arial" w:hAnsi="Arial"/>
                <w:sz w:val="18"/>
                <w:szCs w:val="18"/>
                <w:color w:val="auto"/>
              </w:rPr>
            </w:pPr>
            <w:hyperlink w:anchor="page50">
              <w:r>
                <w:rPr>
                  <w:rFonts w:ascii="Arial" w:cs="Arial" w:eastAsia="Arial" w:hAnsi="Arial"/>
                  <w:sz w:val="18"/>
                  <w:szCs w:val="18"/>
                  <w:color w:val="auto"/>
                </w:rPr>
                <w:t>Defaults Upon Senior Securities</w:t>
              </w:r>
            </w:hyperlink>
          </w:p>
        </w:tc>
        <w:tc>
          <w:tcPr>
            <w:tcW w:w="640" w:type="dxa"/>
            <w:vAlign w:val="bottom"/>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Item 4.</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0">
              <w:r>
                <w:rPr>
                  <w:rFonts w:ascii="Arial" w:cs="Arial" w:eastAsia="Arial" w:hAnsi="Arial"/>
                  <w:sz w:val="18"/>
                  <w:szCs w:val="18"/>
                  <w:color w:val="auto"/>
                </w:rPr>
                <w:t>Mine Safety Disclosures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Item 5.</w:t>
              </w:r>
            </w:hyperlink>
          </w:p>
        </w:tc>
        <w:tc>
          <w:tcPr>
            <w:tcW w:w="9700" w:type="dxa"/>
            <w:vAlign w:val="bottom"/>
            <w:gridSpan w:val="2"/>
          </w:tcPr>
          <w:p>
            <w:pPr>
              <w:ind w:left="60"/>
              <w:spacing w:after="0"/>
              <w:rPr>
                <w:rFonts w:ascii="Arial" w:cs="Arial" w:eastAsia="Arial" w:hAnsi="Arial"/>
                <w:sz w:val="18"/>
                <w:szCs w:val="18"/>
                <w:color w:val="auto"/>
              </w:rPr>
            </w:pPr>
            <w:hyperlink w:anchor="page50">
              <w:r>
                <w:rPr>
                  <w:rFonts w:ascii="Arial" w:cs="Arial" w:eastAsia="Arial" w:hAnsi="Arial"/>
                  <w:sz w:val="18"/>
                  <w:szCs w:val="18"/>
                  <w:color w:val="auto"/>
                </w:rPr>
                <w:t>Other Information</w:t>
              </w:r>
            </w:hyperlink>
          </w:p>
        </w:tc>
        <w:tc>
          <w:tcPr>
            <w:tcW w:w="640" w:type="dxa"/>
            <w:vAlign w:val="bottom"/>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Item 6.</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0">
              <w:r>
                <w:rPr>
                  <w:rFonts w:ascii="Arial" w:cs="Arial" w:eastAsia="Arial" w:hAnsi="Arial"/>
                  <w:sz w:val="18"/>
                  <w:szCs w:val="18"/>
                  <w:color w:val="auto"/>
                </w:rPr>
                <w:t>Exhibits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700" w:type="dxa"/>
            <w:vAlign w:val="bottom"/>
            <w:gridSpan w:val="2"/>
          </w:tcPr>
          <w:p>
            <w:pPr>
              <w:ind w:left="60"/>
              <w:spacing w:after="0"/>
              <w:rPr>
                <w:rFonts w:ascii="Arial" w:cs="Arial" w:eastAsia="Arial" w:hAnsi="Arial"/>
                <w:sz w:val="18"/>
                <w:szCs w:val="18"/>
                <w:color w:val="auto"/>
              </w:rPr>
            </w:pPr>
            <w:hyperlink w:anchor="page51">
              <w:r>
                <w:rPr>
                  <w:rFonts w:ascii="Arial" w:cs="Arial" w:eastAsia="Arial" w:hAnsi="Arial"/>
                  <w:sz w:val="18"/>
                  <w:szCs w:val="18"/>
                  <w:color w:val="auto"/>
                </w:rPr>
                <w:t>Signatures</w:t>
              </w:r>
            </w:hyperlink>
          </w:p>
        </w:tc>
        <w:tc>
          <w:tcPr>
            <w:tcW w:w="6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52</w:t>
              </w:r>
            </w:hyperlink>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FactSet Research Systems Inc. has made statements under the captions Part I, Item 2.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Part II, Item 1A.</w:t>
      </w:r>
      <w:r>
        <w:rPr>
          <w:rFonts w:ascii="Arial" w:cs="Arial" w:eastAsia="Arial" w:hAnsi="Arial"/>
          <w:sz w:val="16"/>
          <w:szCs w:val="16"/>
          <w:i w:val="1"/>
          <w:iCs w:val="1"/>
          <w:color w:val="auto"/>
        </w:rPr>
        <w:t xml:space="preserve"> Risk Factors, </w:t>
      </w:r>
      <w:r>
        <w:rPr>
          <w:rFonts w:ascii="Arial" w:cs="Arial" w:eastAsia="Arial" w:hAnsi="Arial"/>
          <w:sz w:val="16"/>
          <w:szCs w:val="16"/>
          <w:color w:val="auto"/>
        </w:rPr>
        <w:t>and in other sections of this Quarterly Report on Form 10-Q for the quarter ended February 28, 2021,</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August 31, 2020, that should be specifically considered.</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have no obligation to publicly update or revise any forward-looking statements, whether as a result of new information, revised expectations, future events or risks, except to the extent required by applicable securities laws.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4"/>
          </w:tcPr>
          <w:p>
            <w:pPr>
              <w:ind w:left="5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9"/>
                <w:szCs w:val="19"/>
                <w:color w:val="auto"/>
              </w:rPr>
            </w:pPr>
          </w:p>
        </w:tc>
        <w:tc>
          <w:tcPr>
            <w:tcW w:w="2680" w:type="dxa"/>
            <w:vAlign w:val="bottom"/>
            <w:gridSpan w:val="3"/>
          </w:tcPr>
          <w:p>
            <w:pPr>
              <w:jc w:val="right"/>
              <w:ind w:right="670"/>
              <w:spacing w:after="0"/>
              <w:rPr>
                <w:sz w:val="20"/>
                <w:szCs w:val="20"/>
                <w:color w:val="auto"/>
              </w:rPr>
            </w:pPr>
            <w:r>
              <w:rPr>
                <w:rFonts w:ascii="Arial" w:cs="Arial" w:eastAsia="Arial" w:hAnsi="Arial"/>
                <w:sz w:val="18"/>
                <w:szCs w:val="18"/>
                <w:color w:val="auto"/>
              </w:rPr>
              <w:t>Six Months Ended</w:t>
            </w:r>
          </w:p>
        </w:tc>
      </w:tr>
      <w:tr>
        <w:trPr>
          <w:trHeight w:val="230"/>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w w:val="95"/>
              </w:rPr>
              <w:t>February 28,</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February 29,</w:t>
            </w:r>
          </w:p>
        </w:tc>
        <w:tc>
          <w:tcPr>
            <w:tcW w:w="18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w w:val="95"/>
              </w:rPr>
              <w:t>February 28,</w:t>
            </w:r>
          </w:p>
        </w:tc>
        <w:tc>
          <w:tcPr>
            <w:tcW w:w="20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w w:val="94"/>
              </w:rPr>
              <w:t>February 29,</w:t>
            </w:r>
          </w:p>
        </w:tc>
      </w:tr>
      <w:tr>
        <w:trPr>
          <w:trHeight w:val="27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369,780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736,438</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383,611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341,175</w:t>
            </w:r>
          </w:p>
        </w:tc>
      </w:tr>
      <w:tr>
        <w:trPr>
          <w:trHeight w:val="230"/>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87,305</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175,820</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275,655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263,523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542,830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516,995</w:t>
            </w:r>
          </w:p>
        </w:tc>
      </w:tr>
      <w:tr>
        <w:trPr>
          <w:trHeight w:val="257"/>
        </w:trPr>
        <w:tc>
          <w:tcPr>
            <w:tcW w:w="5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219,443</w:t>
            </w:r>
          </w:p>
        </w:tc>
      </w:tr>
      <w:tr>
        <w:trPr>
          <w:trHeight w:val="256"/>
        </w:trPr>
        <w:tc>
          <w:tcPr>
            <w:tcW w:w="5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(5,792)</w:t>
            </w: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114,666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103,109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234,898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211,850</w:t>
            </w:r>
          </w:p>
        </w:tc>
      </w:tr>
      <w:tr>
        <w:trPr>
          <w:trHeight w:val="257"/>
        </w:trPr>
        <w:tc>
          <w:tcPr>
            <w:tcW w:w="5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14,423</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88,686</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8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5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Basic weighted average common shares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37,916</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37,927</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38,658</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77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6520" w:type="dxa"/>
            <w:vAlign w:val="bottom"/>
            <w:gridSpan w:val="4"/>
          </w:tcPr>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99"/>
        </w:trPr>
        <w:tc>
          <w:tcPr>
            <w:tcW w:w="1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840" w:type="dxa"/>
            <w:vAlign w:val="bottom"/>
            <w:gridSpan w:val="3"/>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30"/>
        </w:trPr>
        <w:tc>
          <w:tcPr>
            <w:tcW w:w="1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7"/>
              </w:rPr>
              <w:t>February 28,</w:t>
            </w:r>
          </w:p>
        </w:tc>
        <w:tc>
          <w:tcPr>
            <w:tcW w:w="22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w w:val="97"/>
              </w:rPr>
              <w:t>February 29,</w:t>
            </w:r>
          </w:p>
        </w:tc>
        <w:tc>
          <w:tcPr>
            <w:tcW w:w="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7"/>
              </w:rPr>
              <w:t>February 28,</w:t>
            </w:r>
          </w:p>
        </w:tc>
        <w:tc>
          <w:tcPr>
            <w:tcW w:w="2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w w:val="97"/>
              </w:rPr>
              <w:t>February 29,</w:t>
            </w:r>
          </w:p>
        </w:tc>
      </w:tr>
      <w:tr>
        <w:trPr>
          <w:trHeight w:val="27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88,686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197,849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182,643</w:t>
            </w:r>
          </w:p>
        </w:tc>
      </w:tr>
      <w:tr>
        <w:trPr>
          <w:trHeight w:val="257"/>
        </w:trPr>
        <w:tc>
          <w:tcPr>
            <w:tcW w:w="50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Net unrealized gain (loss) on cash flow hedges*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29"/>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w:t>
            </w:r>
          </w:p>
        </w:tc>
      </w:tr>
      <w:tr>
        <w:trPr>
          <w:trHeight w:val="223"/>
        </w:trPr>
        <w:tc>
          <w:tcPr>
            <w:tcW w:w="5040" w:type="dxa"/>
            <w:vAlign w:val="bottom"/>
            <w:tcBorders>
              <w:bottom w:val="single" w:sz="8" w:color="CCEEFF"/>
            </w:tcBorders>
            <w:gridSpan w:val="2"/>
          </w:tcPr>
          <w:p>
            <w:pPr>
              <w:ind w:left="800"/>
              <w:spacing w:after="0"/>
              <w:rPr>
                <w:sz w:val="20"/>
                <w:szCs w:val="20"/>
                <w:color w:val="auto"/>
              </w:rPr>
            </w:pPr>
            <w:r>
              <w:rPr>
                <w:rFonts w:ascii="Arial" w:cs="Arial" w:eastAsia="Arial" w:hAnsi="Arial"/>
                <w:sz w:val="18"/>
                <w:szCs w:val="18"/>
                <w:color w:val="auto"/>
              </w:rPr>
              <w:t>Other comprehensive gain (loss)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10,580</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86,913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208,646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190,708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three and six months ended February 28, 2021, the net unrealized gain on cash flow hedges were net of a tax expense of $441 thousand and a tax expense of $400 thousand, respectively. For the three months ended February 29, 2020, the net unrealized loss on cash flow hedges were net of a tax benefit of $73 thousand and for the six months ended February 29, 2020, the net unrealized gain on cash flow hedges were net of a tax expense of $641 thousand.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 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February 28, 2021</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August 31, 2020</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602,684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585,605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17,768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19,572</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Arial" w:cs="Arial" w:eastAsia="Arial" w:hAnsi="Arial"/>
                <w:sz w:val="18"/>
                <w:szCs w:val="18"/>
                <w:color w:val="auto"/>
                <w:w w:val="94"/>
              </w:rPr>
              <w:t>Accounts receivable, net of reserves of $5,903 at February 28, 2021 and $7,987 at August 31, 2020</w:t>
            </w:r>
          </w:p>
        </w:tc>
        <w:tc>
          <w:tcPr>
            <w:tcW w:w="20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171,574</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155,011</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22,425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53,262</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867,713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841,930</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132,871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133,102</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746,041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709,703</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130,897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121,095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right-of-use assets, net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256,028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248,929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29,957</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2,163,507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82,094</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Current lease liabilities</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31,983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61,650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81,873</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67,923</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53,987</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29,141</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271,303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276,293</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574,399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15,141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19,713</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 non-current</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9,428</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Taxes payable</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29,789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277,410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272,269</w:t>
            </w:r>
          </w:p>
        </w:tc>
        <w:tc>
          <w:tcPr>
            <w:tcW w:w="0" w:type="dxa"/>
            <w:vAlign w:val="bottom"/>
          </w:tcPr>
          <w:p>
            <w:pPr>
              <w:spacing w:after="0"/>
              <w:rPr>
                <w:sz w:val="1"/>
                <w:szCs w:val="1"/>
                <w:color w:val="auto"/>
              </w:rPr>
            </w:pPr>
          </w:p>
        </w:tc>
      </w:tr>
      <w:tr>
        <w:trPr>
          <w:trHeight w:val="270"/>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5,569</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1,183,039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1,187,013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Commitments and contingencies (see Note 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Common stock, $0.01 par value, 150,000,000 shares authorized, 40,943,660 and 40,767,708 shares</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issued, 37,844,998 and 38,030,252 shares outstanding at February 28, 2021 and August 31, 2020,</w:t>
            </w:r>
          </w:p>
        </w:tc>
        <w:tc>
          <w:tcPr>
            <w:tcW w:w="20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989,918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939,067</w:t>
            </w:r>
          </w:p>
        </w:tc>
        <w:tc>
          <w:tcPr>
            <w:tcW w:w="0" w:type="dxa"/>
            <w:vAlign w:val="bottom"/>
          </w:tcPr>
          <w:p>
            <w:pPr>
              <w:spacing w:after="0"/>
              <w:rPr>
                <w:sz w:val="1"/>
                <w:szCs w:val="1"/>
                <w:color w:val="auto"/>
              </w:rPr>
            </w:pPr>
          </w:p>
        </w:tc>
      </w:tr>
      <w:tr>
        <w:trPr>
          <w:trHeight w:val="175"/>
        </w:trPr>
        <w:tc>
          <w:tcPr>
            <w:tcW w:w="76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Treasury stock, at cost: 3,098,662 and 2,737,456 shares at February 28, 2021 and August 31, 2020,</w:t>
            </w:r>
          </w:p>
        </w:tc>
        <w:tc>
          <w:tcPr>
            <w:tcW w:w="20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(753,954)</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(636,956)</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772,591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633,149</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980,468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896,375</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2,163,507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77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gridSpan w:val="3"/>
          </w:tcPr>
          <w:p>
            <w:pPr>
              <w:jc w:val="right"/>
              <w:ind w:right="650"/>
              <w:spacing w:after="0"/>
              <w:rPr>
                <w:sz w:val="20"/>
                <w:szCs w:val="20"/>
                <w:color w:val="auto"/>
              </w:rPr>
            </w:pPr>
            <w:r>
              <w:rPr>
                <w:rFonts w:ascii="Arial" w:cs="Arial" w:eastAsia="Arial" w:hAnsi="Arial"/>
                <w:sz w:val="18"/>
                <w:szCs w:val="18"/>
                <w:color w:val="auto"/>
              </w:rPr>
              <w:t>Six Months Ended</w:t>
            </w:r>
          </w:p>
        </w:tc>
      </w:tr>
      <w:tr>
        <w:trPr>
          <w:trHeight w:val="229"/>
        </w:trPr>
        <w:tc>
          <w:tcPr>
            <w:tcW w:w="128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2"/>
              </w:rPr>
              <w:t>February 28,</w:t>
            </w:r>
          </w:p>
        </w:tc>
        <w:tc>
          <w:tcPr>
            <w:tcW w:w="2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w w:val="92"/>
              </w:rPr>
              <w:t>February 29,</w:t>
            </w:r>
          </w:p>
        </w:tc>
      </w:tr>
      <w:tr>
        <w:trPr>
          <w:trHeight w:val="230"/>
        </w:trPr>
        <w:tc>
          <w:tcPr>
            <w:tcW w:w="8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197,849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182,643</w:t>
            </w: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30,962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28,296</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lease right-of-use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21,517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22,327</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18,028</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net of reserves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(15,421)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(21,835)</w:t>
            </w: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10,356</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(20,879)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(23,518)</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Deferred fees</w:t>
            </w:r>
          </w:p>
        </w:tc>
        <w:tc>
          <w:tcPr>
            <w:tcW w:w="1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12,445</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10,775</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 payable, net of prepaid taxes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16,688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Lease liabilities, net</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(20,549)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(13,924)</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(11,477)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3"/>
        </w:trPr>
        <w:tc>
          <w:tcPr>
            <w:tcW w:w="8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229,936</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195,460</w:t>
            </w:r>
          </w:p>
        </w:tc>
      </w:tr>
      <w:tr>
        <w:trPr>
          <w:trHeight w:val="196"/>
        </w:trPr>
        <w:tc>
          <w:tcPr>
            <w:tcW w:w="1280" w:type="dxa"/>
            <w:vAlign w:val="bottom"/>
            <w:shd w:val="clear" w:color="auto" w:fill="CCEEFF"/>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leasehold improvements and internal-use software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(28,758)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(51,899)</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Acquisition of business, net of cash and cash equivalents acquired</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(41,916)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Proceeds from maturity or sale of investments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2,176</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w:t>
            </w:r>
          </w:p>
        </w:tc>
      </w:tr>
      <w:tr>
        <w:trPr>
          <w:trHeight w:val="223"/>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(69,748)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w:t>
            </w:r>
          </w:p>
        </w:tc>
      </w:tr>
      <w:tr>
        <w:trPr>
          <w:trHeight w:val="216"/>
        </w:trPr>
        <w:tc>
          <w:tcPr>
            <w:tcW w:w="8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(114,640)</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(158,595)</w:t>
            </w: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(58,186)</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(54,363)</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Proceeds from employee stock plans</w:t>
            </w:r>
          </w:p>
        </w:tc>
        <w:tc>
          <w:tcPr>
            <w:tcW w:w="1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28,526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50,487</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(2,359)</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23"/>
        </w:trPr>
        <w:tc>
          <w:tcPr>
            <w:tcW w:w="8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cash used by financing activities</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(146,659)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(164,057)</w:t>
            </w:r>
          </w:p>
        </w:tc>
      </w:tr>
      <w:tr>
        <w:trPr>
          <w:trHeight w:val="257"/>
        </w:trPr>
        <w:tc>
          <w:tcPr>
            <w:tcW w:w="8420" w:type="dxa"/>
            <w:vAlign w:val="bottom"/>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3,550</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17,079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w:t>
            </w: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585,605</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359,799</w:t>
            </w:r>
          </w:p>
        </w:tc>
      </w:tr>
      <w:tr>
        <w:trPr>
          <w:trHeight w:val="24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602,684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343,488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February 28,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120" w:type="dxa"/>
            <w:vAlign w:val="bottom"/>
            <w:gridSpan w:val="3"/>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Arial" w:cs="Arial" w:eastAsia="Arial" w:hAnsi="Arial"/>
                <w:sz w:val="13"/>
                <w:szCs w:val="13"/>
                <w:color w:val="auto"/>
              </w:rPr>
              <w:t>Additional</w:t>
            </w:r>
          </w:p>
        </w:tc>
        <w:tc>
          <w:tcPr>
            <w:tcW w:w="2240" w:type="dxa"/>
            <w:vAlign w:val="bottom"/>
            <w:gridSpan w:val="3"/>
          </w:tcPr>
          <w:p>
            <w:pPr>
              <w:jc w:val="right"/>
              <w:ind w:right="677"/>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2"/>
                <w:szCs w:val="12"/>
                <w:color w:val="auto"/>
              </w:rPr>
            </w:pPr>
          </w:p>
        </w:tc>
        <w:tc>
          <w:tcPr>
            <w:tcW w:w="960" w:type="dxa"/>
            <w:vAlign w:val="bottom"/>
          </w:tcPr>
          <w:p>
            <w:pPr>
              <w:jc w:val="center"/>
              <w:ind w:right="7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Arial" w:cs="Arial" w:eastAsia="Arial" w:hAnsi="Arial"/>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jc w:val="right"/>
              <w:ind w:right="239"/>
              <w:spacing w:after="0" w:line="95" w:lineRule="exact"/>
              <w:rPr>
                <w:sz w:val="20"/>
                <w:szCs w:val="20"/>
                <w:color w:val="auto"/>
              </w:rPr>
            </w:pPr>
            <w:r>
              <w:rPr>
                <w:rFonts w:ascii="Arial" w:cs="Arial" w:eastAsia="Arial" w:hAnsi="Arial"/>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9"/>
              <w:spacing w:after="0" w:line="95" w:lineRule="exact"/>
              <w:rPr>
                <w:sz w:val="20"/>
                <w:szCs w:val="20"/>
                <w:color w:val="auto"/>
              </w:rPr>
            </w:pPr>
            <w:r>
              <w:rPr>
                <w:rFonts w:ascii="Arial" w:cs="Arial" w:eastAsia="Arial" w:hAnsi="Arial"/>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November 30, 2020</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40,884,113</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968,375</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2,875,984</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(682,224)</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705,089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399"/>
              <w:spacing w:after="0"/>
              <w:rPr>
                <w:sz w:val="20"/>
                <w:szCs w:val="20"/>
                <w:color w:val="auto"/>
              </w:rPr>
            </w:pPr>
            <w:r>
              <w:rPr>
                <w:rFonts w:ascii="Arial" w:cs="Arial" w:eastAsia="Arial" w:hAnsi="Arial"/>
                <w:sz w:val="13"/>
                <w:szCs w:val="13"/>
                <w:color w:val="auto"/>
                <w:w w:val="86"/>
              </w:rPr>
              <w:t>(39,076)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952,573</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9"/>
              <w:spacing w:after="0"/>
              <w:rPr>
                <w:sz w:val="20"/>
                <w:szCs w:val="20"/>
                <w:color w:val="auto"/>
              </w:rPr>
            </w:pPr>
            <w:r>
              <w:rPr>
                <w:rFonts w:ascii="Arial" w:cs="Arial" w:eastAsia="Arial" w:hAnsi="Arial"/>
                <w:sz w:val="13"/>
                <w:szCs w:val="13"/>
                <w:color w:val="auto"/>
              </w:rPr>
              <w:t>96,643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96,643</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19"/>
              <w:spacing w:after="0"/>
              <w:rPr>
                <w:sz w:val="20"/>
                <w:szCs w:val="20"/>
                <w:color w:val="auto"/>
              </w:rPr>
            </w:pPr>
            <w:r>
              <w:rPr>
                <w:rFonts w:ascii="Arial" w:cs="Arial" w:eastAsia="Arial" w:hAnsi="Arial"/>
                <w:sz w:val="13"/>
                <w:szCs w:val="13"/>
                <w:color w:val="auto"/>
                <w:w w:val="90"/>
              </w:rPr>
              <w:t>10,580</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10,580</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58,550</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10,533</w:t>
            </w: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318</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color w:val="auto"/>
              </w:rPr>
              <w:t>(104)</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10,429</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Arial" w:cs="Arial" w:eastAsia="Arial" w:hAnsi="Arial"/>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997</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221,959</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(71,495)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(71,495)</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11,010</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11,010</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(29,141)</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(29,141)</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February 28, 2021</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40,943,660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989,918</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3,098,662</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(753,954)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772,591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3"/>
                <w:szCs w:val="13"/>
                <w:color w:val="auto"/>
                <w:w w:val="86"/>
              </w:rPr>
              <w:t>(28,496)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980,468</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 the Six Months Ended February 28, 2021</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 except share data)</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as of August 31, 2020</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comprehensive income</w:t>
      </w:r>
    </w:p>
    <w:p>
      <w:pPr>
        <w:spacing w:after="0" w:line="26" w:lineRule="exact"/>
        <w:rPr>
          <w:sz w:val="20"/>
          <w:szCs w:val="20"/>
          <w:color w:val="auto"/>
        </w:rPr>
      </w:pPr>
    </w:p>
    <w:p>
      <w:pPr>
        <w:ind w:left="140"/>
        <w:spacing w:after="0" w:line="226" w:lineRule="auto"/>
        <w:rPr>
          <w:sz w:val="20"/>
          <w:szCs w:val="20"/>
          <w:color w:val="auto"/>
        </w:rPr>
      </w:pPr>
      <w:r>
        <w:rPr>
          <w:rFonts w:ascii="Arial" w:cs="Arial" w:eastAsia="Arial" w:hAnsi="Arial"/>
          <w:sz w:val="13"/>
          <w:szCs w:val="13"/>
          <w:color w:val="auto"/>
        </w:rPr>
        <w:t>Common stock issued for employee stock plans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Vesting of restricted stock</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Repurchases of common stock</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Stock-based compensation</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Dividends declared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as of February 28, 2021</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2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color w:val="auto"/>
              </w:rPr>
              <w:t>Additional</w:t>
            </w:r>
          </w:p>
        </w:tc>
        <w:tc>
          <w:tcPr>
            <w:tcW w:w="156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2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7"/>
              <w:spacing w:after="0" w:line="122" w:lineRule="exact"/>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237"/>
              <w:spacing w:after="0" w:line="122" w:lineRule="exact"/>
              <w:rPr>
                <w:sz w:val="20"/>
                <w:szCs w:val="20"/>
                <w:color w:val="auto"/>
              </w:rPr>
            </w:pPr>
            <w:r>
              <w:rPr>
                <w:rFonts w:ascii="Arial" w:cs="Arial" w:eastAsia="Arial" w:hAnsi="Arial"/>
                <w:sz w:val="13"/>
                <w:szCs w:val="13"/>
                <w:color w:val="auto"/>
              </w:rPr>
              <w:t>Paid-in</w:t>
            </w: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Retained</w:t>
            </w:r>
          </w:p>
        </w:tc>
        <w:tc>
          <w:tcPr>
            <w:tcW w:w="180" w:type="dxa"/>
            <w:vAlign w:val="bottom"/>
          </w:tcPr>
          <w:p>
            <w:pPr>
              <w:spacing w:after="0"/>
              <w:rPr>
                <w:sz w:val="2"/>
                <w:szCs w:val="2"/>
                <w:color w:val="auto"/>
              </w:rPr>
            </w:pPr>
          </w:p>
        </w:tc>
        <w:tc>
          <w:tcPr>
            <w:tcW w:w="104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2"/>
                <w:szCs w:val="2"/>
                <w:color w:val="auto"/>
              </w:rPr>
            </w:pPr>
          </w:p>
        </w:tc>
        <w:tc>
          <w:tcPr>
            <w:tcW w:w="96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75"/>
        </w:trPr>
        <w:tc>
          <w:tcPr>
            <w:tcW w:w="1000" w:type="dxa"/>
            <w:vAlign w:val="bottom"/>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6"/>
                <w:szCs w:val="6"/>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1140" w:type="dxa"/>
            <w:vAlign w:val="bottom"/>
            <w:gridSpan w:val="2"/>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Capital</w:t>
            </w:r>
          </w:p>
        </w:tc>
        <w:tc>
          <w:tcPr>
            <w:tcW w:w="110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3"/>
                <w:szCs w:val="13"/>
                <w:color w:val="auto"/>
              </w:rPr>
              <w:t>Earnings</w:t>
            </w:r>
          </w:p>
        </w:tc>
        <w:tc>
          <w:tcPr>
            <w:tcW w:w="180" w:type="dxa"/>
            <w:vAlign w:val="bottom"/>
          </w:tcPr>
          <w:p>
            <w:pPr>
              <w:spacing w:after="0"/>
              <w:rPr>
                <w:sz w:val="13"/>
                <w:szCs w:val="13"/>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87"/>
              </w:rPr>
              <w:t>Loss</w:t>
            </w:r>
          </w:p>
        </w:tc>
        <w:tc>
          <w:tcPr>
            <w:tcW w:w="200" w:type="dxa"/>
            <w:vAlign w:val="bottom"/>
          </w:tcPr>
          <w:p>
            <w:pPr>
              <w:spacing w:after="0"/>
              <w:rPr>
                <w:sz w:val="13"/>
                <w:szCs w:val="13"/>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5"/>
        </w:trPr>
        <w:tc>
          <w:tcPr>
            <w:tcW w:w="1000" w:type="dxa"/>
            <w:vAlign w:val="bottom"/>
          </w:tcPr>
          <w:p>
            <w:pPr>
              <w:jc w:val="right"/>
              <w:ind w:right="37"/>
              <w:spacing w:after="0"/>
              <w:rPr>
                <w:sz w:val="20"/>
                <w:szCs w:val="20"/>
                <w:color w:val="auto"/>
              </w:rPr>
            </w:pPr>
            <w:r>
              <w:rPr>
                <w:rFonts w:ascii="Arial" w:cs="Arial" w:eastAsia="Arial" w:hAnsi="Arial"/>
                <w:sz w:val="13"/>
                <w:szCs w:val="13"/>
                <w:color w:val="auto"/>
              </w:rPr>
              <w:t>40,767,708</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408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939,067</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2,737,456</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w w:val="93"/>
              </w:rPr>
              <w:t>(636,956)</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ind w:left="320"/>
              <w:spacing w:after="0"/>
              <w:rPr>
                <w:sz w:val="20"/>
                <w:szCs w:val="20"/>
                <w:color w:val="auto"/>
              </w:rPr>
            </w:pPr>
            <w:r>
              <w:rPr>
                <w:rFonts w:ascii="Arial" w:cs="Arial" w:eastAsia="Arial" w:hAnsi="Arial"/>
                <w:sz w:val="13"/>
                <w:szCs w:val="13"/>
                <w:color w:val="auto"/>
              </w:rPr>
              <w:t>633,149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center"/>
              <w:ind w:left="397"/>
              <w:spacing w:after="0"/>
              <w:rPr>
                <w:sz w:val="20"/>
                <w:szCs w:val="20"/>
                <w:color w:val="auto"/>
              </w:rPr>
            </w:pPr>
            <w:r>
              <w:rPr>
                <w:rFonts w:ascii="Arial" w:cs="Arial" w:eastAsia="Arial" w:hAnsi="Arial"/>
                <w:sz w:val="13"/>
                <w:szCs w:val="13"/>
                <w:color w:val="auto"/>
                <w:w w:val="86"/>
              </w:rPr>
              <w:t>(39,293)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896,375</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ind w:left="320"/>
              <w:spacing w:after="0"/>
              <w:rPr>
                <w:sz w:val="20"/>
                <w:szCs w:val="20"/>
                <w:color w:val="auto"/>
              </w:rPr>
            </w:pPr>
            <w:r>
              <w:rPr>
                <w:rFonts w:ascii="Arial" w:cs="Arial" w:eastAsia="Arial" w:hAnsi="Arial"/>
                <w:sz w:val="13"/>
                <w:szCs w:val="13"/>
                <w:color w:val="auto"/>
              </w:rPr>
              <w:t>197,849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197,849</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left="417"/>
              <w:spacing w:after="0"/>
              <w:rPr>
                <w:sz w:val="20"/>
                <w:szCs w:val="20"/>
                <w:color w:val="auto"/>
              </w:rPr>
            </w:pPr>
            <w:r>
              <w:rPr>
                <w:rFonts w:ascii="Arial" w:cs="Arial" w:eastAsia="Arial" w:hAnsi="Arial"/>
                <w:sz w:val="13"/>
                <w:szCs w:val="13"/>
                <w:color w:val="auto"/>
                <w:w w:val="90"/>
              </w:rPr>
              <w:t>10,797</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10,797</w:t>
            </w:r>
          </w:p>
        </w:tc>
        <w:tc>
          <w:tcPr>
            <w:tcW w:w="0" w:type="dxa"/>
            <w:vAlign w:val="bottom"/>
          </w:tcPr>
          <w:p>
            <w:pPr>
              <w:spacing w:after="0"/>
              <w:rPr>
                <w:sz w:val="1"/>
                <w:szCs w:val="1"/>
                <w:color w:val="auto"/>
              </w:rPr>
            </w:pPr>
          </w:p>
        </w:tc>
      </w:tr>
      <w:tr>
        <w:trPr>
          <w:trHeight w:val="230"/>
        </w:trPr>
        <w:tc>
          <w:tcPr>
            <w:tcW w:w="1000" w:type="dxa"/>
            <w:vAlign w:val="bottom"/>
          </w:tcPr>
          <w:p>
            <w:pPr>
              <w:jc w:val="right"/>
              <w:ind w:right="37"/>
              <w:spacing w:after="0"/>
              <w:rPr>
                <w:sz w:val="20"/>
                <w:szCs w:val="20"/>
                <w:color w:val="auto"/>
              </w:rPr>
            </w:pPr>
            <w:r>
              <w:rPr>
                <w:rFonts w:ascii="Arial" w:cs="Arial" w:eastAsia="Arial" w:hAnsi="Arial"/>
                <w:sz w:val="13"/>
                <w:szCs w:val="13"/>
                <w:color w:val="auto"/>
              </w:rPr>
              <w:t>157,009</w:t>
            </w:r>
          </w:p>
        </w:tc>
        <w:tc>
          <w:tcPr>
            <w:tcW w:w="220" w:type="dxa"/>
            <w:vAlign w:val="bottom"/>
          </w:tcPr>
          <w:p>
            <w:pPr>
              <w:spacing w:after="0"/>
              <w:rPr>
                <w:sz w:val="19"/>
                <w:szCs w:val="19"/>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28,524</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318</w:t>
            </w:r>
          </w:p>
        </w:tc>
        <w:tc>
          <w:tcPr>
            <w:tcW w:w="460" w:type="dxa"/>
            <w:vAlign w:val="bottom"/>
          </w:tcPr>
          <w:p>
            <w:pPr>
              <w:spacing w:after="0"/>
              <w:rPr>
                <w:sz w:val="19"/>
                <w:szCs w:val="19"/>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(104)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28,421</w:t>
            </w:r>
          </w:p>
        </w:tc>
        <w:tc>
          <w:tcPr>
            <w:tcW w:w="0" w:type="dxa"/>
            <w:vAlign w:val="bottom"/>
          </w:tcPr>
          <w:p>
            <w:pPr>
              <w:spacing w:after="0"/>
              <w:rPr>
                <w:sz w:val="1"/>
                <w:szCs w:val="1"/>
                <w:color w:val="auto"/>
              </w:rPr>
            </w:pPr>
          </w:p>
        </w:tc>
      </w:tr>
      <w:tr>
        <w:trPr>
          <w:trHeight w:val="243"/>
        </w:trPr>
        <w:tc>
          <w:tcPr>
            <w:tcW w:w="1000" w:type="dxa"/>
            <w:vAlign w:val="bottom"/>
          </w:tcPr>
          <w:p>
            <w:pPr>
              <w:jc w:val="right"/>
              <w:ind w:right="37"/>
              <w:spacing w:after="0"/>
              <w:rPr>
                <w:sz w:val="20"/>
                <w:szCs w:val="20"/>
                <w:color w:val="auto"/>
              </w:rPr>
            </w:pPr>
            <w:r>
              <w:rPr>
                <w:rFonts w:ascii="Arial" w:cs="Arial" w:eastAsia="Arial" w:hAnsi="Arial"/>
                <w:sz w:val="13"/>
                <w:szCs w:val="13"/>
                <w:color w:val="auto"/>
              </w:rPr>
              <w:t>18,943</w:t>
            </w:r>
          </w:p>
        </w:tc>
        <w:tc>
          <w:tcPr>
            <w:tcW w:w="220" w:type="dxa"/>
            <w:vAlign w:val="bottom"/>
          </w:tcPr>
          <w:p>
            <w:pPr>
              <w:spacing w:after="0"/>
              <w:rPr>
                <w:sz w:val="21"/>
                <w:szCs w:val="21"/>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7,129</w:t>
            </w:r>
          </w:p>
        </w:tc>
        <w:tc>
          <w:tcPr>
            <w:tcW w:w="460" w:type="dxa"/>
            <w:vAlign w:val="bottom"/>
          </w:tcPr>
          <w:p>
            <w:pPr>
              <w:spacing w:after="0"/>
              <w:rPr>
                <w:sz w:val="21"/>
                <w:szCs w:val="21"/>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(2,254)</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(2,254)</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353,759</w:t>
            </w:r>
          </w:p>
        </w:tc>
        <w:tc>
          <w:tcPr>
            <w:tcW w:w="4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w w:val="93"/>
              </w:rPr>
              <w:t>(114,640)</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(114,640)</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22,327</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22,327</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9"/>
              </w:rPr>
              <w:t>(58,407)</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(58,407)</w:t>
            </w:r>
          </w:p>
        </w:tc>
        <w:tc>
          <w:tcPr>
            <w:tcW w:w="0" w:type="dxa"/>
            <w:vAlign w:val="bottom"/>
          </w:tcPr>
          <w:p>
            <w:pPr>
              <w:spacing w:after="0"/>
              <w:rPr>
                <w:sz w:val="1"/>
                <w:szCs w:val="1"/>
                <w:color w:val="auto"/>
              </w:rPr>
            </w:pPr>
          </w:p>
        </w:tc>
      </w:tr>
      <w:tr>
        <w:trPr>
          <w:trHeight w:val="169"/>
        </w:trPr>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40,943,660</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989,918</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3,098,662</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3"/>
              </w:rPr>
              <w:t>(753,954)</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772,591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color w:val="auto"/>
                <w:w w:val="86"/>
              </w:rPr>
              <w:t>(28,496)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980,468</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-1122680</wp:posOffset>
            </wp:positionV>
            <wp:extent cx="7115175"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-899795</wp:posOffset>
            </wp:positionV>
            <wp:extent cx="7115175"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-599440</wp:posOffset>
            </wp:positionV>
            <wp:extent cx="7115175"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-376555</wp:posOffset>
            </wp:positionV>
            <wp:extent cx="7115175"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-153670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60"/>
            <w:col w:w="870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February 29,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20" w:type="dxa"/>
            <w:vAlign w:val="bottom"/>
            <w:gridSpan w:val="5"/>
            <w:vMerge w:val="restart"/>
          </w:tcPr>
          <w:p>
            <w:pPr>
              <w:ind w:left="620"/>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ind w:left="640"/>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3"/>
          </w:tcPr>
          <w:p>
            <w:pPr>
              <w:ind w:left="620"/>
              <w:spacing w:after="0" w:line="122" w:lineRule="exact"/>
              <w:rPr>
                <w:sz w:val="20"/>
                <w:szCs w:val="20"/>
                <w:color w:val="auto"/>
              </w:rPr>
            </w:pPr>
            <w:r>
              <w:rPr>
                <w:rFonts w:ascii="Arial" w:cs="Arial" w:eastAsia="Arial" w:hAnsi="Arial"/>
                <w:sz w:val="13"/>
                <w:szCs w:val="13"/>
                <w:color w:val="auto"/>
              </w:rPr>
              <w:t>Shares Amount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94"/>
              </w:rPr>
              <w:t>Additional</w:t>
            </w: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jc w:val="right"/>
              <w:ind w:right="237"/>
              <w:spacing w:after="0"/>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4"/>
                <w:szCs w:val="4"/>
                <w:color w:val="auto"/>
              </w:rPr>
            </w:pPr>
          </w:p>
        </w:tc>
        <w:tc>
          <w:tcPr>
            <w:tcW w:w="96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color w:val="auto"/>
              </w:rPr>
              <w:t>Par Value</w:t>
            </w:r>
          </w:p>
        </w:tc>
        <w:tc>
          <w:tcPr>
            <w:tcW w:w="14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88"/>
              </w:rPr>
              <w:t>Paid-in</w:t>
            </w:r>
          </w:p>
        </w:tc>
        <w:tc>
          <w:tcPr>
            <w:tcW w:w="10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10"/>
                <w:szCs w:val="10"/>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7"/>
              <w:spacing w:after="0" w:line="122" w:lineRule="exact"/>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8"/>
              </w:rPr>
              <w:t>Capital</w:t>
            </w: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November 30, 2019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40,239,308</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835,968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2,335,130</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(519,678)</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439,891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(64,706)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691,877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88,686</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88,686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(1,773)</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211,943</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31,306</w:t>
            </w:r>
          </w:p>
        </w:tc>
        <w:tc>
          <w:tcPr>
            <w:tcW w:w="100" w:type="dxa"/>
            <w:vAlign w:val="bottom"/>
          </w:tcPr>
          <w:p>
            <w:pPr>
              <w:spacing w:after="0"/>
              <w:rPr>
                <w:sz w:val="10"/>
                <w:szCs w:val="10"/>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31,298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267,500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(74,172)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(74,172)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8,214</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(27,251)</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(27,251)</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February 29, 2020</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40,452,351</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875,488</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2,603,104</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(593,980)</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501,326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(66,479)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716,760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For the Six Months Ended February 29, 2020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20" w:type="dxa"/>
            <w:vAlign w:val="bottom"/>
            <w:gridSpan w:val="5"/>
            <w:vMerge w:val="restart"/>
          </w:tcPr>
          <w:p>
            <w:pPr>
              <w:ind w:left="620"/>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color w:val="auto"/>
                <w:w w:val="94"/>
              </w:rPr>
              <w:t>Additional</w:t>
            </w:r>
          </w:p>
        </w:tc>
        <w:tc>
          <w:tcPr>
            <w:tcW w:w="2140" w:type="dxa"/>
            <w:vAlign w:val="bottom"/>
            <w:gridSpan w:val="3"/>
          </w:tcPr>
          <w:p>
            <w:pPr>
              <w:ind w:left="640"/>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24"/>
                <w:szCs w:val="24"/>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140" w:type="dxa"/>
            <w:vAlign w:val="bottom"/>
            <w:gridSpan w:val="3"/>
          </w:tcPr>
          <w:p>
            <w:pPr>
              <w:ind w:left="620"/>
              <w:spacing w:after="0" w:line="122" w:lineRule="exact"/>
              <w:rPr>
                <w:sz w:val="20"/>
                <w:szCs w:val="20"/>
                <w:color w:val="auto"/>
              </w:rPr>
            </w:pPr>
            <w:r>
              <w:rPr>
                <w:rFonts w:ascii="Arial" w:cs="Arial" w:eastAsia="Arial" w:hAnsi="Arial"/>
                <w:sz w:val="13"/>
                <w:szCs w:val="13"/>
                <w:color w:val="auto"/>
              </w:rPr>
              <w:t>Shares Amount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7"/>
              <w:spacing w:after="0" w:line="122" w:lineRule="exact"/>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8"/>
              </w:rPr>
              <w:t>Paid-in</w:t>
            </w: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right"/>
              <w:ind w:right="237"/>
              <w:spacing w:after="0" w:line="122"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2"/>
                <w:szCs w:val="2"/>
                <w:color w:val="auto"/>
              </w:rPr>
            </w:pPr>
          </w:p>
        </w:tc>
        <w:tc>
          <w:tcPr>
            <w:tcW w:w="104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2"/>
                <w:szCs w:val="2"/>
                <w:color w:val="auto"/>
              </w:rPr>
            </w:pPr>
          </w:p>
        </w:tc>
        <w:tc>
          <w:tcPr>
            <w:tcW w:w="96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6"/>
                <w:szCs w:val="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color w:val="auto"/>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6"/>
                <w:szCs w:val="6"/>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Capital</w:t>
            </w: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3"/>
                <w:szCs w:val="13"/>
                <w:color w:val="auto"/>
              </w:rPr>
              <w:t>Earnings</w:t>
            </w:r>
          </w:p>
        </w:tc>
        <w:tc>
          <w:tcPr>
            <w:tcW w:w="18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87"/>
              </w:rPr>
              <w:t>Loss</w:t>
            </w:r>
          </w:p>
        </w:tc>
        <w:tc>
          <w:tcPr>
            <w:tcW w:w="20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Balance as of August 31, 2019</w:t>
            </w:r>
          </w:p>
        </w:tc>
        <w:tc>
          <w:tcPr>
            <w:tcW w:w="10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40,104,192</w:t>
            </w:r>
          </w:p>
        </w:tc>
        <w:tc>
          <w:tcPr>
            <w:tcW w:w="2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806,973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1,986,352</w:t>
            </w:r>
          </w:p>
        </w:tc>
        <w:tc>
          <w:tcPr>
            <w:tcW w:w="2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(433,799)</w:t>
            </w: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373,225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(74,544)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672,256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182,643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182,643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8,065</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331,683</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50,487</w:t>
            </w:r>
          </w:p>
        </w:tc>
        <w:tc>
          <w:tcPr>
            <w:tcW w:w="100" w:type="dxa"/>
            <w:vAlign w:val="bottom"/>
          </w:tcPr>
          <w:p>
            <w:pPr>
              <w:spacing w:after="0"/>
              <w:rPr>
                <w:sz w:val="10"/>
                <w:szCs w:val="10"/>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50,480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16,476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6,209</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(1,575)</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610,500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(158,595)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(158,595)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18,028</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(54,542)</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(54,542)</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February 29, 2020</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40,452,351</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875,488</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2,603,104</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(593,980)</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501,326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(66,479)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716,760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9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 1</w:t>
            </w:r>
          </w:p>
        </w:tc>
        <w:tc>
          <w:tcPr>
            <w:tcW w:w="6440" w:type="dxa"/>
            <w:vAlign w:val="bottom"/>
            <w:shd w:val="clear" w:color="auto" w:fill="CCEEFF"/>
          </w:tcPr>
          <w:p>
            <w:pPr>
              <w:ind w:left="1260"/>
              <w:spacing w:after="0" w:line="189" w:lineRule="exact"/>
              <w:rPr>
                <w:sz w:val="20"/>
                <w:szCs w:val="20"/>
                <w:color w:val="auto"/>
              </w:rPr>
            </w:pPr>
            <w:r>
              <w:rPr>
                <w:rFonts w:ascii="Arial" w:cs="Arial" w:eastAsia="Arial" w:hAnsi="Arial"/>
                <w:sz w:val="18"/>
                <w:szCs w:val="18"/>
                <w:color w:val="auto"/>
              </w:rPr>
              <w:t>Description of Business</w:t>
            </w:r>
          </w:p>
        </w:tc>
        <w:tc>
          <w:tcPr>
            <w:tcW w:w="2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21"/>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2</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Basis of Presentation</w:t>
            </w:r>
          </w:p>
        </w:tc>
        <w:tc>
          <w:tcPr>
            <w:tcW w:w="274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3</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Recent Accounting Pronouncements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4</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Revenue Recognition</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Fair Value Measures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6</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Derivative Instruments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7</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Acquisition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8</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Goodwill</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9</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Income Taxes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10</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Leases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11</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Debt</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12</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Commitments and Contingencies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13</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Stockholders' Equity</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14</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Earnings Per Share</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Stock-Based Compensation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16</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Segment Information</w:t>
            </w:r>
          </w:p>
        </w:tc>
        <w:tc>
          <w:tcPr>
            <w:tcW w:w="274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9"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Research Systems Inc. and its wholly-owned subsidiaries (collectively, the "Company" or "FactSet") is a global provider of integrated financial information, analytical applications and industry-leading services for the investment and corporate communities. For over 40 years, global financial professionals have utilized the Company's content and multi-asset class solutions across each stage of the investment process. FactSet's goal is to provide a seamless user experience spanning idea generation, research, portfolio construction and analysis, trade execution, performance measurement, risk management and reporting, in which the Company serves the front, middle, and back offices to drive productivity and improved performance. FactSet's flexible, open data and technology solutions can be implemented both across the investment portfolio lifecycle or as standalone components serving different workflows in an organization. FactSet is focused on growing the business through three segments: the Americas, EMEA, and Asia Pacific. Within each of these segments, the Company primarily delivers insight and information through the four workflow solutions of Research, Analytics and Trading, Content and Technology Solutions ("CTS"), and Wealth.</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currently serves a wide range of financial professionals, including but not limited to portfolio managers, investment research professionals, investment bankers, risk and performance analysts, wealth advisors and corporate clients. FactSet provides both insights on global market trends and intelligence on companies and industries, as well as capabilities to monitor portfolio risk and performance and execute trades. The Company combines dedicated client service with open and flexible technology offerings, such as a configurable desktop and mobile platform, comprehensive data feeds, open marketplace and digital portals and application programming interfaces ("APIs"). The Company’s revenue is primarily derived from subscriptions to products and services such as workstations, portfolio analytics, enterprise data, and research management.</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conducts business globally and is managed on a geographic basis. The accompanying unaudited Consolidated Financial Statements and Notes to the Company's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The accompanying Consolidated Financial Statements include the accounts of the Company and its wholly-owned subsidiaries. All intercompany activity and balances have been eliminated.</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the Company’s results of operations, financial position, cash flows and equity. Certain notes and other information have been condensed or omitted in this Quarterly Report on Form 10-Q, therefore the information in this Quarterly Report on Form 10-Q should be read in conjunction with the audited Consolidated Financial Statements and notes thereto included in the Company’s Annual Report on Form 10-K for the fiscal year ended August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the financial statements were issued.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Company reclassified in the Consolidated Statement of Cash Flows certain prior year comparative figures from Other, net to Amortization of lease right-of-use assets and Lease liabilities, net within Net cash provided by operating activities to conform to the current year's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FactSet is closely monitoring pandemic-related developments and has taken, and continues to take, numerous steps to address them. At the outset of the pandemic, FactSet required nearly all its employees to work remotely on a temporary basis and implemented global travel restrictions for employees. As local public health conditions have improved in some locations, FactSet has begun to re-open certain offices in a phased manner consistent with local regulations. The transition to remote working has not significantly affected financial results for the six months ended February 28, 2021. Since the situation surrounding the COVID-19 pandemic remains fluid, FactSet is actively managing its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response and has assessed potential impacts to its financial position and operating results for the six months ended February 28, 2021. The extent of the effect on the Company’s operational and financial performance will depend on future developments, including the duration, spread and intensity of the pandemic, and governmental, regulatory and private sector responses, including the availability of COVID-19 vaccines, all of which are uncertain and difficult to predict.</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RECENT ACCOUNTING PRONOUNCEMENTS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the Company implemented all applicable new accounting standards and updates issued by the Financial Accounting Standards Board ("FASB") that were in effect. There were no new standards or updates adopted during the six months ended February 28, 2021 that had a material impact on the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or Updates Recently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The Company has adopted this standard effective September 1, 2020. The adoption of this accounting standard update had no impact on the Company's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2016, the FASB issued ASU 2016-03,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significantly changes how entities will measure credit losses for most financial assets and certain other instruments that are not measured at fair value through net income. The standard replaces the "incurred loss" approach with an "expected loss" model for instruments measured at amortized cost. Subsequent to the adoption, the allowance for doubtful accounts is made when the financial asset is first recorded to the balance sheet (and periodically thereafter) and is based on information about past events, including historical experience, current conditions, and reasonable and supportable forecasts that affect the collectibility of the reported amount. The Company has adopted this standard effective September 1, 2020. The adoption of this accounting standard update did not have a material impact on the Company's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or Updates Not Yet Effective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Facilitation of the Effects of Reference Rate Reform on Financial Reporting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w:t>
      </w:r>
      <w:r>
        <w:rPr>
          <w:rFonts w:ascii="Arial" w:cs="Arial" w:eastAsia="Arial" w:hAnsi="Arial"/>
          <w:sz w:val="17"/>
          <w:szCs w:val="17"/>
          <w:color w:val="auto"/>
        </w:rPr>
        <w:t>g, to provide optional expedients and exceptions for applying GAAP to contract modifications,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The Company is currently evaluating the impact of this accounting standard, but it is not expected to have a material impact on the Company’s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Simplification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The guidance will be effective for the Company in the first quarter of fiscal 2022, with early adoption permitted. Most amendments are required to be applied on a prospective basis, while certain amendments must be applied on a retrospective or modified retrospective basis. The Company is currently evaluating the potential impact of adopting the guidance on its Consolidated Financial Statements.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other new accounting pronouncements issued or effective as of February 28, 2021 have had, or are expected to have, a material impact on the Company’s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REVENUE RECOGNITION</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derives most of its revenue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enterprise data, and research management. The Company determined that the subscription-based service represents a single performance obligation covering a series of distinct products and services that are substantially the same and that have the same pattern of transfer to the client. The Company also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FactSet does not consider payment terms as a performance obligation for clients with contractual terms that are one year or less and the Company has elected the practical expedient.</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disaggregates revenue from contracts with clients by geographic region, which includes the Americas, EMEA and Asia Pacific. FactSet believes these regions are reflective of how the Company manages the business and the markets in which it serves. These regions best depict the nature, amount, timing and uncertainty of revenue and cash flows related to contracts with clients.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revenue by geographic region.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this disaggregation of revenue by geography: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9"/>
                <w:szCs w:val="19"/>
                <w:color w:val="auto"/>
              </w:rPr>
            </w:pPr>
          </w:p>
        </w:tc>
        <w:tc>
          <w:tcPr>
            <w:tcW w:w="2920" w:type="dxa"/>
            <w:vAlign w:val="bottom"/>
            <w:gridSpan w:val="3"/>
          </w:tcPr>
          <w:p>
            <w:pPr>
              <w:jc w:val="right"/>
              <w:ind w:right="810"/>
              <w:spacing w:after="0"/>
              <w:rPr>
                <w:sz w:val="20"/>
                <w:szCs w:val="20"/>
                <w:color w:val="auto"/>
              </w:rPr>
            </w:pPr>
            <w:r>
              <w:rPr>
                <w:rFonts w:ascii="Arial" w:cs="Arial" w:eastAsia="Arial" w:hAnsi="Arial"/>
                <w:sz w:val="18"/>
                <w:szCs w:val="18"/>
                <w:color w:val="auto"/>
              </w:rPr>
              <w:t>Six Months Ended</w:t>
            </w:r>
          </w:p>
        </w:tc>
      </w:tr>
      <w:tr>
        <w:trPr>
          <w:trHeight w:val="230"/>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w w:val="95"/>
              </w:rPr>
              <w:t>February 28,</w:t>
            </w:r>
          </w:p>
        </w:tc>
        <w:tc>
          <w:tcPr>
            <w:tcW w:w="3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w w:val="95"/>
              </w:rPr>
              <w:t>February 29,</w:t>
            </w:r>
          </w:p>
        </w:tc>
        <w:tc>
          <w:tcPr>
            <w:tcW w:w="3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w w:val="95"/>
              </w:rPr>
              <w:t>February 28,</w:t>
            </w:r>
          </w:p>
        </w:tc>
        <w:tc>
          <w:tcPr>
            <w:tcW w:w="30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w w:val="95"/>
              </w:rPr>
              <w:t>February 29,</w:t>
            </w:r>
          </w:p>
        </w:tc>
      </w:tr>
      <w:tr>
        <w:trPr>
          <w:trHeight w:val="27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247,991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232,731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492,327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464,061</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105,493</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102,105</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211,270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202,935</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38,304</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34,944</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76,396</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69,442</w:t>
            </w: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391,788</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369,780</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779,993</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736,438</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FAIR VALUE MEASURES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The Company considers the principal or most advantageous market in which it would transact and considers assumptions that market participants would use when pricing the asset or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placement within the fair value hierarchy levels. FactSet has categorized its cash equivalents, investments and derivatives within the fair value hierarchy as follows: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include the Company’s corporate money market funds that are classified as cash equivalents.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u w:val="single" w:color="auto"/>
          <w:color w:val="auto"/>
        </w:rPr>
        <w:t>Level 3</w:t>
      </w:r>
      <w:r>
        <w:rPr>
          <w:rFonts w:ascii="Arial" w:cs="Arial" w:eastAsia="Arial" w:hAnsi="Arial"/>
          <w:sz w:val="16"/>
          <w:szCs w:val="16"/>
          <w:i w:val="1"/>
          <w:iCs w:val="1"/>
          <w:color w:val="auto"/>
        </w:rPr>
        <w:t xml:space="preserve"> </w:t>
      </w:r>
      <w:r>
        <w:rPr>
          <w:rFonts w:ascii="Arial" w:cs="Arial" w:eastAsia="Arial" w:hAnsi="Arial"/>
          <w:sz w:val="16"/>
          <w:szCs w:val="16"/>
          <w:color w:val="auto"/>
        </w:rPr>
        <w:t>– applies to assets or liabilities for which there are unobservable inputs to the valuation methodology that are significant to the measurement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assets or liabilities. There were no Level 3 assets or liabilities held by the Company as of February 28, 2021 or August 31,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show, by level within the fair value hierarchy, the Company’s assets and liabilities that are measured at fair value on a recurring basis at February 28, 2021 and August 31, 2020. The Company did not have any transfers between levels of fair value measurements during the periods presented.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gridSpan w:val="6"/>
          </w:tcPr>
          <w:p>
            <w:pPr>
              <w:jc w:val="right"/>
              <w:ind w:right="50"/>
              <w:spacing w:after="0"/>
              <w:rPr>
                <w:sz w:val="20"/>
                <w:szCs w:val="20"/>
                <w:color w:val="auto"/>
              </w:rPr>
            </w:pPr>
            <w:r>
              <w:rPr>
                <w:rFonts w:ascii="Arial" w:cs="Arial" w:eastAsia="Arial" w:hAnsi="Arial"/>
                <w:sz w:val="18"/>
                <w:szCs w:val="18"/>
                <w:color w:val="auto"/>
              </w:rPr>
              <w:t>Fair Value Measurements at February 28, 2021</w:t>
            </w:r>
          </w:p>
        </w:tc>
        <w:tc>
          <w:tcPr>
            <w:tcW w:w="98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4"/>
                <w:szCs w:val="24"/>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Level 3</w:t>
            </w:r>
          </w:p>
        </w:tc>
        <w:tc>
          <w:tcPr>
            <w:tcW w:w="42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1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251,858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251,858</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17,768</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w:t>
            </w:r>
          </w:p>
        </w:tc>
      </w:tr>
      <w:tr>
        <w:trPr>
          <w:trHeight w:val="270"/>
        </w:trPr>
        <w:tc>
          <w:tcPr>
            <w:tcW w:w="20" w:type="dxa"/>
            <w:vAlign w:val="bottom"/>
            <w:tcBorders>
              <w:bottom w:val="single" w:sz="8" w:color="CCEEFF"/>
            </w:tcBorders>
          </w:tcPr>
          <w:p>
            <w:pPr>
              <w:spacing w:after="0"/>
              <w:rPr>
                <w:sz w:val="23"/>
                <w:szCs w:val="23"/>
                <w:color w:val="auto"/>
              </w:rPr>
            </w:pPr>
          </w:p>
        </w:tc>
        <w:tc>
          <w:tcPr>
            <w:tcW w:w="5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3,169</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251,858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20,937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272,795</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4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r>
      <w:tr>
        <w:trPr>
          <w:trHeight w:val="60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gridSpan w:val="6"/>
          </w:tcPr>
          <w:p>
            <w:pPr>
              <w:jc w:val="right"/>
              <w:ind w:right="110"/>
              <w:spacing w:after="0"/>
              <w:rPr>
                <w:sz w:val="20"/>
                <w:szCs w:val="20"/>
                <w:color w:val="auto"/>
              </w:rPr>
            </w:pPr>
            <w:r>
              <w:rPr>
                <w:rFonts w:ascii="Arial" w:cs="Arial" w:eastAsia="Arial" w:hAnsi="Arial"/>
                <w:sz w:val="18"/>
                <w:szCs w:val="18"/>
                <w:color w:val="auto"/>
              </w:rPr>
              <w:t>Fair Value Measurements at August 31, 2020</w:t>
            </w:r>
          </w:p>
        </w:tc>
        <w:tc>
          <w:tcPr>
            <w:tcW w:w="9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4"/>
                <w:szCs w:val="24"/>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Level 3</w:t>
            </w:r>
          </w:p>
        </w:tc>
        <w:tc>
          <w:tcPr>
            <w:tcW w:w="42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1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276,852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276,852</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17,257</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r>
      <w:tr>
        <w:trPr>
          <w:trHeight w:val="270"/>
        </w:trPr>
        <w:tc>
          <w:tcPr>
            <w:tcW w:w="2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32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8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276,852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23,216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300,068</w:t>
            </w: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8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5,773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5,773</w:t>
            </w:r>
          </w:p>
        </w:tc>
      </w:tr>
    </w:tbl>
    <w:p>
      <w:pPr>
        <w:spacing w:after="0" w:line="200" w:lineRule="exact"/>
        <w:rPr>
          <w:sz w:val="20"/>
          <w:szCs w:val="20"/>
          <w:color w:val="auto"/>
        </w:rPr>
      </w:pPr>
    </w:p>
    <w:p>
      <w:pPr>
        <w:spacing w:after="0" w:line="235" w:lineRule="exact"/>
        <w:rPr>
          <w:sz w:val="20"/>
          <w:szCs w:val="20"/>
          <w:color w:val="auto"/>
        </w:rPr>
      </w:pPr>
    </w:p>
    <w:p>
      <w:pPr>
        <w:jc w:val="both"/>
        <w:ind w:left="500" w:right="20" w:hanging="330"/>
        <w:spacing w:after="0" w:line="261" w:lineRule="auto"/>
        <w:tabs>
          <w:tab w:leader="none" w:pos="5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Company’s corporate money market funds are readily convertible into cash and the net asset value of each fund on the last day of the quarter is used to determine its fair value. As such, the Company’s corporate money market funds are classified as Level 1 assets and included in Cash and cash equivalents within the Consolidated Balance Sheets.</w:t>
      </w:r>
    </w:p>
    <w:p>
      <w:pPr>
        <w:spacing w:after="0" w:line="47" w:lineRule="exact"/>
        <w:rPr>
          <w:rFonts w:ascii="Arial" w:cs="Arial" w:eastAsia="Arial" w:hAnsi="Arial"/>
          <w:sz w:val="16"/>
          <w:szCs w:val="16"/>
          <w:i w:val="1"/>
          <w:iCs w:val="1"/>
          <w:color w:val="auto"/>
        </w:rPr>
      </w:pPr>
    </w:p>
    <w:p>
      <w:pPr>
        <w:ind w:left="500" w:hanging="330"/>
        <w:spacing w:after="0" w:line="275" w:lineRule="auto"/>
        <w:tabs>
          <w:tab w:leader="none" w:pos="5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observable inputs. As such, the Company’s mutual funds are classified as Level 2 and are classified as Investments (short-term) on the Consolidated Balance Sheets.</w:t>
      </w:r>
    </w:p>
    <w:p>
      <w:pPr>
        <w:spacing w:after="0" w:line="109" w:lineRule="exact"/>
        <w:rPr>
          <w:sz w:val="20"/>
          <w:szCs w:val="20"/>
          <w:color w:val="auto"/>
        </w:rPr>
      </w:pPr>
    </w:p>
    <w:p>
      <w:pPr>
        <w:ind w:left="500" w:hanging="330"/>
        <w:spacing w:after="0" w:line="310" w:lineRule="auto"/>
        <w:tabs>
          <w:tab w:leader="none" w:pos="50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Company’s certificates of deposit held for investment are not debt securities and are classified as Level 2 assets. These certificates of deposit have original maturities greater than three months but less than one year and, as such, are classified as Investments (short-term) within the Consolidated Balance Sheets.</w:t>
      </w:r>
    </w:p>
    <w:p>
      <w:pPr>
        <w:spacing w:after="0" w:line="26" w:lineRule="exact"/>
        <w:rPr>
          <w:rFonts w:ascii="Arial" w:cs="Arial" w:eastAsia="Arial" w:hAnsi="Arial"/>
          <w:sz w:val="15"/>
          <w:szCs w:val="15"/>
          <w:i w:val="1"/>
          <w:iCs w:val="1"/>
          <w:color w:val="auto"/>
        </w:rPr>
      </w:pPr>
    </w:p>
    <w:p>
      <w:pPr>
        <w:jc w:val="both"/>
        <w:ind w:left="500" w:hanging="330"/>
        <w:spacing w:after="0" w:line="253" w:lineRule="auto"/>
        <w:tabs>
          <w:tab w:leader="none" w:pos="500" w:val="left"/>
        </w:tabs>
        <w:numPr>
          <w:ilvl w:val="1"/>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 utilizes the income approach to measure fair value for its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the Company utilizes a present value of future cash flows, leveraging a model-derived valuation that uses Level 2 observable inputs such as interest rate yield curves. Refer to Note 6</w:t>
      </w:r>
      <w:r>
        <w:rPr>
          <w:rFonts w:ascii="Arial" w:cs="Arial" w:eastAsia="Arial" w:hAnsi="Arial"/>
          <w:sz w:val="16"/>
          <w:szCs w:val="16"/>
          <w:color w:val="auto"/>
        </w:rPr>
        <w:t>,</w:t>
      </w:r>
      <w:r>
        <w:rPr>
          <w:rFonts w:ascii="Arial" w:cs="Arial" w:eastAsia="Arial" w:hAnsi="Arial"/>
          <w:sz w:val="16"/>
          <w:szCs w:val="16"/>
          <w:i w:val="1"/>
          <w:iCs w:val="1"/>
          <w:color w:val="auto"/>
        </w:rPr>
        <w:t xml:space="preserve"> Derivative Instruments, for more information on the Company's derivative instruments designed as cash flow hedges.</w:t>
      </w:r>
    </w:p>
    <w:p>
      <w:pPr>
        <w:spacing w:after="0" w:line="146" w:lineRule="exact"/>
        <w:rPr>
          <w:rFonts w:ascii="Arial" w:cs="Arial" w:eastAsia="Arial" w:hAnsi="Arial"/>
          <w:sz w:val="16"/>
          <w:szCs w:val="16"/>
          <w:i w:val="1"/>
          <w:iCs w:val="1"/>
          <w:color w:val="auto"/>
        </w:rPr>
      </w:pPr>
    </w:p>
    <w:p>
      <w:pPr>
        <w:ind w:left="260" w:hanging="252"/>
        <w:spacing w:after="0"/>
        <w:tabs>
          <w:tab w:leader="none" w:pos="2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and liabilities that are measured at fair value on a nonrecurring basis relate primarily to our tangible fixed assets, operating lease right-of-use ("ROU") assets, goodwill and intangible assets, and investments. The fair values of these non-financial assets and liabilities are determined based on valuation techniques using the best information available, and may include quoted market prices, market comparable information, and discounted cash flow projections. The Company reviews goodwill and intangible assets for impairment annually, during the fourth quarter of each fiscal year, or as circumstances indicate the possibility for impairment. The Company monitors the carrying value of long-lived assets for impairment whenever events or changes in circumstances indicate the carrying amount may not be recoverable. During the six months ended February 28, 2021, no fair value adjustments or material fair value measurements were required for the Company’s non-financial assets or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 Assets and Liabilities Measured at Fair Value for Disclosure Purposes </w:t>
      </w:r>
      <w:r>
        <w:rPr>
          <w:rFonts w:ascii="Arial" w:cs="Arial" w:eastAsia="Arial" w:hAnsi="Arial"/>
          <w:sz w:val="18"/>
          <w:szCs w:val="18"/>
          <w:color w:val="auto"/>
        </w:rPr>
        <w:t>O</w:t>
      </w:r>
      <w:r>
        <w:rPr>
          <w:rFonts w:ascii="Arial" w:cs="Arial" w:eastAsia="Arial" w:hAnsi="Arial"/>
          <w:sz w:val="18"/>
          <w:szCs w:val="18"/>
          <w:b w:val="1"/>
          <w:bCs w:val="1"/>
          <w:i w:val="1"/>
          <w:iCs w:val="1"/>
          <w:color w:val="auto"/>
        </w:rPr>
        <w:t>nly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February 28, 2021, and August 31, 2020, the fair value of the Company’s 2019 Revolving Credit Facility (as defined below in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included in Long-term debt within the Consolidated Balance Sheets, was $575.0 million, which approximated its carrying amount given the application of a floating interest rate equal to LIBOR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FactSet conducts business outside the U.S. in several currencies including the British Pound Sterling, Euro, Indian Rupee, and Philippine Peso. As such, the Company is exposed to movements in foreign currency exchange rates compared with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and limits counterparties to credit-worthy financial institutions. Refer to Note 12, </w:t>
      </w:r>
      <w:r>
        <w:rPr>
          <w:rFonts w:ascii="Arial" w:cs="Arial" w:eastAsia="Arial" w:hAnsi="Arial"/>
          <w:sz w:val="18"/>
          <w:szCs w:val="18"/>
          <w:i w:val="1"/>
          <w:iCs w:val="1"/>
          <w:color w:val="auto"/>
        </w:rPr>
        <w:t>Commitments and Contingencies – Concentrations</w:t>
      </w:r>
      <w:r>
        <w:rPr>
          <w:rFonts w:ascii="Arial" w:cs="Arial" w:eastAsia="Arial" w:hAnsi="Arial"/>
          <w:sz w:val="18"/>
          <w:szCs w:val="18"/>
          <w:color w:val="auto"/>
        </w:rPr>
        <w:t xml:space="preserve"> </w:t>
      </w:r>
      <w:r>
        <w:rPr>
          <w:rFonts w:ascii="Arial" w:cs="Arial" w:eastAsia="Arial" w:hAnsi="Arial"/>
          <w:sz w:val="18"/>
          <w:szCs w:val="18"/>
          <w:i w:val="1"/>
          <w:iCs w:val="1"/>
          <w:color w:val="auto"/>
        </w:rPr>
        <w:t>of Credit Ris</w:t>
      </w:r>
      <w:r>
        <w:rPr>
          <w:rFonts w:ascii="Arial" w:cs="Arial" w:eastAsia="Arial" w:hAnsi="Arial"/>
          <w:sz w:val="18"/>
          <w:szCs w:val="18"/>
          <w:color w:val="auto"/>
        </w:rPr>
        <w:t>k, for further discussion on counterparty credit risk.</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six months ended February 28, 2021 or February 29, 2020, and as such, no corresponding gains or losses related to changes in the value of the Company’s contracts were reclassified into earnings prior to settlement.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28, 2021, FactSet maintained foreign currency forward contracts to hedge a portion of its British Pound Sterling, Euro, Indian Rupee and Philippine Peso exposures. FactSet entered into a series of forward contracts to mitigate its currency exposure ranging from 25% to 75% over their respective hedged periods. The current foreign currency forward contracts are set to mature at various points between the third quarter of fiscal 2021 through the second quarter of fiscal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the gross notional value of foreign currency forward contracts to purchase Philippine Pesos and Indian Rupees with U.S. dollars was ₱1.5 billion and Rs2.6 billion, respectively. The gross notional value of foreign currency forward contracts to purchase U.S. dollars with Euros and British Pound Sterling was €39.1 million and £40.4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5, 2020, FactSet entered into an interest rate swap agreement with a notional amount of $287.5 million to hedge the variable interest rate obligation on a portion of its outstanding debt under its 2019 Revolving Credit Facility (as defined below in Note 11, </w:t>
      </w:r>
      <w:r>
        <w:rPr>
          <w:rFonts w:ascii="Arial" w:cs="Arial" w:eastAsia="Arial" w:hAnsi="Arial"/>
          <w:sz w:val="17"/>
          <w:szCs w:val="17"/>
          <w:i w:val="1"/>
          <w:iCs w:val="1"/>
          <w:color w:val="auto"/>
        </w:rPr>
        <w:t>Debt).</w:t>
      </w:r>
      <w:r>
        <w:rPr>
          <w:rFonts w:ascii="Arial" w:cs="Arial" w:eastAsia="Arial" w:hAnsi="Arial"/>
          <w:sz w:val="17"/>
          <w:szCs w:val="17"/>
          <w:color w:val="auto"/>
        </w:rPr>
        <w:t xml:space="preserve"> As of February 28, 2021, FactSet has borrowed $575.0 million of the available $750.0 million under the 2019 Revolving Credit Facility, which bears interest on the outstanding principal amount at a rate equal to contractual one month LIBOR plus a spread using a debt leverage pricing grid, which was 0.875% as of February 28, 2021. Refer to Note 11, Debt, for further discussion on the 2019 Revolving Credit Facility. The variable interest rate on FactSet’s long-term debt can expose the Company to interest rate volatility arising from changes in LIBOR. Under the terms of the interest rate swap agreement, FactSet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terms for the interest rate swap agreement align with the 2019 Revolving Credit Facility, the Company does not expect any hedge ineffectiveness. The Company has designated and accounted for this instrument as a cash flow hedge with the unrealized gains or losses on the interest rate swap agreement recorded in AOCL in the Consolidated Balance Sheets. Realized gains or losses are subsequently reclassified into Other expenses in the Consolidated Statement of Income when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3"/>
          </w:tcPr>
          <w:p>
            <w:pPr>
              <w:jc w:val="right"/>
              <w:ind w:right="950"/>
              <w:spacing w:after="0"/>
              <w:rPr>
                <w:sz w:val="20"/>
                <w:szCs w:val="20"/>
                <w:color w:val="auto"/>
              </w:rPr>
            </w:pPr>
            <w:r>
              <w:rPr>
                <w:rFonts w:ascii="Arial" w:cs="Arial" w:eastAsia="Arial" w:hAnsi="Arial"/>
                <w:sz w:val="18"/>
                <w:szCs w:val="18"/>
                <w:color w:val="auto"/>
              </w:rPr>
              <w:t>Gross Notional Value</w:t>
            </w:r>
          </w:p>
        </w:tc>
      </w:tr>
      <w:tr>
        <w:trPr>
          <w:trHeight w:val="27"/>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04"/>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February 28, 2021</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August 31, 2020</w:t>
            </w: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129,649</w:t>
            </w:r>
          </w:p>
        </w:tc>
      </w:tr>
      <w:tr>
        <w:trPr>
          <w:trHeight w:val="27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287,500</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287,500</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451,873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417,149</w:t>
            </w:r>
          </w:p>
        </w:tc>
      </w:tr>
      <w:tr>
        <w:trPr>
          <w:trHeight w:val="26"/>
        </w:trPr>
        <w:tc>
          <w:tcPr>
            <w:tcW w:w="7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Fair Value of Derivative Instruments</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120" w:type="dxa"/>
            <w:vAlign w:val="bottom"/>
            <w:gridSpan w:val="5"/>
          </w:tcPr>
          <w:p>
            <w:pPr>
              <w:spacing w:after="0"/>
              <w:rPr>
                <w:sz w:val="20"/>
                <w:szCs w:val="20"/>
                <w:color w:val="auto"/>
              </w:rPr>
            </w:pPr>
            <w:r>
              <w:rPr>
                <w:rFonts w:ascii="Arial" w:cs="Arial" w:eastAsia="Arial" w:hAnsi="Arial"/>
                <w:sz w:val="18"/>
                <w:szCs w:val="18"/>
                <w:color w:val="auto"/>
              </w:rPr>
              <w:t>The following is a summary of the fair values of the derivative instruments:</w:t>
            </w: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Fair Value of Derivative Instruments</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Derivative Assets</w:t>
            </w:r>
          </w:p>
        </w:tc>
        <w:tc>
          <w:tcPr>
            <w:tcW w:w="640" w:type="dxa"/>
            <w:vAlign w:val="bottom"/>
            <w:tcBorders>
              <w:bottom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color w:val="auto"/>
              </w:rPr>
              <w:t>Derivatives designated as</w:t>
            </w:r>
          </w:p>
        </w:tc>
        <w:tc>
          <w:tcPr>
            <w:tcW w:w="1760" w:type="dxa"/>
            <w:vAlign w:val="bottom"/>
          </w:tcPr>
          <w:p>
            <w:pPr>
              <w:ind w:left="20"/>
              <w:spacing w:after="0"/>
              <w:rPr>
                <w:sz w:val="20"/>
                <w:szCs w:val="20"/>
                <w:color w:val="auto"/>
              </w:rPr>
            </w:pPr>
            <w:r>
              <w:rPr>
                <w:rFonts w:ascii="Arial" w:cs="Arial" w:eastAsia="Arial" w:hAnsi="Arial"/>
                <w:sz w:val="18"/>
                <w:szCs w:val="18"/>
                <w:color w:val="auto"/>
              </w:rPr>
              <w:t>Balance Sheet</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w w:val="92"/>
              </w:rPr>
              <w:t>February 28, 2021</w:t>
            </w:r>
          </w:p>
        </w:tc>
        <w:tc>
          <w:tcPr>
            <w:tcW w:w="14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August 31, 2020</w:t>
            </w:r>
          </w:p>
        </w:tc>
        <w:tc>
          <w:tcPr>
            <w:tcW w:w="1640" w:type="dxa"/>
            <w:vAlign w:val="bottom"/>
          </w:tcPr>
          <w:p>
            <w:pPr>
              <w:ind w:left="20"/>
              <w:spacing w:after="0"/>
              <w:rPr>
                <w:sz w:val="20"/>
                <w:szCs w:val="20"/>
                <w:color w:val="auto"/>
              </w:rPr>
            </w:pPr>
            <w:r>
              <w:rPr>
                <w:rFonts w:ascii="Arial" w:cs="Arial" w:eastAsia="Arial" w:hAnsi="Arial"/>
                <w:sz w:val="18"/>
                <w:szCs w:val="18"/>
                <w:color w:val="auto"/>
              </w:rPr>
              <w:t>Balance Sheet</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February 28, 2021</w:t>
            </w:r>
          </w:p>
        </w:tc>
        <w:tc>
          <w:tcPr>
            <w:tcW w:w="120" w:type="dxa"/>
            <w:vAlign w:val="bottom"/>
          </w:tcPr>
          <w:p>
            <w:pPr>
              <w:spacing w:after="0"/>
              <w:rPr>
                <w:sz w:val="20"/>
                <w:szCs w:val="20"/>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w w:val="89"/>
              </w:rPr>
              <w:t>August 31, 2020</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hedging instruments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400" w:type="dxa"/>
            <w:vAlign w:val="bottom"/>
            <w:tcBorders>
              <w:bottom w:val="single" w:sz="8" w:color="auto"/>
            </w:tcBorders>
            <w:gridSpan w:val="2"/>
            <w:vMerge w:val="continue"/>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4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Foreign currency forward</w:t>
            </w:r>
          </w:p>
        </w:tc>
        <w:tc>
          <w:tcPr>
            <w:tcW w:w="176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6"/>
              </w:rPr>
              <w:t>Prepaid expenses and</w:t>
            </w:r>
          </w:p>
        </w:tc>
        <w:tc>
          <w:tcPr>
            <w:tcW w:w="440" w:type="dxa"/>
            <w:vAlign w:val="bottom"/>
            <w:shd w:val="clear" w:color="auto" w:fill="CCEEFF"/>
          </w:tcPr>
          <w:p>
            <w:pPr>
              <w:jc w:val="right"/>
              <w:ind w:right="250"/>
              <w:spacing w:after="0" w:line="184"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3,169</w:t>
            </w:r>
          </w:p>
        </w:tc>
        <w:tc>
          <w:tcPr>
            <w:tcW w:w="820" w:type="dxa"/>
            <w:vAlign w:val="bottom"/>
            <w:shd w:val="clear" w:color="auto" w:fill="CCEEFF"/>
          </w:tcPr>
          <w:p>
            <w:pPr>
              <w:jc w:val="right"/>
              <w:ind w:right="590"/>
              <w:spacing w:after="0" w:line="184"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3,644</w:t>
            </w:r>
          </w:p>
        </w:tc>
        <w:tc>
          <w:tcPr>
            <w:tcW w:w="16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0"/>
              </w:rPr>
              <w:t>Accounts payable and</w:t>
            </w:r>
          </w:p>
        </w:tc>
        <w:tc>
          <w:tcPr>
            <w:tcW w:w="380" w:type="dxa"/>
            <w:vAlign w:val="bottom"/>
            <w:shd w:val="clear" w:color="auto" w:fill="CCEEFF"/>
          </w:tcPr>
          <w:p>
            <w:pPr>
              <w:jc w:val="right"/>
              <w:ind w:right="170"/>
              <w:spacing w:after="0" w:line="184"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w w:val="96"/>
              </w:rPr>
              <w:t>Prepaid expenses and</w:t>
            </w:r>
          </w:p>
        </w:tc>
        <w:tc>
          <w:tcPr>
            <w:tcW w:w="44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ind w:left="20"/>
              <w:spacing w:after="0"/>
              <w:rPr>
                <w:sz w:val="20"/>
                <w:szCs w:val="20"/>
                <w:color w:val="auto"/>
              </w:rPr>
            </w:pPr>
            <w:r>
              <w:rPr>
                <w:rFonts w:ascii="Arial" w:cs="Arial" w:eastAsia="Arial" w:hAnsi="Arial"/>
                <w:sz w:val="18"/>
                <w:szCs w:val="18"/>
                <w:color w:val="auto"/>
                <w:w w:val="90"/>
              </w:rPr>
              <w:t>Accounts payable and</w:t>
            </w:r>
          </w:p>
        </w:tc>
        <w:tc>
          <w:tcPr>
            <w:tcW w:w="3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30"/>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w w:val="89"/>
              </w:rPr>
              <w:t>Interest rate swap agreement</w:t>
            </w:r>
          </w:p>
        </w:tc>
        <w:tc>
          <w:tcPr>
            <w:tcW w:w="17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14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Other non-current</w:t>
            </w: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4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7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6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February 28, 2021 and August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February 28, 2021 and February 29, 2020,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520" w:type="dxa"/>
            <w:vAlign w:val="bottom"/>
            <w:gridSpan w:val="4"/>
          </w:tcPr>
          <w:p>
            <w:pPr>
              <w:ind w:left="20"/>
              <w:spacing w:after="0"/>
              <w:rPr>
                <w:sz w:val="20"/>
                <w:szCs w:val="20"/>
                <w:color w:val="auto"/>
              </w:rPr>
            </w:pPr>
            <w:r>
              <w:rPr>
                <w:rFonts w:ascii="Arial" w:cs="Arial" w:eastAsia="Arial" w:hAnsi="Arial"/>
                <w:sz w:val="18"/>
                <w:szCs w:val="18"/>
                <w:color w:val="auto"/>
                <w:w w:val="93"/>
              </w:rPr>
              <w:t>Gain (Loss) Recognized in AOCL</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right"/>
              <w:ind w:right="110"/>
              <w:spacing w:after="0"/>
              <w:rPr>
                <w:sz w:val="20"/>
                <w:szCs w:val="20"/>
                <w:color w:val="auto"/>
              </w:rPr>
            </w:pPr>
            <w:r>
              <w:rPr>
                <w:rFonts w:ascii="Arial" w:cs="Arial" w:eastAsia="Arial" w:hAnsi="Arial"/>
                <w:sz w:val="18"/>
                <w:szCs w:val="18"/>
                <w:color w:val="auto"/>
                <w:w w:val="94"/>
              </w:rPr>
              <w:t>Gain (Loss) Reclassified from</w:t>
            </w:r>
          </w:p>
        </w:tc>
        <w:tc>
          <w:tcPr>
            <w:tcW w:w="0" w:type="dxa"/>
            <w:vAlign w:val="bottom"/>
          </w:tcPr>
          <w:p>
            <w:pPr>
              <w:spacing w:after="0"/>
              <w:rPr>
                <w:sz w:val="1"/>
                <w:szCs w:val="1"/>
                <w:color w:val="auto"/>
              </w:rPr>
            </w:pP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on Derivatives</w:t>
            </w:r>
          </w:p>
        </w:tc>
        <w:tc>
          <w:tcPr>
            <w:tcW w:w="2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AOCL into Income</w:t>
            </w:r>
          </w:p>
        </w:tc>
        <w:tc>
          <w:tcPr>
            <w:tcW w:w="0" w:type="dxa"/>
            <w:vAlign w:val="bottom"/>
          </w:tcPr>
          <w:p>
            <w:pPr>
              <w:spacing w:after="0"/>
              <w:rPr>
                <w:sz w:val="1"/>
                <w:szCs w:val="1"/>
                <w:color w:val="auto"/>
              </w:rPr>
            </w:pPr>
          </w:p>
        </w:tc>
      </w:tr>
      <w:tr>
        <w:trPr>
          <w:trHeight w:val="318"/>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14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0"/>
              </w:rPr>
              <w:t>February 28,</w:t>
            </w:r>
          </w:p>
        </w:tc>
        <w:tc>
          <w:tcPr>
            <w:tcW w:w="16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w w:val="92"/>
              </w:rPr>
              <w:t>February 29,</w:t>
            </w:r>
          </w:p>
        </w:tc>
        <w:tc>
          <w:tcPr>
            <w:tcW w:w="2000" w:type="dxa"/>
            <w:vAlign w:val="bottom"/>
          </w:tcPr>
          <w:p>
            <w:pPr>
              <w:ind w:left="160"/>
              <w:spacing w:after="0"/>
              <w:rPr>
                <w:sz w:val="20"/>
                <w:szCs w:val="20"/>
                <w:color w:val="auto"/>
              </w:rPr>
            </w:pPr>
            <w:r>
              <w:rPr>
                <w:rFonts w:ascii="Arial" w:cs="Arial" w:eastAsia="Arial" w:hAnsi="Arial"/>
                <w:sz w:val="18"/>
                <w:szCs w:val="18"/>
                <w:color w:val="auto"/>
                <w:w w:val="97"/>
              </w:rPr>
              <w:t>Location of Gain (Loss)</w:t>
            </w:r>
          </w:p>
        </w:tc>
        <w:tc>
          <w:tcPr>
            <w:tcW w:w="16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w w:val="92"/>
              </w:rPr>
              <w:t>February 28,</w:t>
            </w:r>
          </w:p>
        </w:tc>
        <w:tc>
          <w:tcPr>
            <w:tcW w:w="16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w w:val="92"/>
              </w:rPr>
              <w:t>February 29,</w:t>
            </w:r>
          </w:p>
        </w:tc>
        <w:tc>
          <w:tcPr>
            <w:tcW w:w="0" w:type="dxa"/>
            <w:vAlign w:val="bottom"/>
          </w:tcPr>
          <w:p>
            <w:pPr>
              <w:spacing w:after="0"/>
              <w:rPr>
                <w:sz w:val="1"/>
                <w:szCs w:val="1"/>
                <w:color w:val="auto"/>
              </w:rPr>
            </w:pPr>
          </w:p>
        </w:tc>
      </w:tr>
      <w:tr>
        <w:trPr>
          <w:trHeight w:val="176"/>
        </w:trPr>
        <w:tc>
          <w:tcPr>
            <w:tcW w:w="4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2000" w:type="dxa"/>
            <w:vAlign w:val="bottom"/>
          </w:tcPr>
          <w:p>
            <w:pPr>
              <w:jc w:val="center"/>
              <w:spacing w:after="0" w:line="176" w:lineRule="exact"/>
              <w:rPr>
                <w:sz w:val="20"/>
                <w:szCs w:val="20"/>
                <w:color w:val="auto"/>
              </w:rPr>
            </w:pPr>
            <w:r>
              <w:rPr>
                <w:rFonts w:ascii="Arial" w:cs="Arial" w:eastAsia="Arial" w:hAnsi="Arial"/>
                <w:sz w:val="18"/>
                <w:szCs w:val="18"/>
                <w:color w:val="auto"/>
                <w:w w:val="94"/>
              </w:rPr>
              <w:t>Reclassified from AOCL</w:t>
            </w:r>
          </w:p>
        </w:tc>
        <w:tc>
          <w:tcPr>
            <w:tcW w:w="16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into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Interest expense,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0" w:right="300"/>
        <w:spacing w:after="0" w:line="235"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six months ended February 28, 2021 and February 29, 2020,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70"/>
              <w:spacing w:after="0"/>
              <w:rPr>
                <w:sz w:val="20"/>
                <w:szCs w:val="20"/>
                <w:color w:val="auto"/>
              </w:rPr>
            </w:pPr>
            <w:r>
              <w:rPr>
                <w:rFonts w:ascii="Arial" w:cs="Arial" w:eastAsia="Arial" w:hAnsi="Arial"/>
                <w:sz w:val="18"/>
                <w:szCs w:val="18"/>
                <w:color w:val="auto"/>
                <w:w w:val="93"/>
              </w:rPr>
              <w:t>Gain Recognized in AOCL on</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right"/>
              <w:ind w:right="110"/>
              <w:spacing w:after="0"/>
              <w:rPr>
                <w:sz w:val="20"/>
                <w:szCs w:val="20"/>
                <w:color w:val="auto"/>
              </w:rPr>
            </w:pPr>
            <w:r>
              <w:rPr>
                <w:rFonts w:ascii="Arial" w:cs="Arial" w:eastAsia="Arial" w:hAnsi="Arial"/>
                <w:sz w:val="18"/>
                <w:szCs w:val="18"/>
                <w:color w:val="auto"/>
                <w:w w:val="94"/>
              </w:rPr>
              <w:t>Gain (Loss) Reclassified from</w:t>
            </w:r>
          </w:p>
        </w:tc>
        <w:tc>
          <w:tcPr>
            <w:tcW w:w="0" w:type="dxa"/>
            <w:vAlign w:val="bottom"/>
          </w:tcPr>
          <w:p>
            <w:pPr>
              <w:spacing w:after="0"/>
              <w:rPr>
                <w:sz w:val="1"/>
                <w:szCs w:val="1"/>
                <w:color w:val="auto"/>
              </w:rPr>
            </w:pPr>
          </w:p>
        </w:tc>
      </w:tr>
      <w:tr>
        <w:trPr>
          <w:trHeight w:val="254"/>
        </w:trPr>
        <w:tc>
          <w:tcPr>
            <w:tcW w:w="41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Derivatives</w:t>
            </w:r>
          </w:p>
        </w:tc>
        <w:tc>
          <w:tcPr>
            <w:tcW w:w="2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AOCL into Income</w:t>
            </w:r>
          </w:p>
        </w:tc>
        <w:tc>
          <w:tcPr>
            <w:tcW w:w="0" w:type="dxa"/>
            <w:vAlign w:val="bottom"/>
          </w:tcPr>
          <w:p>
            <w:pPr>
              <w:spacing w:after="0"/>
              <w:rPr>
                <w:sz w:val="1"/>
                <w:szCs w:val="1"/>
                <w:color w:val="auto"/>
              </w:rPr>
            </w:pPr>
          </w:p>
        </w:tc>
      </w:tr>
      <w:tr>
        <w:trPr>
          <w:trHeight w:val="239"/>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1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0"/>
              </w:rPr>
              <w:t>February 28,</w:t>
            </w:r>
          </w:p>
        </w:tc>
        <w:tc>
          <w:tcPr>
            <w:tcW w:w="1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w w:val="92"/>
              </w:rPr>
              <w:t>February 29,</w:t>
            </w:r>
          </w:p>
        </w:tc>
        <w:tc>
          <w:tcPr>
            <w:tcW w:w="2000" w:type="dxa"/>
            <w:vAlign w:val="bottom"/>
            <w:vMerge w:val="restart"/>
          </w:tcPr>
          <w:p>
            <w:pPr>
              <w:ind w:left="160"/>
              <w:spacing w:after="0"/>
              <w:rPr>
                <w:sz w:val="20"/>
                <w:szCs w:val="20"/>
                <w:color w:val="auto"/>
              </w:rPr>
            </w:pPr>
            <w:r>
              <w:rPr>
                <w:rFonts w:ascii="Arial" w:cs="Arial" w:eastAsia="Arial" w:hAnsi="Arial"/>
                <w:sz w:val="18"/>
                <w:szCs w:val="18"/>
                <w:color w:val="auto"/>
                <w:w w:val="97"/>
              </w:rPr>
              <w:t>Location of Gain (Loss)</w:t>
            </w:r>
          </w:p>
        </w:tc>
        <w:tc>
          <w:tcPr>
            <w:tcW w:w="1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w w:val="92"/>
              </w:rPr>
              <w:t>February 28,</w:t>
            </w:r>
          </w:p>
        </w:tc>
        <w:tc>
          <w:tcPr>
            <w:tcW w:w="1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w w:val="92"/>
              </w:rPr>
              <w:t>February 29,</w:t>
            </w:r>
          </w:p>
        </w:tc>
        <w:tc>
          <w:tcPr>
            <w:tcW w:w="0" w:type="dxa"/>
            <w:vAlign w:val="bottom"/>
          </w:tcPr>
          <w:p>
            <w:pPr>
              <w:spacing w:after="0"/>
              <w:rPr>
                <w:sz w:val="1"/>
                <w:szCs w:val="1"/>
                <w:color w:val="auto"/>
              </w:rPr>
            </w:pPr>
          </w:p>
        </w:tc>
      </w:tr>
      <w:tr>
        <w:trPr>
          <w:trHeight w:val="27"/>
        </w:trPr>
        <w:tc>
          <w:tcPr>
            <w:tcW w:w="41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2000" w:type="dxa"/>
            <w:vAlign w:val="bottom"/>
          </w:tcPr>
          <w:p>
            <w:pPr>
              <w:jc w:val="center"/>
              <w:spacing w:after="0" w:line="176" w:lineRule="exact"/>
              <w:rPr>
                <w:sz w:val="20"/>
                <w:szCs w:val="20"/>
                <w:color w:val="auto"/>
              </w:rPr>
            </w:pPr>
            <w:r>
              <w:rPr>
                <w:rFonts w:ascii="Arial" w:cs="Arial" w:eastAsia="Arial" w:hAnsi="Arial"/>
                <w:sz w:val="18"/>
                <w:szCs w:val="18"/>
                <w:color w:val="auto"/>
                <w:w w:val="94"/>
              </w:rPr>
              <w:t>Reclassified from AOCL</w:t>
            </w:r>
          </w:p>
        </w:tc>
        <w:tc>
          <w:tcPr>
            <w:tcW w:w="16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into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Interest expense,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28, 2021, the Company estimates that net pre-tax derivative gains of $0.9 million included in AOCL will be reclassified into earnings within the next 12 months. As of February 28, 2021, FactSet's cash flow hedges were effective, with no amount of ineffectiveness recorded in the Consolidated Statements of Income for these designated cash flow hedges and all components of each derivative’s gain or loss were included in the assessment of hedge effectiveness.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February 28, 2021, and August 31, 2020, there were no material amounts recorded net on the Consolidated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Truvalue Labs, Inc.</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 2020, FactSet acquired all of the outstanding shares of Truvalue Labs, Inc. ("TVL") for a purchase price of $41.9 million, subject to working capital and other adjustments. TVL is a leading provider of environmental, social, and governance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FactSet's commitment to providing industry leading access to ESG data across its platforms. The TVL purchase price was in excess of the fair value of net assets acquired, resulting in the recognition of goodwill. FactSet expects to finalize the allocation of the purchase price for TVL as soon as possible, but in any event,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estimated acquisition date fair values of major classes of assets acquired and liabilities assumed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Estimated Acquisition Date Fair</w:t>
            </w:r>
          </w:p>
        </w:tc>
        <w:tc>
          <w:tcPr>
            <w:tcW w:w="1800" w:type="dxa"/>
            <w:vAlign w:val="bottom"/>
          </w:tcPr>
          <w:p>
            <w:pPr>
              <w:jc w:val="center"/>
              <w:ind w:left="150"/>
              <w:spacing w:after="0"/>
              <w:rPr>
                <w:sz w:val="20"/>
                <w:szCs w:val="20"/>
                <w:color w:val="auto"/>
              </w:rPr>
            </w:pPr>
            <w:r>
              <w:rPr>
                <w:rFonts w:ascii="Arial" w:cs="Arial" w:eastAsia="Arial" w:hAnsi="Arial"/>
                <w:sz w:val="18"/>
                <w:szCs w:val="18"/>
                <w:color w:val="auto"/>
                <w:w w:val="89"/>
              </w:rPr>
              <w:t>Estimated</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1800" w:type="dxa"/>
            <w:vAlign w:val="bottom"/>
          </w:tcPr>
          <w:p>
            <w:pPr>
              <w:jc w:val="center"/>
              <w:ind w:left="170"/>
              <w:spacing w:after="0" w:line="176" w:lineRule="exact"/>
              <w:rPr>
                <w:sz w:val="20"/>
                <w:szCs w:val="20"/>
                <w:color w:val="auto"/>
              </w:rPr>
            </w:pPr>
            <w:r>
              <w:rPr>
                <w:rFonts w:ascii="Arial" w:cs="Arial" w:eastAsia="Arial" w:hAnsi="Arial"/>
                <w:sz w:val="18"/>
                <w:szCs w:val="18"/>
                <w:color w:val="auto"/>
                <w:w w:val="93"/>
              </w:rPr>
              <w:t>Acquisition Date</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780" w:type="dxa"/>
            <w:vAlign w:val="bottom"/>
          </w:tcPr>
          <w:p>
            <w:pPr>
              <w:jc w:val="center"/>
              <w:ind w:left="550"/>
              <w:spacing w:after="0"/>
              <w:rPr>
                <w:sz w:val="20"/>
                <w:szCs w:val="20"/>
                <w:color w:val="auto"/>
              </w:rPr>
            </w:pPr>
            <w:r>
              <w:rPr>
                <w:rFonts w:ascii="Arial" w:cs="Arial" w:eastAsia="Arial" w:hAnsi="Arial"/>
                <w:sz w:val="18"/>
                <w:szCs w:val="18"/>
                <w:color w:val="auto"/>
                <w:w w:val="91"/>
              </w:rPr>
              <w:t>Value</w:t>
            </w:r>
          </w:p>
        </w:tc>
        <w:tc>
          <w:tcPr>
            <w:tcW w:w="640" w:type="dxa"/>
            <w:vAlign w:val="bottom"/>
          </w:tcPr>
          <w:p>
            <w:pPr>
              <w:spacing w:after="0"/>
              <w:rPr>
                <w:sz w:val="19"/>
                <w:szCs w:val="19"/>
                <w:color w:val="auto"/>
              </w:rPr>
            </w:pP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96"/>
              </w:rPr>
              <w:t>Useful Life</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Method</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i w:val="1"/>
                <w:iCs w:val="1"/>
                <w:color w:val="auto"/>
                <w:w w:val="91"/>
              </w:rPr>
              <w:t>(in thousands)</w:t>
            </w: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i w:val="1"/>
                <w:iCs w:val="1"/>
                <w:color w:val="auto"/>
                <w:w w:val="93"/>
              </w:rPr>
              <w:t>(in years)</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8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4"/>
              </w:rPr>
              <w:t>7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89"/>
              </w:rPr>
              <w:t>12 years</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names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8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15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30,058</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(3,069)</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178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41,916</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Goodwill totaling $30.1 million represents the excess of the TVL purchase price over the fair value of net assets acquired and is included in the Americas segment. Goodwill generated from the TVL acquisition is not deductible for income tax purposes. The results of operations of TVL have been included in the Company’s Consolidated Financial Statements, within the Americas segment, since the completion of the acquisition on November 2, 2020. Pro forma information has not been presented because the effect of the TVL acquisition is not material to the Company’s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six months ended February 28, 2021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709,703</w:t>
            </w:r>
          </w:p>
        </w:tc>
      </w:tr>
      <w:tr>
        <w:trPr>
          <w:trHeight w:val="230"/>
        </w:trPr>
        <w:tc>
          <w:tcPr>
            <w:tcW w:w="5600" w:type="dxa"/>
            <w:vAlign w:val="bottom"/>
          </w:tcPr>
          <w:p>
            <w:pPr>
              <w:ind w:left="10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30,058</w:t>
            </w:r>
          </w:p>
        </w:tc>
        <w:tc>
          <w:tcPr>
            <w:tcW w:w="3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30,058</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6,299</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r>
      <w:tr>
        <w:trPr>
          <w:trHeight w:val="224"/>
        </w:trPr>
        <w:tc>
          <w:tcPr>
            <w:tcW w:w="5600" w:type="dxa"/>
            <w:vAlign w:val="bottom"/>
          </w:tcPr>
          <w:p>
            <w:pPr>
              <w:ind w:left="20"/>
              <w:spacing w:after="0"/>
              <w:rPr>
                <w:sz w:val="20"/>
                <w:szCs w:val="20"/>
                <w:color w:val="auto"/>
              </w:rPr>
            </w:pPr>
            <w:r>
              <w:rPr>
                <w:rFonts w:ascii="Arial" w:cs="Arial" w:eastAsia="Arial" w:hAnsi="Arial"/>
                <w:sz w:val="18"/>
                <w:szCs w:val="18"/>
                <w:color w:val="auto"/>
              </w:rPr>
              <w:t>Balance at February 28, 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416,253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326,726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3,062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746,041</w:t>
            </w:r>
          </w:p>
        </w:tc>
      </w:tr>
    </w:tbl>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Americas, EMEA and Asia Pacific, which reflect the level of internal reporting the Company uses to manage its business and operations. The three reporting units are consistent with the reported operating segments as there is no discrete financial information available for the subsidiaries within each operating segment. The Company performed its annual goodwill impairment test during the fourth quarter of fiscal 2020, consistent with the timing of previous years, utilizing a qualitative analysis, and concluded it was more likely than not the fair value of each reporting unit was greater than its respective carrying value and no impairment charge was required.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740" w:type="dxa"/>
            <w:vAlign w:val="bottom"/>
            <w:gridSpan w:val="3"/>
          </w:tcPr>
          <w:p>
            <w:pPr>
              <w:jc w:val="right"/>
              <w:ind w:right="119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9"/>
                <w:szCs w:val="19"/>
                <w:color w:val="auto"/>
              </w:rPr>
            </w:pPr>
          </w:p>
        </w:tc>
        <w:tc>
          <w:tcPr>
            <w:tcW w:w="3580" w:type="dxa"/>
            <w:vAlign w:val="bottom"/>
            <w:gridSpan w:val="3"/>
          </w:tcPr>
          <w:p>
            <w:pPr>
              <w:jc w:val="right"/>
              <w:ind w:right="1190"/>
              <w:spacing w:after="0"/>
              <w:rPr>
                <w:sz w:val="20"/>
                <w:szCs w:val="20"/>
                <w:color w:val="auto"/>
              </w:rPr>
            </w:pPr>
            <w:r>
              <w:rPr>
                <w:rFonts w:ascii="Arial" w:cs="Arial" w:eastAsia="Arial" w:hAnsi="Arial"/>
                <w:sz w:val="18"/>
                <w:szCs w:val="18"/>
                <w:color w:val="auto"/>
              </w:rPr>
              <w:t>Six Months Ended</w:t>
            </w:r>
          </w:p>
        </w:tc>
      </w:tr>
      <w:tr>
        <w:trPr>
          <w:trHeight w:val="229"/>
        </w:trPr>
        <w:tc>
          <w:tcPr>
            <w:tcW w:w="2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jc w:val="right"/>
              <w:ind w:right="490"/>
              <w:spacing w:after="0"/>
              <w:rPr>
                <w:sz w:val="20"/>
                <w:szCs w:val="20"/>
                <w:color w:val="auto"/>
              </w:rPr>
            </w:pPr>
            <w:r>
              <w:rPr>
                <w:rFonts w:ascii="Arial" w:cs="Arial" w:eastAsia="Arial" w:hAnsi="Arial"/>
                <w:sz w:val="18"/>
                <w:szCs w:val="18"/>
                <w:color w:val="auto"/>
              </w:rPr>
              <w:t>February 28,</w:t>
            </w:r>
          </w:p>
        </w:tc>
        <w:tc>
          <w:tcPr>
            <w:tcW w:w="360" w:type="dxa"/>
            <w:vAlign w:val="bottom"/>
          </w:tcPr>
          <w:p>
            <w:pPr>
              <w:spacing w:after="0"/>
              <w:rPr>
                <w:sz w:val="19"/>
                <w:szCs w:val="19"/>
                <w:color w:val="auto"/>
              </w:rPr>
            </w:pP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February 29,</w:t>
            </w:r>
          </w:p>
        </w:tc>
        <w:tc>
          <w:tcPr>
            <w:tcW w:w="380" w:type="dxa"/>
            <w:vAlign w:val="bottom"/>
          </w:tcPr>
          <w:p>
            <w:pPr>
              <w:spacing w:after="0"/>
              <w:rPr>
                <w:sz w:val="19"/>
                <w:szCs w:val="19"/>
                <w:color w:val="auto"/>
              </w:rPr>
            </w:pP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February 28,</w:t>
            </w:r>
          </w:p>
        </w:tc>
        <w:tc>
          <w:tcPr>
            <w:tcW w:w="320" w:type="dxa"/>
            <w:vAlign w:val="bottom"/>
          </w:tcPr>
          <w:p>
            <w:pPr>
              <w:spacing w:after="0"/>
              <w:rPr>
                <w:sz w:val="19"/>
                <w:szCs w:val="19"/>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February 29,</w:t>
            </w: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r>
      <w:tr>
        <w:trPr>
          <w:trHeight w:val="22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114,666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103,109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234,898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211,850</w:t>
            </w: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18,023</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14,423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37,049</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29,207</w:t>
            </w:r>
          </w:p>
        </w:tc>
      </w:tr>
      <w:tr>
        <w:trPr>
          <w:trHeight w:val="223"/>
        </w:trPr>
        <w:tc>
          <w:tcPr>
            <w:tcW w:w="2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Effective tax rate</w:t>
            </w:r>
          </w:p>
        </w:tc>
        <w:tc>
          <w:tcPr>
            <w:tcW w:w="8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bl>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FactSet’s effective tax rate is lower than the applicable U.S. corporate income tax rate for the three and six months ended February 28, 2021 driven mainly by research and development ("R&amp;D") tax credits and a foreign derived intangible income ("FDII") deduction. The effective tax rate for the three and six months ended February 28, 2021 is further reduced by windfall tax benefits from stock-based compensation.</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February 28, 2021, the provision for income taxes was $18.0 million, compared with $14.4 million for the same period a year ago. The provision increased due to higher pre-tax income and a net reduction in income tax benefits, with $2.8 million in net tax benefit for the three months ended February 28, 2021, compared with $4.7 million in the prior year comparable period. The net income tax benefits for the three months ended February 28, 2021 included $1.6 million related to windfall tax benefits from stock-based compensation and a $1.2 million foreign deferred tax benefit, compared with a $4.7 million net income tax benefit for the three months ended February 29, 2020 related to windfall tax benefits from stock-based compensation.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February 28, 2021, the provision for income taxes was $37.0 million, compared with $29.2 million from the same period a year ago. The provision increased due to higher pre-tax income and a net reduction in income tax benefits for the six months ended February 28, 2021 with net tax benefits of $5.8 million, compared with $10.6 million the same period a year ago. The net income tax benefits for the six months ended February 28, 2021 included $4.6 million related to windfall tax benefits from stock-based compensation and a $1.2 million of foreign deferred tax benefit, compared with net income tax benefits of $6.6 million related to windfall tax benefits from stock-based compensation and $4.0 million primarily driven by the remeasurement of a foreign net deferred tax position due to changes in the jurisdiction's tax rate and finalizing prior years' tax returns for the six months ended February 29, 2020.</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LEASES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 xml:space="preserve">FactSet primarily leases real estate for office space under various operating lease agreements. FactSet reviews new arrangements at inception to evaluate whether the Company obtains substantially all the economic benefits of and has the right to control the use of an asset. If FactSet determines that an arrangement qualifies as a lease, a lease liability and a corresponding lease ROU asset are recognized on the lease commencement date. As of </w:t>
      </w:r>
      <w:r>
        <w:rPr>
          <w:rFonts w:ascii="Arial" w:cs="Arial" w:eastAsia="Arial" w:hAnsi="Arial"/>
          <w:sz w:val="17"/>
          <w:szCs w:val="17"/>
          <w:color w:val="000000"/>
        </w:rPr>
        <w:t>February 28,</w:t>
      </w:r>
      <w:r>
        <w:rPr>
          <w:rFonts w:ascii="Arial" w:cs="Arial" w:eastAsia="Arial" w:hAnsi="Arial"/>
          <w:sz w:val="17"/>
          <w:szCs w:val="17"/>
          <w:color w:val="212529"/>
        </w:rPr>
        <w:t xml:space="preserve"> </w:t>
      </w:r>
      <w:r>
        <w:rPr>
          <w:rFonts w:ascii="Arial" w:cs="Arial" w:eastAsia="Arial" w:hAnsi="Arial"/>
          <w:sz w:val="17"/>
          <w:szCs w:val="17"/>
          <w:color w:val="000000"/>
        </w:rPr>
        <w:t>2021</w:t>
      </w:r>
      <w:r>
        <w:rPr>
          <w:rFonts w:ascii="Arial" w:cs="Arial" w:eastAsia="Arial" w:hAnsi="Arial"/>
          <w:sz w:val="17"/>
          <w:szCs w:val="17"/>
          <w:color w:val="212529"/>
        </w:rPr>
        <w:t>, the Company’s leases have remaining terms ranging from less than one year to just over 14 years.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 xml:space="preserve">In determining the amount of lease payments used in measuring each </w:t>
      </w:r>
      <w:r>
        <w:rPr>
          <w:rFonts w:ascii="Arial" w:cs="Arial" w:eastAsia="Arial" w:hAnsi="Arial"/>
          <w:sz w:val="17"/>
          <w:szCs w:val="17"/>
          <w:color w:val="000000"/>
        </w:rPr>
        <w:t>lease ROU asset and lease liability</w:t>
      </w:r>
      <w:r>
        <w:rPr>
          <w:rFonts w:ascii="Arial" w:cs="Arial" w:eastAsia="Arial" w:hAnsi="Arial"/>
          <w:sz w:val="17"/>
          <w:szCs w:val="17"/>
          <w:color w:val="212529"/>
        </w:rPr>
        <w:t xml:space="preserve">, FactSet elected the package of practical expedients permitted under the transition guidance, which permits the Company not to reassess under the new standard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which FactSet recognizes over the expected lease term on a straight-line expense basis in occupancy costs (a component of selling, general and administrative ("SG&amp;A") expense). The Company has also elected to apply the short-term lease exception to not recognize </w:t>
      </w:r>
      <w:r>
        <w:rPr>
          <w:rFonts w:ascii="Arial" w:cs="Arial" w:eastAsia="Arial" w:hAnsi="Arial"/>
          <w:sz w:val="17"/>
          <w:szCs w:val="17"/>
          <w:color w:val="000000"/>
        </w:rPr>
        <w:t>lease</w:t>
      </w:r>
      <w:r>
        <w:rPr>
          <w:rFonts w:ascii="Arial" w:cs="Arial" w:eastAsia="Arial" w:hAnsi="Arial"/>
          <w:sz w:val="17"/>
          <w:szCs w:val="17"/>
          <w:color w:val="212529"/>
        </w:rPr>
        <w:t xml:space="preserve"> </w:t>
      </w:r>
      <w:r>
        <w:rPr>
          <w:rFonts w:ascii="Arial" w:cs="Arial" w:eastAsia="Arial" w:hAnsi="Arial"/>
          <w:sz w:val="17"/>
          <w:szCs w:val="17"/>
          <w:color w:val="000000"/>
        </w:rPr>
        <w:t xml:space="preserve">ROU assets and lease liabilities </w:t>
      </w:r>
      <w:r>
        <w:rPr>
          <w:rFonts w:ascii="Arial" w:cs="Arial" w:eastAsia="Arial" w:hAnsi="Arial"/>
          <w:sz w:val="17"/>
          <w:szCs w:val="17"/>
          <w:color w:val="212529"/>
        </w:rPr>
        <w:t>for leases with a term of 12 months or less. FactSet will recognize these lease payments on a straight-line basis over the</w:t>
      </w:r>
      <w:r>
        <w:rPr>
          <w:rFonts w:ascii="Arial" w:cs="Arial" w:eastAsia="Arial" w:hAnsi="Arial"/>
          <w:sz w:val="17"/>
          <w:szCs w:val="17"/>
          <w:color w:val="000000"/>
        </w:rPr>
        <w:t xml:space="preserve"> </w:t>
      </w:r>
      <w:r>
        <w:rPr>
          <w:rFonts w:ascii="Arial" w:cs="Arial" w:eastAsia="Arial" w:hAnsi="Arial"/>
          <w:sz w:val="17"/>
          <w:szCs w:val="17"/>
          <w:color w:val="212529"/>
        </w:rPr>
        <w:t>lease term in O</w:t>
      </w:r>
      <w:r>
        <w:rPr>
          <w:rFonts w:ascii="Arial" w:cs="Arial" w:eastAsia="Arial" w:hAnsi="Arial"/>
          <w:sz w:val="17"/>
          <w:szCs w:val="17"/>
          <w:color w:val="000000"/>
        </w:rPr>
        <w:t>ccupancy costs (a component of SG&amp;A expense)</w:t>
      </w:r>
      <w:r>
        <w:rPr>
          <w:rFonts w:ascii="Arial" w:cs="Arial" w:eastAsia="Arial" w:hAnsi="Arial"/>
          <w:sz w:val="17"/>
          <w:szCs w:val="17"/>
          <w:color w:val="212529"/>
        </w:rPr>
        <w: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212529"/>
        </w:rPr>
        <w:t xml:space="preserve">The adoption of the lease standard primarily related to the Company’s real estate operating leases. As of </w:t>
      </w:r>
      <w:r>
        <w:rPr>
          <w:rFonts w:ascii="Arial" w:cs="Arial" w:eastAsia="Arial" w:hAnsi="Arial"/>
          <w:sz w:val="18"/>
          <w:szCs w:val="18"/>
          <w:color w:val="000000"/>
        </w:rPr>
        <w:t>February 28, 2021, the Company recognized</w:t>
      </w:r>
      <w:r>
        <w:rPr>
          <w:rFonts w:ascii="Arial" w:cs="Arial" w:eastAsia="Arial" w:hAnsi="Arial"/>
          <w:sz w:val="18"/>
          <w:szCs w:val="18"/>
          <w:color w:val="212529"/>
        </w:rPr>
        <w:t xml:space="preserve"> </w:t>
      </w:r>
      <w:r>
        <w:rPr>
          <w:rFonts w:ascii="Arial" w:cs="Arial" w:eastAsia="Arial" w:hAnsi="Arial"/>
          <w:sz w:val="18"/>
          <w:szCs w:val="18"/>
          <w:color w:val="000000"/>
        </w:rPr>
        <w:t xml:space="preserve">$256.0 million of Lease right-of-use assets, net </w:t>
      </w:r>
      <w:r>
        <w:rPr>
          <w:rFonts w:ascii="Arial" w:cs="Arial" w:eastAsia="Arial" w:hAnsi="Arial"/>
          <w:sz w:val="18"/>
          <w:szCs w:val="18"/>
          <w:color w:val="212529"/>
        </w:rPr>
        <w:t>(initially measured as the</w:t>
      </w:r>
      <w:r>
        <w:rPr>
          <w:rFonts w:ascii="Arial" w:cs="Arial" w:eastAsia="Arial" w:hAnsi="Arial"/>
          <w:sz w:val="18"/>
          <w:szCs w:val="18"/>
          <w:color w:val="000000"/>
        </w:rPr>
        <w:t xml:space="preserve"> lease liabilities</w:t>
      </w:r>
      <w:r>
        <w:rPr>
          <w:rFonts w:ascii="Arial" w:cs="Arial" w:eastAsia="Arial" w:hAnsi="Arial"/>
          <w:sz w:val="18"/>
          <w:szCs w:val="18"/>
          <w:color w:val="212529"/>
        </w:rPr>
        <w:t>, adjusted for deferred rent and lease incentives)</w:t>
      </w:r>
      <w:r>
        <w:rPr>
          <w:rFonts w:ascii="Arial" w:cs="Arial" w:eastAsia="Arial" w:hAnsi="Arial"/>
          <w:sz w:val="18"/>
          <w:szCs w:val="18"/>
          <w:color w:val="000000"/>
        </w:rPr>
        <w:t xml:space="preserve"> and combined Current and Long-term lease liabilities of $309.4 million in the Consolidated Balance Sheet. </w:t>
      </w:r>
      <w:r>
        <w:rPr>
          <w:rFonts w:ascii="Arial" w:cs="Arial" w:eastAsia="Arial" w:hAnsi="Arial"/>
          <w:sz w:val="18"/>
          <w:szCs w:val="18"/>
          <w:color w:val="212529"/>
        </w:rPr>
        <w:t>The</w:t>
      </w:r>
      <w:r>
        <w:rPr>
          <w:rFonts w:ascii="Arial" w:cs="Arial" w:eastAsia="Arial" w:hAnsi="Arial"/>
          <w:sz w:val="18"/>
          <w:szCs w:val="18"/>
          <w:color w:val="000000"/>
        </w:rPr>
        <w:t xml:space="preserve"> lease ROU assets and lease liabilities </w:t>
      </w:r>
      <w:r>
        <w:rPr>
          <w:rFonts w:ascii="Arial" w:cs="Arial" w:eastAsia="Arial" w:hAnsi="Arial"/>
          <w:sz w:val="18"/>
          <w:szCs w:val="18"/>
          <w:color w:val="212529"/>
        </w:rPr>
        <w:t>recognized did not</w:t>
      </w:r>
      <w:r>
        <w:rPr>
          <w:rFonts w:ascii="Arial" w:cs="Arial" w:eastAsia="Arial" w:hAnsi="Arial"/>
          <w:sz w:val="18"/>
          <w:szCs w:val="18"/>
          <w:color w:val="000000"/>
        </w:rPr>
        <w:t xml:space="preserve"> </w:t>
      </w:r>
      <w:r>
        <w:rPr>
          <w:rFonts w:ascii="Arial" w:cs="Arial" w:eastAsia="Arial" w:hAnsi="Arial"/>
          <w:sz w:val="18"/>
          <w:szCs w:val="18"/>
          <w:color w:val="212529"/>
        </w:rPr>
        <w:t>include any renewal or termination options that were not yet reasonably certain to be exercised.</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Lease liabilities </w:t>
      </w:r>
      <w:r>
        <w:rPr>
          <w:rFonts w:ascii="Arial" w:cs="Arial" w:eastAsia="Arial" w:hAnsi="Arial"/>
          <w:sz w:val="18"/>
          <w:szCs w:val="18"/>
          <w:color w:val="212529"/>
        </w:rPr>
        <w:t>are measured as the present value of the future minimum lease payments, which includes fixed lease payments and certain qualifying</w:t>
      </w:r>
      <w:r>
        <w:rPr>
          <w:rFonts w:ascii="Arial" w:cs="Arial" w:eastAsia="Arial" w:hAnsi="Arial"/>
          <w:sz w:val="18"/>
          <w:szCs w:val="18"/>
          <w:color w:val="auto"/>
        </w:rPr>
        <w:t xml:space="preserve"> </w:t>
      </w:r>
      <w:r>
        <w:rPr>
          <w:rFonts w:ascii="Arial" w:cs="Arial" w:eastAsia="Arial" w:hAnsi="Arial"/>
          <w:sz w:val="18"/>
          <w:szCs w:val="18"/>
          <w:color w:val="212529"/>
        </w:rPr>
        <w:t>index-based variable payments, over the lease term. The present value is calculated using FactSet’s incremental borrowing rate ("IBR") within the geography where the leased asset is located as there is no rate implicit in the Company’s operating lease arrangements. As FactSet does not have any outstanding public debt, the Company estimates the IBR based on FactSet’s estimated credit rating and available market information. The IBR is determined at lease commencement, or as of September 1, 2019 for operating leases in existence upon adoption of ASC 842. The IBR is subsequently reassessed upon any modification to the lease arrangement.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212529"/>
        </w:rPr>
        <w:t xml:space="preserve">The following table reconciles FactSet’s future undiscounted cash flows related to the Company’s operating leases and the reconciliation to the </w:t>
      </w:r>
      <w:r>
        <w:rPr>
          <w:rFonts w:ascii="Arial" w:cs="Arial" w:eastAsia="Arial" w:hAnsi="Arial"/>
          <w:sz w:val="16"/>
          <w:szCs w:val="16"/>
          <w:color w:val="000000"/>
        </w:rPr>
        <w:t>Current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212529"/>
        </w:rPr>
        <w:t>as of</w:t>
      </w:r>
      <w:r>
        <w:rPr>
          <w:rFonts w:ascii="Arial" w:cs="Arial" w:eastAsia="Arial" w:hAnsi="Arial"/>
          <w:sz w:val="18"/>
          <w:szCs w:val="18"/>
          <w:color w:val="auto"/>
        </w:rPr>
        <w:t xml:space="preserve"> February 28, 2021</w:t>
      </w:r>
      <w:r>
        <w:rPr>
          <w:rFonts w:ascii="Arial" w:cs="Arial" w:eastAsia="Arial" w:hAnsi="Arial"/>
          <w:sz w:val="18"/>
          <w:szCs w:val="18"/>
          <w:color w:val="212529"/>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Minimum Lease</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80" w:type="dxa"/>
            <w:vAlign w:val="bottom"/>
            <w:vMerge w:val="restart"/>
          </w:tcPr>
          <w:p>
            <w:pPr>
              <w:ind w:left="20"/>
              <w:spacing w:after="0"/>
              <w:rPr>
                <w:sz w:val="20"/>
                <w:szCs w:val="20"/>
                <w:color w:val="auto"/>
              </w:rPr>
            </w:pPr>
            <w:r>
              <w:rPr>
                <w:rFonts w:ascii="Arial" w:cs="Arial" w:eastAsia="Arial" w:hAnsi="Arial"/>
                <w:sz w:val="18"/>
                <w:szCs w:val="18"/>
                <w:color w:val="auto"/>
              </w:rPr>
              <w:t>Fiscal Years Ended August 31,</w:t>
            </w:r>
          </w:p>
        </w:tc>
        <w:tc>
          <w:tcPr>
            <w:tcW w:w="7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7"/>
              </w:rPr>
              <w:t>Payments</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six months)</w:t>
            </w:r>
          </w:p>
        </w:tc>
        <w:tc>
          <w:tcPr>
            <w:tcW w:w="7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7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7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309,393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89"/>
              </w:rPr>
              <w:t>The components of lease cost related to the operating leases were as follows:</w:t>
            </w: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80" w:type="dxa"/>
            <w:vAlign w:val="bottom"/>
            <w:gridSpan w:val="4"/>
            <w:vMerge w:val="continue"/>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00" w:type="dxa"/>
            <w:vAlign w:val="bottom"/>
            <w:gridSpan w:val="3"/>
          </w:tcPr>
          <w:p>
            <w:pPr>
              <w:jc w:val="right"/>
              <w:ind w:right="117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gridSpan w:val="2"/>
          </w:tcPr>
          <w:p>
            <w:pPr>
              <w:jc w:val="right"/>
              <w:ind w:right="510"/>
              <w:spacing w:after="0"/>
              <w:rPr>
                <w:sz w:val="20"/>
                <w:szCs w:val="20"/>
                <w:color w:val="auto"/>
              </w:rPr>
            </w:pPr>
            <w:r>
              <w:rPr>
                <w:rFonts w:ascii="Arial" w:cs="Arial" w:eastAsia="Arial" w:hAnsi="Arial"/>
                <w:sz w:val="18"/>
                <w:szCs w:val="18"/>
                <w:color w:val="auto"/>
              </w:rPr>
              <w:t>Six Months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February 28,</w:t>
            </w:r>
          </w:p>
        </w:tc>
        <w:tc>
          <w:tcPr>
            <w:tcW w:w="540" w:type="dxa"/>
            <w:vAlign w:val="bottom"/>
          </w:tcPr>
          <w:p>
            <w:pPr>
              <w:spacing w:after="0"/>
              <w:rPr>
                <w:sz w:val="19"/>
                <w:szCs w:val="19"/>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w w:val="90"/>
              </w:rPr>
              <w:t>February 29,</w:t>
            </w:r>
          </w:p>
        </w:tc>
        <w:tc>
          <w:tcPr>
            <w:tcW w:w="420" w:type="dxa"/>
            <w:vAlign w:val="bottom"/>
          </w:tcPr>
          <w:p>
            <w:pPr>
              <w:spacing w:after="0"/>
              <w:rPr>
                <w:sz w:val="19"/>
                <w:szCs w:val="19"/>
                <w:color w:val="auto"/>
              </w:rPr>
            </w:pPr>
          </w:p>
        </w:tc>
        <w:tc>
          <w:tcPr>
            <w:tcW w:w="1660" w:type="dxa"/>
            <w:vAlign w:val="bottom"/>
            <w:gridSpan w:val="2"/>
          </w:tcPr>
          <w:p>
            <w:pPr>
              <w:jc w:val="right"/>
              <w:ind w:right="430"/>
              <w:spacing w:after="0"/>
              <w:rPr>
                <w:sz w:val="20"/>
                <w:szCs w:val="20"/>
                <w:color w:val="auto"/>
              </w:rPr>
            </w:pPr>
            <w:r>
              <w:rPr>
                <w:rFonts w:ascii="Arial" w:cs="Arial" w:eastAsia="Arial" w:hAnsi="Arial"/>
                <w:sz w:val="18"/>
                <w:szCs w:val="18"/>
                <w:color w:val="auto"/>
              </w:rPr>
              <w:t>February 28,</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February 29,</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7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1252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212529"/>
              </w:rPr>
              <w:t>10.8</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68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2</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60" w:hanging="328"/>
        <w:spacing w:after="0" w:line="275"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lease costs included costs associated with fixed lease payments and index-based variable payments that qualified for lease accounting under ASC 842, Leases and complied with the practical expedients and exceptions elected by FactSet.</w:t>
      </w:r>
    </w:p>
    <w:p>
      <w:pPr>
        <w:spacing w:after="0" w:line="10" w:lineRule="exact"/>
        <w:rPr>
          <w:rFonts w:ascii="Arial" w:cs="Arial" w:eastAsia="Arial" w:hAnsi="Arial"/>
          <w:sz w:val="16"/>
          <w:szCs w:val="16"/>
          <w:i w:val="1"/>
          <w:iCs w:val="1"/>
          <w:color w:val="auto"/>
        </w:rPr>
      </w:pPr>
    </w:p>
    <w:p>
      <w:pPr>
        <w:jc w:val="both"/>
        <w:ind w:left="660" w:hanging="328"/>
        <w:spacing w:after="0" w:line="261"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Variable lease costs were not included in the measurement of lease liabilities and primarily included variable non-lease costs and leases that qualified for the short-term lease exception. These variable non-lease costs included costs that were not fixed at the lease commencement date and are not dependent on an index or rate. These costs relate to utilities, real estate taxes, insurance and maintenance.</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Company's lease term and discount rate assumptions related to the operating leases recorded on the 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February 28, 2021</w:t>
            </w: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August 31, 2020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4.2 %</w:t>
            </w:r>
          </w:p>
        </w:tc>
        <w:tc>
          <w:tcPr>
            <w:tcW w:w="18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1127"/>
        </w:trPr>
        <w:tc>
          <w:tcPr>
            <w:tcW w:w="55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1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790"/>
        </w:trPr>
        <w:tc>
          <w:tcPr>
            <w:tcW w:w="9200" w:type="dxa"/>
            <w:vAlign w:val="bottom"/>
            <w:gridSpan w:val="4"/>
          </w:tcPr>
          <w:p>
            <w:pPr>
              <w:spacing w:after="0"/>
              <w:rPr>
                <w:sz w:val="20"/>
                <w:szCs w:val="20"/>
                <w:color w:val="auto"/>
              </w:rPr>
            </w:pPr>
            <w:r>
              <w:rPr>
                <w:rFonts w:ascii="Arial" w:cs="Arial" w:eastAsia="Arial" w:hAnsi="Arial"/>
                <w:sz w:val="18"/>
                <w:szCs w:val="18"/>
                <w:color w:val="auto"/>
              </w:rPr>
              <w:t>The following table summarizes supplemental cash flow information related to the Company's operating leases:</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1"/>
        </w:trPr>
        <w:tc>
          <w:tcPr>
            <w:tcW w:w="1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80" w:type="dxa"/>
            <w:vAlign w:val="bottom"/>
            <w:gridSpan w:val="3"/>
          </w:tcPr>
          <w:p>
            <w:pPr>
              <w:jc w:val="right"/>
              <w:ind w:right="1250"/>
              <w:spacing w:after="0"/>
              <w:rPr>
                <w:sz w:val="20"/>
                <w:szCs w:val="20"/>
                <w:color w:val="auto"/>
              </w:rPr>
            </w:pPr>
            <w:r>
              <w:rPr>
                <w:rFonts w:ascii="Arial" w:cs="Arial" w:eastAsia="Arial" w:hAnsi="Arial"/>
                <w:sz w:val="18"/>
                <w:szCs w:val="18"/>
                <w:color w:val="auto"/>
              </w:rPr>
              <w:t>Six Months Ended</w:t>
            </w:r>
          </w:p>
        </w:tc>
      </w:tr>
      <w:tr>
        <w:trPr>
          <w:trHeight w:val="229"/>
        </w:trPr>
        <w:tc>
          <w:tcPr>
            <w:tcW w:w="12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February 28,</w:t>
            </w:r>
          </w:p>
        </w:tc>
        <w:tc>
          <w:tcPr>
            <w:tcW w:w="360" w:type="dxa"/>
            <w:vAlign w:val="bottom"/>
          </w:tcPr>
          <w:p>
            <w:pPr>
              <w:spacing w:after="0"/>
              <w:rPr>
                <w:sz w:val="19"/>
                <w:szCs w:val="19"/>
                <w:color w:val="auto"/>
              </w:rPr>
            </w:pP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February 29,</w:t>
            </w:r>
          </w:p>
        </w:tc>
      </w:tr>
      <w:tr>
        <w:trPr>
          <w:trHeight w:val="230"/>
        </w:trPr>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2020</w:t>
            </w:r>
          </w:p>
        </w:tc>
      </w:tr>
      <w:tr>
        <w:trPr>
          <w:trHeight w:val="223"/>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Lease ROU assets obtained in exchange for lease liabilities</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DEBT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FactSet’s debt obligations at February 28, 2021 and August 31, 2020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February 28, 2021</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August 31, 2020</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2019</w:t>
            </w:r>
          </w:p>
        </w:tc>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2019</w:t>
            </w:r>
          </w:p>
        </w:tc>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Revolving Credit Facility debt issuance costs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7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r>
    </w:tbl>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the Company entered into a credit agreement between FactSet, as the borrower, and PNC Bank, National Association ("PNC"), as the administrative agent and lender (the "2019 Credit Agreement").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FactSet borrowed $575.0 million of the available $750.0 million provided by the 2019 Revolving Credit Facility, resulting in $175.0 million available to be withdrawn as of February 28, 2021.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February 28, 2021. The principal balance is payable in full on the maturity date.</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Borrowings under the 2019 Revolving Credit Facility bear interest on the outstanding principal amount at a rate equal to the daily LIBOR plus a spread using a debt leverage pricing grid, currently at 0.875%. For the three months ended February 28, 2021 and February 29, 2020, FactSet recorded interest expense on its outstanding debt, including the amortization of debt issuance costs, of $1.9 million and $3.8 million, respectively, net of the effects of the interest rate swap agreement. For the six months ended February 28, 2021 and February 29, 2020, FactSet recorded interest expense on its outstanding debt, including the amortization of debt issuance costs, of $4.0 million and $8.0 million, respectively, net of the effects of the interest rate swap agreement. Including the effects of the interest rate swap agreement, the year-to-date weighted average interest rate on amounts outstanding under the Company's 2019 Revolving Credit Facility was 1.39% and 2.20% as of February 28, 2021 and August 31, 2020, respectively. Refer to Note 6,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for further discussion on the interest rate swap agreement. Interest on the loan outstanding under the 2019 Revolving Credit Facility is payable quarterly, in arrears, and on the maturity date.</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debt issuance costs and are amortized into interest expense ratably over the term of the 2019 Credit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 a consolidated net leverage ratio, as measured by total net funded debt/EBITDA (as defined in the 2019 Credit Agreement) below a specified level as of the end of each fiscal quarter. The Company was in compliance with all covenants and requirements within the 2019 Credit Agreement as of February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 and Vendors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2020, the Company had total purchase commitments with suppliers of $226.0 million. During the first quarter of fiscal 2021, FactSet entered into a software subscription agreement with total purchase commitments of approximately $10.0 million with a contract term of three years. During the second quarter of fiscal 2021, FactSet increased its contractual spend commitment on a cloud hosting agreement by approximately $25.0 million over a contract term of five years. There were no other material changes in the Company’s purchase commitments during the six months ended February 28,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From time to time, FactSet is required to obtain letters of credit in the ordinary course of business. As of February 28, 2021 FactSet has approximately $2.8 million of standby letters of credit outstanding. These standby letters of credit utilize the same covenants included in the 2019 Credit Agreement.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more information on these covenants.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Uncertain income tax positions are accounted for in accordance with applicable accounting guidance, refer to Note 9,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additional expense would result.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accrues non-income 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February 28, 2021,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2019, FactSet received a Notice of Intent to Assess (the "Notice") additional sales taxes, interest and underpayment penalties from the Commonwealth of Massachusetts Department of Revenue (the "Commonwealth") relating to prior tax periods. The Notice follows FactSet's previously disclosed response to a letter from the Commonwealth requesting additional sales information. Based upon the Notice, it is the Commonwealth's intention to assess sales/use tax, interest and penalties on previously recorded sales transactions. The Company filed an appeal to the Notice and intends to contest any such assessment, if assessed, and continues to cooperate with the Commonwealth's inquiry. Due to the uncertainty surrounding the assessment process, the Company is unable to reasonably estimate the ultimate outcome of this matter and, as such, has not recorded a liability as of February 28, 2021. FactSet believes that it will ultimately prevail if the Company is presented with a formal assessment; however, if FactSet does not prevail, the amount could have a material impact on the Company’s consolidated financial position, cash flows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that potentially subject FactSet to concentrations of credit risk consist primarily of cash and cash equivalents. The Company is exposed to credit risk for cash and cash equivalents held in financial institutions in the event of a default, to the extent that such amounts are in excess of applicable insurance limits. The Company has not experienced any losses from maintaining cash accounts in excess of such limits. To mitigate associated concentration risk, FactSet utilizes multiple high-quality, credit-worthy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unsecured and are derived from revenue earned from clients located around the globe. The Company does not require collateral from its clients. The Company maintains reserves for potential write-offs and evaluates the adequacy of the reserves periodically. These losses have historically been within expectations. No single client represented more than 3% of FactSet’s total subscription revenue in any period presented. As of February 28, 2021, the receivable reserve was $5.9 million compared with $8.0 million as of August 31,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FactSet's use of derivative instruments exposes the Company to credit risk to the extent counterparties may be unable to meet the terms of their agreements. To mitigate credit risk, the Company limits counterparties to credit-worthy financial institutions and distributes contracts among these institutions to reduce the concentration of credit risk. FactSet does not expect any losses as a result of default of its counterparties.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FactSet relies on certain data sets where there are a limited number of suppliers.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its clients access to perform their analysis. Two data suppliers each represented more than 10% of FactSet's total data costs for the six months ended February 28, 2021.</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8640" w:type="dxa"/>
            <w:vAlign w:val="bottom"/>
          </w:tcPr>
          <w:p>
            <w:pPr>
              <w:spacing w:after="0"/>
              <w:rPr>
                <w:sz w:val="22"/>
                <w:szCs w:val="22"/>
                <w:color w:val="auto"/>
              </w:rPr>
            </w:pPr>
          </w:p>
        </w:tc>
        <w:tc>
          <w:tcPr>
            <w:tcW w:w="2600" w:type="dxa"/>
            <w:vAlign w:val="bottom"/>
            <w:gridSpan w:val="2"/>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230"/>
        </w:trPr>
        <w:tc>
          <w:tcPr>
            <w:tcW w:w="864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February 28,</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9"/>
              </w:rPr>
              <w:t>February 29,</w:t>
            </w:r>
          </w:p>
        </w:tc>
      </w:tr>
      <w:tr>
        <w:trPr>
          <w:trHeight w:val="230"/>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 at September 1, 2020 and 2019, respectively</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38,030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9"/>
                <w:szCs w:val="9"/>
                <w:color w:val="auto"/>
              </w:rPr>
              <w:t>(1)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February 28, 2021 and February 29, 2020, respectively</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37,845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37,849</w:t>
            </w:r>
          </w:p>
        </w:tc>
      </w:tr>
    </w:tbl>
    <w:p>
      <w:pPr>
        <w:spacing w:after="0" w:line="166" w:lineRule="exact"/>
        <w:rPr>
          <w:sz w:val="20"/>
          <w:szCs w:val="20"/>
          <w:color w:val="auto"/>
        </w:rPr>
      </w:pPr>
    </w:p>
    <w:p>
      <w:pPr>
        <w:ind w:left="340" w:right="220" w:hanging="332"/>
        <w:spacing w:after="0" w:line="275"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For the six months ended February 28, 2021 and February 29, 2020, the Company repurchased 7,447 and 6,252 shares, or $2.4 million and $1.6 million of common stock, respectively, primarily to satisfy withholding tax obligations due upon the vesting of stock-based awards.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of shares of common stock may be made from time to time in the open market and privately negotiated transactions, subject to market conditions. For the three months ended February 28, 2021 and February 29, 2020, the Company repurchased 221,959 shares for $71.5 million and 267,500 shares for $74.2 million, respectively. For the six months ended February 28, 2021 and February 29, 2020, the Company repurchased 353,759 shares for $114.6 million and 610,500 shares for $158.6 million, respectively.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$144.4 million remained authorized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23, 2021, the Board of Directors of FactSet approved a $205.6 million increase to the existing share repurchase program. Subsequent to this approval, a total of $350.0 million is available for future share repurchases.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Restricted stock awards entitle the holders to receive shares of common stock as the awards vest over time. For the six months ended February 28, 2021, 18,943 shares of previously granted restricted stock vested and were included in common stock outstanding as of February 28, 2021 (recorded net of 7,129 shares repurchased from employees at a cost of $2.3 million to cover their cost of taxes upon vesting of the restricted stock). During the six months ended February 29, 2020, 16,476 shares of previously granted restricted stock vested and were included in common stock outstanding as of February 29, 2020 (recorded net of 6,209 shares repurchased from employees at a cost of $1.6 million to cover their cost of taxes upon vesting of the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in the six months of fiscal 2021 and 2020 respectively:</w:t>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Year Ended</w:t>
            </w:r>
          </w:p>
        </w:tc>
        <w:tc>
          <w:tcPr>
            <w:tcW w:w="1640" w:type="dxa"/>
            <w:vAlign w:val="bottom"/>
          </w:tcPr>
          <w:p>
            <w:pPr>
              <w:spacing w:after="0"/>
              <w:rPr>
                <w:sz w:val="13"/>
                <w:szCs w:val="13"/>
                <w:color w:val="auto"/>
              </w:rPr>
            </w:pPr>
          </w:p>
        </w:tc>
        <w:tc>
          <w:tcPr>
            <w:tcW w:w="1340" w:type="dxa"/>
            <w:vAlign w:val="bottom"/>
          </w:tcPr>
          <w:p>
            <w:pPr>
              <w:jc w:val="right"/>
              <w:ind w:right="330"/>
              <w:spacing w:after="0" w:line="160" w:lineRule="exact"/>
              <w:rPr>
                <w:sz w:val="20"/>
                <w:szCs w:val="20"/>
                <w:color w:val="auto"/>
              </w:rPr>
            </w:pPr>
            <w:r>
              <w:rPr>
                <w:rFonts w:ascii="Arial" w:cs="Arial" w:eastAsia="Arial" w:hAnsi="Arial"/>
                <w:sz w:val="18"/>
                <w:szCs w:val="18"/>
                <w:color w:val="auto"/>
              </w:rPr>
              <w:t>Share of</w:t>
            </w:r>
          </w:p>
        </w:tc>
        <w:tc>
          <w:tcPr>
            <w:tcW w:w="1740" w:type="dxa"/>
            <w:vAlign w:val="bottom"/>
            <w:vMerge w:val="restart"/>
          </w:tcPr>
          <w:p>
            <w:pPr>
              <w:ind w:left="560"/>
              <w:spacing w:after="0"/>
              <w:rPr>
                <w:sz w:val="20"/>
                <w:szCs w:val="20"/>
                <w:color w:val="auto"/>
              </w:rPr>
            </w:pPr>
            <w:r>
              <w:rPr>
                <w:rFonts w:ascii="Arial" w:cs="Arial" w:eastAsia="Arial" w:hAnsi="Arial"/>
                <w:sz w:val="18"/>
                <w:szCs w:val="18"/>
                <w:color w:val="auto"/>
              </w:rPr>
              <w:t>Record Date</w:t>
            </w:r>
          </w:p>
        </w:tc>
        <w:tc>
          <w:tcPr>
            <w:tcW w:w="400" w:type="dxa"/>
            <w:vAlign w:val="bottom"/>
          </w:tcPr>
          <w:p>
            <w:pPr>
              <w:spacing w:after="0"/>
              <w:rPr>
                <w:sz w:val="13"/>
                <w:szCs w:val="13"/>
                <w:color w:val="auto"/>
              </w:rPr>
            </w:pPr>
          </w:p>
        </w:tc>
        <w:tc>
          <w:tcPr>
            <w:tcW w:w="1340" w:type="dxa"/>
            <w:vAlign w:val="bottom"/>
          </w:tcPr>
          <w:p>
            <w:pPr>
              <w:jc w:val="right"/>
              <w:ind w:right="70"/>
              <w:spacing w:after="0" w:line="160" w:lineRule="exact"/>
              <w:rPr>
                <w:sz w:val="20"/>
                <w:szCs w:val="20"/>
                <w:color w:val="auto"/>
              </w:rPr>
            </w:pPr>
            <w:r>
              <w:rPr>
                <w:rFonts w:ascii="Arial" w:cs="Arial" w:eastAsia="Arial" w:hAnsi="Arial"/>
                <w:sz w:val="18"/>
                <w:szCs w:val="18"/>
                <w:color w:val="auto"/>
                <w:w w:val="94"/>
              </w:rPr>
              <w:t>Total $ Amount</w:t>
            </w:r>
          </w:p>
        </w:tc>
        <w:tc>
          <w:tcPr>
            <w:tcW w:w="2000" w:type="dxa"/>
            <w:vAlign w:val="bottom"/>
            <w:vMerge w:val="restart"/>
          </w:tcPr>
          <w:p>
            <w:pPr>
              <w:ind w:left="50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Common Stock</w:t>
            </w:r>
          </w:p>
        </w:tc>
        <w:tc>
          <w:tcPr>
            <w:tcW w:w="1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(in thousands)</w:t>
            </w: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0.77</w:t>
            </w:r>
          </w:p>
        </w:tc>
        <w:tc>
          <w:tcPr>
            <w:tcW w:w="1740" w:type="dxa"/>
            <w:vAlign w:val="bottom"/>
          </w:tcPr>
          <w:p>
            <w:pPr>
              <w:ind w:left="60"/>
              <w:spacing w:after="0"/>
              <w:rPr>
                <w:sz w:val="20"/>
                <w:szCs w:val="20"/>
                <w:color w:val="auto"/>
              </w:rPr>
            </w:pPr>
            <w:r>
              <w:rPr>
                <w:rFonts w:ascii="Arial" w:cs="Arial" w:eastAsia="Arial" w:hAnsi="Arial"/>
                <w:sz w:val="18"/>
                <w:szCs w:val="18"/>
                <w:color w:val="auto"/>
              </w:rPr>
              <w:t>November 30, 2020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29,266</w:t>
            </w:r>
          </w:p>
        </w:tc>
        <w:tc>
          <w:tcPr>
            <w:tcW w:w="2000" w:type="dxa"/>
            <w:vAlign w:val="bottom"/>
          </w:tcPr>
          <w:p>
            <w:pPr>
              <w:ind w:left="60"/>
              <w:spacing w:after="0"/>
              <w:rPr>
                <w:sz w:val="20"/>
                <w:szCs w:val="20"/>
                <w:color w:val="auto"/>
              </w:rPr>
            </w:pPr>
            <w:r>
              <w:rPr>
                <w:rFonts w:ascii="Arial" w:cs="Arial" w:eastAsia="Arial" w:hAnsi="Arial"/>
                <w:sz w:val="18"/>
                <w:szCs w:val="18"/>
                <w:color w:val="auto"/>
              </w:rPr>
              <w:t>December 17, 2020</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26, 2021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0.72</w:t>
            </w:r>
          </w:p>
        </w:tc>
        <w:tc>
          <w:tcPr>
            <w:tcW w:w="1740" w:type="dxa"/>
            <w:vAlign w:val="bottom"/>
          </w:tcPr>
          <w:p>
            <w:pPr>
              <w:ind w:left="60"/>
              <w:spacing w:after="0"/>
              <w:rPr>
                <w:sz w:val="20"/>
                <w:szCs w:val="20"/>
                <w:color w:val="auto"/>
              </w:rPr>
            </w:pPr>
            <w:r>
              <w:rPr>
                <w:rFonts w:ascii="Arial" w:cs="Arial" w:eastAsia="Arial" w:hAnsi="Arial"/>
                <w:sz w:val="18"/>
                <w:szCs w:val="18"/>
                <w:color w:val="auto"/>
              </w:rPr>
              <w:t>November 29, 2019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27,291</w:t>
            </w:r>
          </w:p>
        </w:tc>
        <w:tc>
          <w:tcPr>
            <w:tcW w:w="2000" w:type="dxa"/>
            <w:vAlign w:val="bottom"/>
          </w:tcPr>
          <w:p>
            <w:pPr>
              <w:ind w:left="60"/>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28, 2020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27,251</w:t>
            </w: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19, 2020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cash dividend payments will depend on the Company’s earnings, capital requirements, financial condition and other factors considered relevant by the Company and are subject to final determination by the Company’s Board of Directors.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34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45"/>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February 28, 2021</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August 31, 2020</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(37,702)</w:t>
            </w:r>
          </w:p>
        </w:tc>
      </w:tr>
      <w:tr>
        <w:trPr>
          <w:trHeight w:val="22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AOCL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EARNINGS PER SHARE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4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Weighted</w:t>
      </w:r>
    </w:p>
    <w:tbl>
      <w:tblPr>
        <w:tblLayout w:type="fixed"/>
        <w:tblInd w:w="0" w:type="dxa"/>
        <w:tblCellMar>
          <w:top w:w="0" w:type="dxa"/>
          <w:left w:w="0" w:type="dxa"/>
          <w:bottom w:w="0" w:type="dxa"/>
          <w:right w:w="0" w:type="dxa"/>
        </w:tblCellMar>
      </w:tblPr>
      <w:tr>
        <w:trPr>
          <w:trHeight w:val="160"/>
        </w:trPr>
        <w:tc>
          <w:tcPr>
            <w:tcW w:w="5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vMerge w:val="restart"/>
          </w:tcPr>
          <w:p>
            <w:pPr>
              <w:jc w:val="right"/>
              <w:ind w:right="310"/>
              <w:spacing w:after="0"/>
              <w:rPr>
                <w:sz w:val="20"/>
                <w:szCs w:val="20"/>
                <w:color w:val="auto"/>
              </w:rPr>
            </w:pPr>
            <w:r>
              <w:rPr>
                <w:rFonts w:ascii="Arial" w:cs="Arial" w:eastAsia="Arial" w:hAnsi="Arial"/>
                <w:sz w:val="18"/>
                <w:szCs w:val="18"/>
                <w:color w:val="auto"/>
              </w:rPr>
              <w:t>Net Income</w:t>
            </w:r>
          </w:p>
        </w:tc>
        <w:tc>
          <w:tcPr>
            <w:tcW w:w="1440" w:type="dxa"/>
            <w:vAlign w:val="bottom"/>
          </w:tcPr>
          <w:p>
            <w:pPr>
              <w:jc w:val="center"/>
              <w:spacing w:after="0" w:line="160" w:lineRule="exact"/>
              <w:rPr>
                <w:sz w:val="20"/>
                <w:szCs w:val="20"/>
                <w:color w:val="auto"/>
              </w:rPr>
            </w:pPr>
            <w:r>
              <w:rPr>
                <w:rFonts w:ascii="Arial" w:cs="Arial" w:eastAsia="Arial" w:hAnsi="Arial"/>
                <w:sz w:val="18"/>
                <w:szCs w:val="18"/>
                <w:color w:val="auto"/>
                <w:w w:val="89"/>
              </w:rPr>
              <w:t>Average</w:t>
            </w:r>
          </w:p>
        </w:tc>
        <w:tc>
          <w:tcPr>
            <w:tcW w:w="360" w:type="dxa"/>
            <w:vAlign w:val="bottom"/>
          </w:tcPr>
          <w:p>
            <w:pPr>
              <w:spacing w:after="0"/>
              <w:rPr>
                <w:sz w:val="13"/>
                <w:szCs w:val="13"/>
                <w:color w:val="auto"/>
              </w:rPr>
            </w:pPr>
          </w:p>
        </w:tc>
        <w:tc>
          <w:tcPr>
            <w:tcW w:w="1200" w:type="dxa"/>
            <w:vAlign w:val="bottom"/>
            <w:vMerge w:val="restart"/>
          </w:tcPr>
          <w:p>
            <w:pPr>
              <w:jc w:val="right"/>
              <w:ind w:right="290"/>
              <w:spacing w:after="0"/>
              <w:rPr>
                <w:sz w:val="20"/>
                <w:szCs w:val="20"/>
                <w:color w:val="auto"/>
              </w:rPr>
            </w:pPr>
            <w:r>
              <w:rPr>
                <w:rFonts w:ascii="Arial" w:cs="Arial" w:eastAsia="Arial" w:hAnsi="Arial"/>
                <w:sz w:val="18"/>
                <w:szCs w:val="18"/>
                <w:color w:val="auto"/>
                <w:w w:val="98"/>
              </w:rPr>
              <w:t>Per Share</w:t>
            </w:r>
          </w:p>
        </w:tc>
        <w:tc>
          <w:tcPr>
            <w:tcW w:w="0" w:type="dxa"/>
            <w:vAlign w:val="bottom"/>
          </w:tcPr>
          <w:p>
            <w:pPr>
              <w:spacing w:after="0"/>
              <w:rPr>
                <w:sz w:val="1"/>
                <w:szCs w:val="1"/>
                <w:color w:val="auto"/>
              </w:rPr>
            </w:pPr>
          </w:p>
        </w:tc>
      </w:tr>
      <w:tr>
        <w:trPr>
          <w:trHeight w:val="176"/>
        </w:trPr>
        <w:tc>
          <w:tcPr>
            <w:tcW w:w="5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0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8"/>
              </w:rPr>
              <w:t>Common Shares</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8"/>
              </w:rPr>
              <w:t>(Numerator)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(Denominator)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three months ended February 28, 2021</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96,643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96,643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three months ended February 29, 2020</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88,686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88,686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38,576</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six months ended February 28, 2021</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197,849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197,849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38,658</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six months ended February 29, 2020</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182,643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182,643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38,582</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Dilutive potential common shares consist of stock options and unvested performance-based awards. There were 1,750 stock options excluded from the calculation of diluted EPS for the six months ended February 28, 2021, because their inclusion would have been anti-dilutive. For the six months ended February 29, 2020, the number of stock options excluded from calculation of diluted EPS was 18,065.</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Performance-based awards are omitted from the calculation of diluted EPS until it is determined that the performance criteria has been met at the end of the reporting period. For the six months ended February 28, 2021, there were 71,275 performance-based awards excluded from the calculation of diluted EPS. For the six months ended February 29, 2020, there were 36,501 performance-based awards excluded from the calculation of diluted EPS.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total stock-based compensation expense of $11.0 million and $8.2 million during the three months ended February 28, 2021 and February 29, 2020, respectively. During the six months ended February 28, 2021 and February 29, 2020, the Company recognized total stock-based compensation expense of $22.3 million and $18.0 million, respectively. As of February 28, 2021, $107.1 million of total unrecognized compensation expense related to non-vested equity awards is expected to be recognized over a weighted average period of 3.2 years. Stock-based compensation expense related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FactSet Research Systems Inc. Employee Stock Purchase Plan, as Amended and Restated (the "ESPP") was $0.5 million for both the three months ended February 28, 2021 and February 29, 2020. Stock-based compensation expense related to the ESPP was $1.0 million for each of the six months ended February 28, 2021 and February 29, 2020.</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FactSet had 5.1 million share-based awards available for grant under the FactSet Research Systems Inc. Stock Option and Award Plan, as Amended and Restated (the "LTIP") and 0.2 million share-based awards available for grant under the FactSet Research Systems Inc. Non-Employee Directors' Stock Option and Award Plan, as Amended and Restated (the "Director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Awards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February 28, 2021, FactSet granted 409,476 stock options with a weighted average exercise price of $316.69 to existing employees of the Company, using the lattice-binomial option-pricing model. The majority of the stock options granted during the six months of fiscal 2021 related to the annual employee grant on November 9, 2020 under the LTIP. These stock option awards vest 20% annually on the anniversary date of the grant and are fully vested after five years, expiring ten years from the date of grant.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employee stock options granted on November 9, 2020 was determined with the following assumptions: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9, 2020 Grant Details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 - 0.80%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460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600" w:type="dxa"/>
            <w:vAlign w:val="bottom"/>
          </w:tcPr>
          <w:p>
            <w:pPr>
              <w:jc w:val="right"/>
              <w:spacing w:after="0"/>
              <w:rPr>
                <w:sz w:val="20"/>
                <w:szCs w:val="20"/>
                <w:color w:val="auto"/>
              </w:rPr>
            </w:pPr>
            <w:r>
              <w:rPr>
                <w:rFonts w:ascii="Arial" w:cs="Arial" w:eastAsia="Arial" w:hAnsi="Arial"/>
                <w:sz w:val="18"/>
                <w:szCs w:val="18"/>
                <w:color w:val="auto"/>
              </w:rPr>
              <w:t>0.91 %</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4600" w:type="dxa"/>
            <w:vAlign w:val="bottom"/>
          </w:tcPr>
          <w:p>
            <w:pPr>
              <w:jc w:val="right"/>
              <w:spacing w:after="0"/>
              <w:rPr>
                <w:sz w:val="20"/>
                <w:szCs w:val="20"/>
                <w:color w:val="auto"/>
              </w:rPr>
            </w:pPr>
            <w:r>
              <w:rPr>
                <w:rFonts w:ascii="Arial" w:cs="Arial" w:eastAsia="Arial" w:hAnsi="Arial"/>
                <w:sz w:val="18"/>
                <w:szCs w:val="18"/>
                <w:color w:val="auto"/>
              </w:rPr>
              <w:t>$316.71</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Grant</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Director Plan provides for the grant of share-based awards, including stock options, to non-employee directors of FactSet. As of February 28, 2021, shares available for future grant under the Director Plan were 237,749. The expiration date of the Director Plan is December 19, 2027.</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2021, FactSet granted 12,137 stock options to the Company's non-employee directors, using the Black-Scholes option-pricing model with the following assumptions: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15, 2021 Grant Details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4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360" w:type="dxa"/>
            <w:vAlign w:val="bottom"/>
          </w:tcPr>
          <w:p>
            <w:pPr>
              <w:jc w:val="right"/>
              <w:spacing w:after="0"/>
              <w:rPr>
                <w:sz w:val="20"/>
                <w:szCs w:val="20"/>
                <w:color w:val="auto"/>
              </w:rPr>
            </w:pPr>
            <w:r>
              <w:rPr>
                <w:rFonts w:ascii="Arial" w:cs="Arial" w:eastAsia="Arial" w:hAnsi="Arial"/>
                <w:sz w:val="18"/>
                <w:szCs w:val="18"/>
                <w:color w:val="auto"/>
              </w:rPr>
              <w:t>0.93 %</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4360" w:type="dxa"/>
            <w:vAlign w:val="bottom"/>
          </w:tcPr>
          <w:p>
            <w:pPr>
              <w:jc w:val="right"/>
              <w:spacing w:after="0"/>
              <w:rPr>
                <w:sz w:val="20"/>
                <w:szCs w:val="20"/>
                <w:color w:val="auto"/>
              </w:rPr>
            </w:pPr>
            <w:r>
              <w:rPr>
                <w:rFonts w:ascii="Arial" w:cs="Arial" w:eastAsia="Arial" w:hAnsi="Arial"/>
                <w:sz w:val="18"/>
                <w:szCs w:val="18"/>
                <w:color w:val="auto"/>
              </w:rPr>
              <w:t>$318.20</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a percentage of exercise price</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six months ended February 28, 2021, FactSet granted 41,511 non-performance based restricted stock units ("RSUs") and 36,424 performance-based restricted stock units ("PRSUs"). RSUs and PRSUs granted during the period were primarily related to the annual employee grant on November 9, 2020. The RSUs and PRSUs granted had a weighted average grant date fair value of $306.36 under the LTIP. The RSUs and PRSUs granted to employees entitle the holders to shares of common stock as the units vest over time or the performance period, but not to dividends declared on the underlying shares while the restricted stock is unvested. The grant date fair value of RSUs is measured by reducing the grant date price of FactSet's common stock by the present value of the dividends expected to be paid on the underlying stock during the requisite service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period, discounted at the appropriate risk-free interest rate. The majority of the RSUs granted vest 20% annually on the anniversary date of grant and are fully vested after five years and the majority of the granted PRSUs cliff vest on the third anniversary of the grant date, subject to the achievement of certain performance metrics. The remaining RSUs and PRSUs were granted to TVL employees as part of their transition to FactSet and vest 50% on the second anniversary of grant and 25% percent on each of the third and fourth anniversaries of grant, subject to the achievement of certain performance metrics for the PRSUs.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Shares of FactSet common stock may be purchased by eligible employees under the ESPP in three-month intervals. The purchase price is equal to 85% of the lesser of the fair market value of the Company’s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February 28, 2021, employees purchased 9,528 shares at a weighted average price of $263.18 compared with 11,493 shares at a weighted average price of $221.12 for the three months ended February 29, 2020. During the six months ended February 28, 2021, employees purchased 18,797 shares at a weighted average price of $274.72 compared with 22,652 shares at a weighted average price of $220.91 for the six months ended February 29, 2020. At February 28, 2021, the ESPP had 159,007 shares reserved for future issuance.</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SEGMENT INFORMATION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it engages in business activities from which it may earn revenue and incur expense, (ii) its operating results are regularly reviewed by the company's chief operating decision maker ("CODM") for resource allocation decisions and performance assessment, and (iii) its discrete financial information is available. The Company's Chief Executive Officer functions as FactSet's CODM.</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operating segments are aligned with how the Company, including its CODM, manages the business and the geographic markets in which it serves, with a primary focus on providing integrated global financial and economic information. The Company’s internal financial reporting structure is based on three segments: the Americas, EMEA and Asia Pacific. Within each of the segments, the Company primarily delivers insight and information through four workflow solutions including Research, Analytics and Trading, CTS and Wealth. These workflow solutions provide global financial and economic information to investment managers, investment banks and other financial services professionals.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countries in Europe, the Middle East, and Africa. The Asia Pacific segment serves our clients in countries in Asia and Australia. Segment revenue reflects sales to clients based in these respective geographic locations.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the Company’s data centers, third-party data costs and corporate headquarters charges are recorded by the Americas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5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5"/>
        </w:trPr>
        <w:tc>
          <w:tcPr>
            <w:tcW w:w="9860" w:type="dxa"/>
            <w:vAlign w:val="bottom"/>
            <w:gridSpan w:val="8"/>
          </w:tcPr>
          <w:p>
            <w:pPr>
              <w:spacing w:after="0"/>
              <w:rPr>
                <w:sz w:val="20"/>
                <w:szCs w:val="20"/>
                <w:color w:val="auto"/>
              </w:rPr>
            </w:pPr>
            <w:r>
              <w:rPr>
                <w:rFonts w:ascii="Arial" w:cs="Arial" w:eastAsia="Arial" w:hAnsi="Arial"/>
                <w:sz w:val="18"/>
                <w:szCs w:val="18"/>
                <w:color w:val="auto"/>
                <w:w w:val="95"/>
              </w:rPr>
              <w:t>The following tables reflect the results of operations of the Company's segments as of February 28, 2021 and February 29, 2020: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three months ended February 28,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247,991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105,493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38,304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391,788</w:t>
            </w:r>
          </w:p>
        </w:tc>
      </w:tr>
      <w:tr>
        <w:trPr>
          <w:trHeight w:val="229"/>
        </w:trPr>
        <w:tc>
          <w:tcPr>
            <w:tcW w:w="5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116,133</w:t>
            </w:r>
          </w:p>
        </w:tc>
      </w:tr>
      <w:tr>
        <w:trPr>
          <w:trHeight w:val="230"/>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8,219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10,425</w:t>
            </w:r>
          </w:p>
        </w:tc>
      </w:tr>
      <w:tr>
        <w:trPr>
          <w:trHeight w:val="270"/>
        </w:trPr>
        <w:tc>
          <w:tcPr>
            <w:tcW w:w="5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three months ended February 29, 2020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232,731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102,105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34,944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369,780</w:t>
            </w:r>
          </w:p>
        </w:tc>
      </w:tr>
      <w:tr>
        <w:trPr>
          <w:trHeight w:val="229"/>
        </w:trPr>
        <w:tc>
          <w:tcPr>
            <w:tcW w:w="5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106,257</w:t>
            </w:r>
          </w:p>
        </w:tc>
      </w:tr>
      <w:tr>
        <w:trPr>
          <w:trHeight w:val="229"/>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15,050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9,720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25,119</w:t>
            </w:r>
          </w:p>
        </w:tc>
      </w:tr>
      <w:tr>
        <w:trPr>
          <w:trHeight w:val="270"/>
        </w:trPr>
        <w:tc>
          <w:tcPr>
            <w:tcW w:w="5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six months ended February 28, 2021</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492,327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211,270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76,396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779,993</w:t>
            </w:r>
          </w:p>
        </w:tc>
      </w:tr>
      <w:tr>
        <w:trPr>
          <w:trHeight w:val="229"/>
        </w:trPr>
        <w:tc>
          <w:tcPr>
            <w:tcW w:w="5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237,163</w:t>
            </w:r>
          </w:p>
        </w:tc>
      </w:tr>
      <w:tr>
        <w:trPr>
          <w:trHeight w:val="229"/>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17,779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10,346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28,758</w:t>
            </w:r>
          </w:p>
        </w:tc>
      </w:tr>
      <w:tr>
        <w:trPr>
          <w:trHeight w:val="270"/>
        </w:trPr>
        <w:tc>
          <w:tcPr>
            <w:tcW w:w="5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six months ended February 29, 2020</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464,061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202,935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69,442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736,438</w:t>
            </w:r>
          </w:p>
        </w:tc>
      </w:tr>
      <w:tr>
        <w:trPr>
          <w:trHeight w:val="229"/>
        </w:trPr>
        <w:tc>
          <w:tcPr>
            <w:tcW w:w="5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219,443</w:t>
            </w:r>
          </w:p>
        </w:tc>
      </w:tr>
      <w:tr>
        <w:trPr>
          <w:trHeight w:val="230"/>
        </w:trPr>
        <w:tc>
          <w:tcPr>
            <w:tcW w:w="592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39,074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11,308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51,899</w:t>
            </w: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The following table reflects the total assets for the Company's segments: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5"/>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Segment Assets </w:t>
            </w: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February 28, 2021</w:t>
            </w: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August 31, 2020</w:t>
            </w:r>
          </w:p>
        </w:tc>
      </w:tr>
      <w:tr>
        <w:trPr>
          <w:trHeight w:val="22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1,094,064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1,111,600</w:t>
            </w:r>
          </w:p>
        </w:tc>
      </w:tr>
      <w:tr>
        <w:trPr>
          <w:trHeight w:val="229"/>
        </w:trPr>
        <w:tc>
          <w:tcPr>
            <w:tcW w:w="7120" w:type="dxa"/>
            <w:vAlign w:val="bottom"/>
          </w:tcPr>
          <w:p>
            <w:pPr>
              <w:ind w:left="4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840,679</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757,524</w:t>
            </w:r>
          </w:p>
        </w:tc>
      </w:tr>
      <w:tr>
        <w:trPr>
          <w:trHeight w:val="230"/>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228,764</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214,264</w:t>
            </w:r>
          </w:p>
        </w:tc>
      </w:tr>
      <w:tr>
        <w:trPr>
          <w:trHeight w:val="224"/>
        </w:trPr>
        <w:tc>
          <w:tcPr>
            <w:tcW w:w="7120" w:type="dxa"/>
            <w:vAlign w:val="bottom"/>
          </w:tcPr>
          <w:p>
            <w:pPr>
              <w:ind w:left="260"/>
              <w:spacing w:after="0"/>
              <w:rPr>
                <w:sz w:val="20"/>
                <w:szCs w:val="20"/>
                <w:color w:val="auto"/>
              </w:rPr>
            </w:pPr>
            <w:r>
              <w:rPr>
                <w:rFonts w:ascii="Arial" w:cs="Arial" w:eastAsia="Arial" w:hAnsi="Arial"/>
                <w:sz w:val="18"/>
                <w:szCs w:val="18"/>
                <w:i w:val="1"/>
                <w:iCs w:val="1"/>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2,163,507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2,083,388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the Consolidated Financial Statements and related notes included in this Quarterly Report on Form 10-Q, our Annual Report on Form 10-K for the fiscal year ended August 31, 2020,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Risk Factors of this Quarterly Report on Form 10-Q and our Annual Report on Form 10-K for the year ended August 31, 2020.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43" w:lineRule="exact"/>
        <w:rPr>
          <w:sz w:val="20"/>
          <w:szCs w:val="20"/>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FactSet Research Systems Inc. and its wholly-owned subsidiaries (collectively, "we," "our," "us"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and analysis, trade execution, performance measurement, risk management, and reporting, in which we serve the front, middle, and back offices to drive productivity and improved performance. Our flexible, open data and technology solutions can be implemented both across the investment portfolio lifecycle or as standalone components serving different workflows in an organization. We are focused on growing our business through three segments: the Americas, EMEA and Asia Pacific. Within each of our segments, we primarily deliver insight and information through our four workflow solutions of Research, Analytics and Trading, Content and Technology Solutions ("CTS") and Wealth.</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a wide range of financial professionals, including but not limited to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execute trades. We combine dedicated client service with open and flexible technology offerings, such as a configurable desktop and mobile platform, comprehensive data feeds, an open marketplace, digital portals and application programming interface ("APIs"). Our revenue is primarily derived from subscriptions to our products and services such as workstations, portfolio analytics, enterprise data, and research management.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 technology trends are leading to a greater demand to deliver a fully digital and integrated client experience. To take advantage of these developments, we have focused our innovations and strategic investments in cloud computing, data lakes, APIs and our hosted proprietary data and analytics platform to provide real-time, predictive business intelligence for a seamless client experience. We continue to expand our broad financial content to provide support for our clients' most sophisticated investment strategies including enhanced data in private markets, industry specific deep sector and environmental, social, and governance ("ESG") data. As a premier financial solutions provider for the global financial community, we provide workflow solutions and leading analytical applications, powered by cognitive capabilities and robust technology, across the investment portfolio lifecycle. We bring the front, middle and back offices together to drive productivity and performance at every step of the investment process using our open and scalable solutions. Our strategy is focused on growing our business in each of our three segments: the Americas, EMEA, and Asia Pacific. We believe this geographical strategic alignment helps us better manage our resources. To execute on our business strategy of broad-based growth across each geographical segment, we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continue to look at ways to create value for our clients by offering data, products and analytical applications within our four workflow solutions of Research, Analytics and Trading, CTS and Wealth.</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2021 Second Quarter in Review</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the second quarter of fiscal 2021 was $391.8 million, an increase of 6.0% from the prior year period. Revenue increased across our geographic segments, primarily in the Americas, followed by EMEA and Asia Pacific, supported by increased revenue from each of our workflow solutions, mainly in Analytics and Trading and CTS. Organic revenue contributed to 4.9% of the growth during the second quarter of fiscal 2021, compared with the prior year period. Organic revenue excludes the effects of acquisitions and dispositions completed in the last 12 months, the effects of foreign currency movements on the current year period and the amortization of deferred revenue fair value adjustments from purchase accounting. Refer to Non-GAAP Financial Measures in Item 2. of this Quarterly Report for a reconciliation between revenue and organic revenue.</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28, 2021, organic annual subscription value ("organic ASV") plus professional services totaled $1.59 billion, an increase of 5.5% over February 29, 2020. Organic ASV at any given point in time represents the forward-looking revenue for the next 12 months from all subscription services currently being supplied to clients and excludes ASV from acquisitions and dispositions completed within the last 12 months, the effects of foreign currency movements on the current year period and professional services. Organic ASV increased across all our geographic segments with the majority of the increase related to the Americas, followed by EMEA and Asia Pacific.</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grew 9.3% and diluted earnings per share ("EPS") increased 8.7% for the three months ended February 28, 2021, compared with the prior year period. Operating margin increased to 29.6% during the three months ended February 28, 2021 compared with 28.7% in the prior year period. This increase in operating margin on a year-over-year basis was primarily due to revenue growth, a decrease in non-compensatory employee-related expenses and a reduction in professional fees, partially offset by higher computer-related expenses, employee compensation expenses and amortization of intangible assets, when expressed as a percentage of revenue.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our employee headcount was 10,660, up 7.8% in the past 12 months, due primarily to an increase in net new employees of 8.9% in Asia Pacific, 6.3% in the Americas and 4.9% in EMEA. Of our total employee headcount at February 28, 2021, 6,796 were located in Asia Pacific, 2,490 were located in the Americas, and 1,374 were located in EMEA.</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Update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novel strain of coronavirus, now known as COVID-19 ("COVID-19"), was first reported in December 2019, and it has since extensively impacted the</w:t>
      </w:r>
      <w:r>
        <w:rPr>
          <w:rFonts w:ascii="Arial" w:cs="Arial" w:eastAsia="Arial" w:hAnsi="Arial"/>
          <w:sz w:val="16"/>
          <w:szCs w:val="16"/>
          <w:color w:val="auto"/>
        </w:rPr>
        <w:t xml:space="preserve"> </w:t>
      </w:r>
      <w:r>
        <w:rPr>
          <w:rFonts w:ascii="Arial" w:cs="Arial" w:eastAsia="Arial" w:hAnsi="Arial"/>
          <w:sz w:val="17"/>
          <w:szCs w:val="17"/>
          <w:color w:val="auto"/>
        </w:rPr>
        <w:t>global health and economic environment, with the World Health Organization characterizing COVID-19 as a pandemic on March 11, 2020. The COVID-19 virus has spread to nearly all regions in the world, creating significant uncertainties and disruption in the global economy.</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closely monitoring pandemic-related developments, and our highest priority is the health and safety of our employees, clients, vendors and stakeholders. We have taken, and continue to take, numerous steps to address the COVID-19 pandemic. We have implemented a business continuity plan with a dedicated incident management team to respond quickly and effectively to changes in our environment to continue offering our clients uninterrupted products, services and support while also protecting our employees. We continue to coordinate our COVID-19 response based on guidance from global health organizations, relevant governments and pandemic response best practices.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outset of the pandemic, we required the vast majority of our employees at our offices across the globe (including our corporate headquarters) to work remotely on a temporary basis and implemented global travel restrictions for our employees. We believe our transition to remote working has been successful and has not significantly affected our financial results through February 28, 2021.</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planning to re-open many of our offices during fiscal 2021, utilizing a three-phased approach to provide flexibility for employees with a focus on social distancing and safety. As local public health conditions have improved in some locations, we have begun to re-open certain offices in a phased manner consistent with local regulations. We anticipate that the ability to open offices will vary significantly from region to region based on a number of factors, including the availability of COVID-19 vaccines. Our offices will not re-open until local authorities permit us to do so and our own criteria and conditions to ensure employee health and safety are satisfied. There can be no assurances as to when we re-open our offices or that there will be no negative impacts arising from the return to the office environment.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28, 2021, there has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 as many implement their own contingency plans. Since the start of the pandemic, we have increased our support desk resources to manage increased volumes and have extended additional web IDs to our clients in need of immediate remote access to financial data.</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earnings, and ASV are relatively stable and predictable as a result of our subscription-based business model. To date, we have not seen the COVID-19 pandemic having a material impact on our revenue or ASV, although we anticipate that there may be some level of revenue and ASV weakness going forward due to longer sales cycles and lower incremental client billings. The COVID-19 pandemic could curtail our clients’ spending and lead them to delay or defer purchasing decisions or product and service implementations or may cause them to cancel or reduce their spending with us. In determining the possible revenue and ASV impact from the COVID-19 pandemic, we are considering the potential delay in decision making causing longer sales cycles (or conversely delayed cancellations from clients), as well as possible implementation risk due to restrictions on being able to work onsite at our clients' facilities.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and may continue to incur, additional expenses in response to the COVID-19 pandemic, including costs to enable our employees to support our clients while working remotely. These additional expenses were not material to our second quarter fiscal 2021 results, and reductions in discretionary spending, particularly travel and entertainment, have more than offset these increased expenses. We believe that we have the ability to implement additional cost reduction efforts if necessary to mitigate the impact that any reduced revenues may have on our future operating income, through such methods as tighter management of headcount spending; reduction in variable third-party content costs in a manner consistent with client demand; and reduction of discretionary spending.</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27, 2020, the Coronavirus Aid, Relief, and Economic Security ("CARES") Act was signed into law to address the economic impact of the COVID-19 pandemic. On December 27, 2020, the Consolidated Appropriations Act, 2021 was signed into law and includes further relief and stimulus provisions to address economic concerns related to the COVID-19 pandemic. On March 11, 2021, the American Rescue Plan Act of 2021 was signed into law and provides further economic relief and stimulus to deal with the economic impact of the COVID-19 pandemic. We continue to monitor any effects that may result from these Acts and other similar legislation or actions in geographies in which our business operates.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Metrics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Organic ASV + Professional Service</w:t>
      </w:r>
    </w:p>
    <w:p>
      <w:pPr>
        <w:spacing w:after="0" w:line="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ASV at any given point in time represents the forward-looking revenues for the next twelve months from all subscription services currently supplied to clients. Professional services are revenues derived from project-based consulting and implementation. Organic ASV plus professional services at any given point in time represents the forward-looking revenue for the next 12 months from all subscription services currently being supplied to clients and excludes ASV from acquisitions and dispositions completed within the last 12 months and the effects of foreign currency movements on the current year period. With proper notice provided as contractually required, our clients can add to, delete portions of, or terminate service, subject to certain limitations.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ASV plus Professional Services and calculation of the Organic ASV plus Professional Services as of February 28, 2021 and February 29,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B4B4B"/>
              </w:rPr>
              <w:t>(In millions)</w:t>
            </w:r>
          </w:p>
        </w:tc>
        <w:tc>
          <w:tcPr>
            <w:tcW w:w="3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4B4B4B"/>
              </w:rPr>
              <w:t>As of February 28, 2021</w:t>
            </w:r>
          </w:p>
        </w:tc>
      </w:tr>
      <w:tr>
        <w:trPr>
          <w:trHeight w:val="213"/>
        </w:trPr>
        <w:tc>
          <w:tcPr>
            <w:tcW w:w="83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4B4B4B"/>
              </w:rPr>
              <w:t>As reported ASV plus Professional Services</w:t>
            </w:r>
            <w:r>
              <w:rPr>
                <w:rFonts w:ascii="Arial" w:cs="Arial" w:eastAsia="Arial" w:hAnsi="Arial"/>
                <w:sz w:val="21"/>
                <w:szCs w:val="21"/>
                <w:color w:val="4B4B4B"/>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4B4B4B"/>
                <w:w w:val="89"/>
              </w:rPr>
              <w:t>$</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4B4B4B"/>
              </w:rPr>
              <w:t>1,597.6</w:t>
            </w:r>
          </w:p>
        </w:tc>
      </w:tr>
      <w:tr>
        <w:trPr>
          <w:trHeight w:val="216"/>
        </w:trPr>
        <w:tc>
          <w:tcPr>
            <w:tcW w:w="8380" w:type="dxa"/>
            <w:vAlign w:val="bottom"/>
          </w:tcPr>
          <w:p>
            <w:pPr>
              <w:ind w:left="140"/>
              <w:spacing w:after="0" w:line="216" w:lineRule="exact"/>
              <w:rPr>
                <w:sz w:val="20"/>
                <w:szCs w:val="20"/>
                <w:color w:val="auto"/>
              </w:rPr>
            </w:pPr>
            <w:r>
              <w:rPr>
                <w:rFonts w:ascii="Arial" w:cs="Arial" w:eastAsia="Arial" w:hAnsi="Arial"/>
                <w:sz w:val="16"/>
                <w:szCs w:val="16"/>
                <w:color w:val="4B4B4B"/>
              </w:rPr>
              <w:t>Currency impact</w:t>
            </w:r>
            <w:r>
              <w:rPr>
                <w:rFonts w:ascii="Arial" w:cs="Arial" w:eastAsia="Arial" w:hAnsi="Arial"/>
                <w:sz w:val="21"/>
                <w:szCs w:val="21"/>
                <w:color w:val="4B4B4B"/>
                <w:vertAlign w:val="superscript"/>
              </w:rPr>
              <w:t>(2)</w:t>
            </w:r>
          </w:p>
        </w:tc>
        <w:tc>
          <w:tcPr>
            <w:tcW w:w="360" w:type="dxa"/>
            <w:vAlign w:val="bottom"/>
          </w:tcPr>
          <w:p>
            <w:pPr>
              <w:spacing w:after="0"/>
              <w:rPr>
                <w:sz w:val="18"/>
                <w:szCs w:val="18"/>
                <w:color w:val="auto"/>
              </w:rPr>
            </w:pPr>
          </w:p>
        </w:tc>
        <w:tc>
          <w:tcPr>
            <w:tcW w:w="2500" w:type="dxa"/>
            <w:vAlign w:val="bottom"/>
          </w:tcPr>
          <w:p>
            <w:pPr>
              <w:jc w:val="right"/>
              <w:ind w:right="79"/>
              <w:spacing w:after="0"/>
              <w:rPr>
                <w:sz w:val="20"/>
                <w:szCs w:val="20"/>
                <w:color w:val="auto"/>
              </w:rPr>
            </w:pPr>
            <w:r>
              <w:rPr>
                <w:rFonts w:ascii="Arial" w:cs="Arial" w:eastAsia="Arial" w:hAnsi="Arial"/>
                <w:sz w:val="16"/>
                <w:szCs w:val="16"/>
                <w:color w:val="4B4B4B"/>
              </w:rPr>
              <w:t>(0.1)</w:t>
            </w:r>
          </w:p>
        </w:tc>
      </w:tr>
      <w:tr>
        <w:trPr>
          <w:trHeight w:val="216"/>
        </w:trPr>
        <w:tc>
          <w:tcPr>
            <w:tcW w:w="83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4B4B4B"/>
              </w:rPr>
              <w:t>Acquisition ASV</w:t>
            </w:r>
            <w:r>
              <w:rPr>
                <w:rFonts w:ascii="Arial" w:cs="Arial" w:eastAsia="Arial" w:hAnsi="Arial"/>
                <w:sz w:val="21"/>
                <w:szCs w:val="21"/>
                <w:color w:val="4B4B4B"/>
                <w:vertAlign w:val="superscript"/>
              </w:rPr>
              <w:t>(3)</w:t>
            </w:r>
          </w:p>
        </w:tc>
        <w:tc>
          <w:tcPr>
            <w:tcW w:w="36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4B4B4B"/>
              </w:rPr>
              <w:t>(4.9)</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4B4B4B"/>
              </w:rPr>
              <w:t>Organic ASV plus Professional Services total</w:t>
            </w:r>
          </w:p>
        </w:tc>
        <w:tc>
          <w:tcPr>
            <w:tcW w:w="360" w:type="dxa"/>
            <w:vAlign w:val="bottom"/>
          </w:tcPr>
          <w:p>
            <w:pPr>
              <w:jc w:val="right"/>
              <w:ind w:right="179"/>
              <w:spacing w:after="0"/>
              <w:rPr>
                <w:sz w:val="20"/>
                <w:szCs w:val="20"/>
                <w:color w:val="auto"/>
              </w:rPr>
            </w:pPr>
            <w:r>
              <w:rPr>
                <w:rFonts w:ascii="Arial" w:cs="Arial" w:eastAsia="Arial" w:hAnsi="Arial"/>
                <w:sz w:val="16"/>
                <w:szCs w:val="16"/>
                <w:color w:val="4B4B4B"/>
                <w:w w:val="89"/>
              </w:rPr>
              <w:t>$</w:t>
            </w:r>
          </w:p>
        </w:tc>
        <w:tc>
          <w:tcPr>
            <w:tcW w:w="2500" w:type="dxa"/>
            <w:vAlign w:val="bottom"/>
          </w:tcPr>
          <w:p>
            <w:pPr>
              <w:jc w:val="right"/>
              <w:ind w:right="119"/>
              <w:spacing w:after="0"/>
              <w:rPr>
                <w:sz w:val="20"/>
                <w:szCs w:val="20"/>
                <w:color w:val="auto"/>
              </w:rPr>
            </w:pPr>
            <w:r>
              <w:rPr>
                <w:rFonts w:ascii="Arial" w:cs="Arial" w:eastAsia="Arial" w:hAnsi="Arial"/>
                <w:sz w:val="16"/>
                <w:szCs w:val="16"/>
                <w:color w:val="4B4B4B"/>
              </w:rPr>
              <w:t>1,592.6</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4B4B4B"/>
              </w:rPr>
              <w:t>Total Organic ASV plus Professional Services growth rate</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4B4B4B"/>
              </w:rPr>
              <w:t>5.5 %</w:t>
            </w:r>
          </w:p>
        </w:tc>
      </w:tr>
    </w:tbl>
    <w:p>
      <w:pPr>
        <w:spacing w:after="0" w:line="10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$25.0 million in professional services fees as of February 28, 2021.</w:t>
      </w:r>
    </w:p>
    <w:p>
      <w:pPr>
        <w:spacing w:after="0" w:line="103"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foreign currency movements was excluded above to calculate total organic ASV.</w:t>
      </w:r>
    </w:p>
    <w:p>
      <w:pPr>
        <w:spacing w:after="0" w:line="103"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Acquired ASV from acquisitions completed within the last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organic ASV plus professional services was $1.59 billion, an increase of 5.5% compared with February 29, 2020. The increase in year-over-year organic ASV was largely attributed to increased sales and price increases partially offset by cancellations by existing clients and increased sales to new clients.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Organic ASV increased across all our geographic segments with the majority of the increase related to the Americas, followed by EMEA and Asia Pacific. This increase was driven by additional sales in our workflow solutions, primarily in Analytics and Trading, mainly due to increased sales in our portfolio reporting, portfolio analytics, performance and risk management solutions, and in CTS, primarily from increased sales from core and premium content sets, specifically related to company financial data and data management solutions.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Organic ASV</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28, 2021, ASV from the Americas was $985.2 million, an increase from $925.6 million as of February 29, 2020. Americas organic ASV increased to $980.3 million as of February 28, 2021, a 5.9% increase compared with February 29, 2020.</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28, 2021, ASV from EMEA was $427.6 million, an increase from $407.9 million as of February 29, 2020. EMEA organic ASV increased to $426.8 million as of February 28, 2021, a 3.7% increase compared with February 29, 2020.</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28, 2021, Asia Pacific ASV was $159.8 million, an increase from $146.1 million as of February 29, 2020. Asia Pacific organic ASV increased to $160.4 million as of February 28, 2021, a 9.1% increase compared with February 29, 2020.</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organic ASV across all our geographic segments was largely attributed to increased sales to existing clients, followed by new client sales and existing client price increases, partially offset by existing client cancellations. The increased organic ASV in the Americas was primarily driven by increased sales for Analytics and Trading, followed by higher sales of CTS and Wealth. The EMEA organic ASV increase was mainly driven by higher sales of CTS and the Asia Pacific ASV increase was primarily due to increased sales of Analytics and Trading, Research and 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Combined EMEA and Asia Pacific ASV represented 37.4% of total ASV as of February 28, 2021, consistent with February 29,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Buy-side and Sell-side Organic ASV Growth</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Buy-side and sell-side organic ASV growth rates at February 28, 2021 were 5.5% and 6.3%, compared with February 29, 2020, respectively. Buy-side clients account for approximately 84% of our organic ASV, consistent with the prior year period, and primarily includes portfolio managers, analysts, traders, wealth managers, performance teams and risk and compliance teams at a variety of firms, such as traditional asset managers, wealth advisors, corporations, hedge funds, insurance companies, plan sponsors and fund of funds. The remainder of our organic ASV is derived from sell-side firms, primarily including investment bankers and private equity and research analysts.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Client and User Additions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total clients and users: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As of February 28, 2021</w:t>
            </w:r>
          </w:p>
        </w:tc>
        <w:tc>
          <w:tcPr>
            <w:tcW w:w="2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As of February 29,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r>
      <w:tr>
        <w:trPr>
          <w:trHeight w:val="223"/>
        </w:trPr>
        <w:tc>
          <w:tcPr>
            <w:tcW w:w="31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Clients</w:t>
            </w:r>
            <w:r>
              <w:rPr>
                <w:rFonts w:ascii="Arial" w:cs="Arial" w:eastAsia="Arial" w:hAnsi="Arial"/>
                <w:sz w:val="23"/>
                <w:szCs w:val="23"/>
                <w:color w:val="auto"/>
                <w:vertAlign w:val="superscript"/>
              </w:rPr>
              <w:t>(1)</w:t>
            </w:r>
          </w:p>
        </w:tc>
        <w:tc>
          <w:tcPr>
            <w:tcW w:w="4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6,103</w:t>
            </w:r>
          </w:p>
        </w:tc>
        <w:tc>
          <w:tcPr>
            <w:tcW w:w="2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304"/>
        </w:trPr>
        <w:tc>
          <w:tcPr>
            <w:tcW w:w="3140" w:type="dxa"/>
            <w:vAlign w:val="bottom"/>
          </w:tcPr>
          <w:p>
            <w:pPr>
              <w:ind w:left="20"/>
              <w:spacing w:after="0"/>
              <w:rPr>
                <w:sz w:val="20"/>
                <w:szCs w:val="20"/>
                <w:color w:val="auto"/>
              </w:rPr>
            </w:pPr>
            <w:r>
              <w:rPr>
                <w:rFonts w:ascii="Arial" w:cs="Arial" w:eastAsia="Arial" w:hAnsi="Arial"/>
                <w:sz w:val="18"/>
                <w:szCs w:val="18"/>
                <w:color w:val="auto"/>
              </w:rPr>
              <w:t>Users</w:t>
            </w:r>
            <w:r>
              <w:rPr>
                <w:rFonts w:ascii="Arial" w:cs="Arial" w:eastAsia="Arial" w:hAnsi="Arial"/>
                <w:sz w:val="23"/>
                <w:szCs w:val="23"/>
                <w:color w:val="auto"/>
                <w:vertAlign w:val="superscript"/>
              </w:rPr>
              <w:t>(2)</w:t>
            </w:r>
          </w:p>
        </w:tc>
        <w:tc>
          <w:tcPr>
            <w:tcW w:w="4600" w:type="dxa"/>
            <w:vAlign w:val="bottom"/>
          </w:tcPr>
          <w:p>
            <w:pPr>
              <w:jc w:val="right"/>
              <w:ind w:right="310"/>
              <w:spacing w:after="0"/>
              <w:rPr>
                <w:sz w:val="20"/>
                <w:szCs w:val="20"/>
                <w:color w:val="auto"/>
              </w:rPr>
            </w:pPr>
            <w:r>
              <w:rPr>
                <w:rFonts w:ascii="Arial" w:cs="Arial" w:eastAsia="Arial" w:hAnsi="Arial"/>
                <w:sz w:val="18"/>
                <w:szCs w:val="18"/>
                <w:color w:val="auto"/>
              </w:rPr>
              <w:t>153,355</w:t>
            </w:r>
          </w:p>
        </w:tc>
        <w:tc>
          <w:tcPr>
            <w:tcW w:w="2520" w:type="dxa"/>
            <w:vAlign w:val="bottom"/>
          </w:tcPr>
          <w:p>
            <w:pPr>
              <w:jc w:val="right"/>
              <w:ind w:right="370"/>
              <w:spacing w:after="0"/>
              <w:rPr>
                <w:sz w:val="20"/>
                <w:szCs w:val="20"/>
                <w:color w:val="auto"/>
              </w:rPr>
            </w:pPr>
            <w:r>
              <w:rPr>
                <w:rFonts w:ascii="Arial" w:cs="Arial" w:eastAsia="Arial" w:hAnsi="Arial"/>
                <w:sz w:val="18"/>
                <w:szCs w:val="18"/>
                <w:color w:val="auto"/>
              </w:rPr>
              <w:t>137,290</w:t>
            </w:r>
          </w:p>
        </w:tc>
        <w:tc>
          <w:tcPr>
            <w:tcW w:w="980" w:type="dxa"/>
            <w:vAlign w:val="bottom"/>
          </w:tcPr>
          <w:p>
            <w:pPr>
              <w:jc w:val="right"/>
              <w:spacing w:after="0"/>
              <w:rPr>
                <w:sz w:val="20"/>
                <w:szCs w:val="20"/>
                <w:color w:val="auto"/>
              </w:rPr>
            </w:pPr>
            <w:r>
              <w:rPr>
                <w:rFonts w:ascii="Arial" w:cs="Arial" w:eastAsia="Arial" w:hAnsi="Arial"/>
                <w:sz w:val="18"/>
                <w:szCs w:val="18"/>
                <w:color w:val="auto"/>
              </w:rPr>
              <w:t>11.7 %</w:t>
            </w:r>
          </w:p>
        </w:tc>
      </w:tr>
    </w:tbl>
    <w:p>
      <w:pPr>
        <w:spacing w:after="0" w:line="32"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client count includes clients with ASV of $10,000 and above.</w:t>
      </w:r>
    </w:p>
    <w:p>
      <w:pPr>
        <w:spacing w:after="0" w:line="103" w:lineRule="exact"/>
        <w:rPr>
          <w:rFonts w:ascii="Arial" w:cs="Arial" w:eastAsia="Arial" w:hAnsi="Arial"/>
          <w:sz w:val="18"/>
          <w:szCs w:val="18"/>
          <w:i w:val="1"/>
          <w:iCs w:val="1"/>
          <w:color w:val="auto"/>
        </w:rPr>
      </w:pPr>
    </w:p>
    <w:p>
      <w:pPr>
        <w:ind w:left="660" w:hanging="328"/>
        <w:spacing w:after="0" w:line="308" w:lineRule="auto"/>
        <w:tabs>
          <w:tab w:leader="none" w:pos="654"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In the second quarter of fiscal 2021, we revised our user count methodology to include users across all our products, including workstations, StreetAccount and other workflow solutions. The prior year user count was adjusted to reflect this change for comparison purposes.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client count was 6,103 as of February 28, 2021, representing a net increase of 415 or 7.3% in the last 12 months. The client count includes clients with ASV of $10,000 and above. The increase was primarily due to an increase in wealth management and corporate clients. As part of our long-term growth strategy, we continue to focus on expanding and cultivating relationships with our existing client base through sales of workstations, applications, services and content.</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28, 2021, there were 153,355 professionals using FactSet, representing a net increase of 16,065 or 11.7% in the last 12 months, driven primarily by an increase in wealth management professionals mainly due to entry into a contract with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new wealth management client. In the second quarter of fiscal 2021, we revised our user count methodology to include users across all our products, including workstations, StreetAccount and other workflow solutions. The prior year user count was adjusted to reflect this change for comparison purposes.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 client retention was greater than 95% of ASV for the period ended February 28, 2021 and February 29, 2020. When expressed as a percentage of clients, annual retention increased to approximately 90% for the period ended February 28, 2021, compared with approximately 89% for the period ended February 29, 2020.</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Returning Value to Stockholders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our Board of Directors approved a regular quarterly dividend of $0.77 per share. The dividends declared of $29.1 million were paid on March 18, 2021 to common stockholders of record at the close of business on February 26, 2021. We repurchased 221,959 shares of common stock for $71.5 million during the second quarter of fiscal 2021 under our existing share repurchase program. For the six months ended February 28, 2021, we returned $172.8 million to stockholders in the form of share repurchases and dividends. Over the last 12 months, we returned $269.9 million to stockholders in the form of share repurchases and dividends. As of February 28, 2021, $144.4 million remained authorized for future share repurchases.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23, 2021, our Board of Directors approved a $205.6 million increase to the existing share repurchase program. Subsequent to this approval, $350.0 million is available for future share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for the three months ended February 28, 2021 was $10.4 million, compared with $25.1 million for the three months ended February 29, 2020. The majority of our capital expenditures during the three months ended February 28, 2021 related to the development of internal-use software, compared to three months ended February 29, 2020, which primarily included the build-out of our new corporate headquarters in Norwalk, Connecticut and office space in India.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for the six months ended February 28, 2021 was $28.8 million, compared with $51.9 million for the six months ended February 29, 2020. The majority of our capital expenditures during the six months ended February 28, 2021 related to the build-out of our office space in the Philippines and development of capitalized internal-use software, compared to the six months ended February 29, 2020, which primarily included the build-out of our new corporate headquarters in Norwalk, Connecticut and office space in India.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 understanding of the significant factors that influenced our performance for the three and six months ended February 28, 2021 and February 29, 2020, the following discussion should be read in conjunction with the Consolidated Financial Statements and related notes presented in this Quarterly Report on Form 10-Q.</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color w:val="auto"/>
              </w:rPr>
              <w:t>Three Months Ended</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3"/>
          </w:tcPr>
          <w:p>
            <w:pPr>
              <w:jc w:val="right"/>
              <w:ind w:right="130"/>
              <w:spacing w:after="0"/>
              <w:rPr>
                <w:sz w:val="20"/>
                <w:szCs w:val="20"/>
                <w:color w:val="auto"/>
              </w:rPr>
            </w:pPr>
            <w:r>
              <w:rPr>
                <w:rFonts w:ascii="Arial" w:cs="Arial" w:eastAsia="Arial" w:hAnsi="Arial"/>
                <w:sz w:val="18"/>
                <w:szCs w:val="18"/>
                <w:color w:val="auto"/>
              </w:rPr>
              <w:t>Six Months Ended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w w:val="92"/>
              </w:rPr>
              <w:t>February 28,</w:t>
            </w:r>
          </w:p>
        </w:tc>
        <w:tc>
          <w:tcPr>
            <w:tcW w:w="240" w:type="dxa"/>
            <w:vAlign w:val="bottom"/>
          </w:tcPr>
          <w:p>
            <w:pPr>
              <w:spacing w:after="0"/>
              <w:rPr>
                <w:sz w:val="23"/>
                <w:szCs w:val="23"/>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2"/>
              </w:rPr>
              <w:t>February 29,</w:t>
            </w: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3"/>
                <w:szCs w:val="23"/>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w w:val="90"/>
              </w:rPr>
              <w:t>February 28,</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w w:val="90"/>
              </w:rPr>
              <w:t>February 29,</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3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400" w:type="dxa"/>
            <w:vAlign w:val="bottom"/>
          </w:tcPr>
          <w:p>
            <w:pPr>
              <w:spacing w:after="0"/>
              <w:rPr>
                <w:sz w:val="9"/>
                <w:szCs w:val="9"/>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9"/>
                <w:szCs w:val="9"/>
                <w:color w:val="auto"/>
              </w:rPr>
            </w:pPr>
          </w:p>
        </w:tc>
        <w:tc>
          <w:tcPr>
            <w:tcW w:w="1260" w:type="dxa"/>
            <w:vAlign w:val="bottom"/>
            <w:vMerge w:val="restart"/>
          </w:tcPr>
          <w:p>
            <w:pPr>
              <w:jc w:val="right"/>
              <w:ind w:right="490"/>
              <w:spacing w:after="0"/>
              <w:rPr>
                <w:sz w:val="20"/>
                <w:szCs w:val="20"/>
                <w:color w:val="auto"/>
              </w:rPr>
            </w:pPr>
            <w:r>
              <w:rPr>
                <w:rFonts w:ascii="Arial" w:cs="Arial" w:eastAsia="Arial" w:hAnsi="Arial"/>
                <w:sz w:val="18"/>
                <w:szCs w:val="18"/>
                <w:color w:val="auto"/>
              </w:rPr>
              <w:t>2020</w:t>
            </w: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4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9"/>
                <w:szCs w:val="9"/>
                <w:color w:val="auto"/>
              </w:rPr>
            </w:pPr>
          </w:p>
        </w:tc>
        <w:tc>
          <w:tcPr>
            <w:tcW w:w="1240" w:type="dxa"/>
            <w:vAlign w:val="bottom"/>
            <w:vMerge w:val="restart"/>
          </w:tcPr>
          <w:p>
            <w:pPr>
              <w:jc w:val="right"/>
              <w:ind w:right="490"/>
              <w:spacing w:after="0"/>
              <w:rPr>
                <w:sz w:val="20"/>
                <w:szCs w:val="20"/>
                <w:color w:val="auto"/>
              </w:rPr>
            </w:pPr>
            <w:r>
              <w:rPr>
                <w:rFonts w:ascii="Arial" w:cs="Arial" w:eastAsia="Arial" w:hAnsi="Arial"/>
                <w:sz w:val="18"/>
                <w:szCs w:val="18"/>
                <w:color w:val="auto"/>
              </w:rPr>
              <w:t>2020</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3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391,788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369,780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779,993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736,438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195,523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176,218</w:t>
            </w:r>
          </w:p>
        </w:tc>
        <w:tc>
          <w:tcPr>
            <w:tcW w:w="1040" w:type="dxa"/>
            <w:vAlign w:val="bottom"/>
          </w:tcPr>
          <w:p>
            <w:pPr>
              <w:jc w:val="right"/>
              <w:spacing w:after="0"/>
              <w:rPr>
                <w:sz w:val="20"/>
                <w:szCs w:val="20"/>
                <w:color w:val="auto"/>
              </w:rPr>
            </w:pPr>
            <w:r>
              <w:rPr>
                <w:rFonts w:ascii="Arial" w:cs="Arial" w:eastAsia="Arial" w:hAnsi="Arial"/>
                <w:sz w:val="18"/>
                <w:szCs w:val="18"/>
                <w:color w:val="auto"/>
              </w:rPr>
              <w:t>11.0 %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383,611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341,175</w:t>
            </w:r>
          </w:p>
        </w:tc>
        <w:tc>
          <w:tcPr>
            <w:tcW w:w="98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87,305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159,219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175,820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116,133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106,257</w:t>
            </w:r>
          </w:p>
        </w:tc>
        <w:tc>
          <w:tcPr>
            <w:tcW w:w="1040" w:type="dxa"/>
            <w:vAlign w:val="bottom"/>
          </w:tcPr>
          <w:p>
            <w:pPr>
              <w:jc w:val="right"/>
              <w:spacing w:after="0"/>
              <w:rPr>
                <w:sz w:val="20"/>
                <w:szCs w:val="20"/>
                <w:color w:val="auto"/>
              </w:rPr>
            </w:pPr>
            <w:r>
              <w:rPr>
                <w:rFonts w:ascii="Arial" w:cs="Arial" w:eastAsia="Arial" w:hAnsi="Arial"/>
                <w:sz w:val="18"/>
                <w:szCs w:val="18"/>
                <w:color w:val="auto"/>
              </w:rPr>
              <w:t>9.3 %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237,163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219,443</w:t>
            </w:r>
          </w:p>
        </w:tc>
        <w:tc>
          <w:tcPr>
            <w:tcW w:w="9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88,686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197,849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182,643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2.30</w:t>
            </w:r>
          </w:p>
        </w:tc>
        <w:tc>
          <w:tcPr>
            <w:tcW w:w="1040" w:type="dxa"/>
            <w:vAlign w:val="bottom"/>
          </w:tcPr>
          <w:p>
            <w:pPr>
              <w:jc w:val="right"/>
              <w:spacing w:after="0"/>
              <w:rPr>
                <w:sz w:val="20"/>
                <w:szCs w:val="20"/>
                <w:color w:val="auto"/>
              </w:rPr>
            </w:pPr>
            <w:r>
              <w:rPr>
                <w:rFonts w:ascii="Arial" w:cs="Arial" w:eastAsia="Arial" w:hAnsi="Arial"/>
                <w:sz w:val="18"/>
                <w:szCs w:val="18"/>
                <w:color w:val="auto"/>
              </w:rPr>
              <w:t>8.7 %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4.73</w:t>
            </w:r>
          </w:p>
        </w:tc>
        <w:tc>
          <w:tcPr>
            <w:tcW w:w="98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Diluted weighted average common shares</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38,620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38,576</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38,658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38,582</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for the three months ended February 28, 2021 was $391.8 million, an increase of 6.0%. The increase in revenue was largely attributed to increased sales to existing clients, followed by new client sales and existing client price increases, partially offset by existing client cancellations. The increase in revenue was driven by all our geographic segments, primarily from the Americas, followed by EMEA and Asia Pacific. The increase in segment revenue was due to increased revenue in our workflow solutions, most notably Analytics and Trading and CTS, compared with the prior year. Organic revenue increased to $389.2 million for the three months ended February 28, 2021, a 4.9% increase over the prior year period. The revenue growth of 6.0% was composed of organic revenue growth of 4.9%, a 60 basis point increase from deferred revenue fair value adjustments from purchase accounting and acquisition-related revenue and a 50 basis point increase from foreign currency exchange rate fluctuations.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for the six months ended February 28, 2021 was $780.0 million, an increase of 5.9%. The increase in revenue was largely attributed to increased sales to existing clients, followed by new client sales and existing client price increases, partially offset by existing client cancellations. The increase in revenue was driven by all our geographic segments, primarily from the Americas, followed by EMEA and Asia Pacific. The increase in segment revenue was due to increased revenue in our workflow solutions, driven primarily by Analytics and Trading and CTS, compared with the prior year. Organic revenue increased to $775.8 million for the six months ended February 28, 2021, a 5.0% increase over the prior year period. The revenue growth of 5.9% was reflective of organic revenue growth of 5.0%, a 50 basis point increase from deferred revenue fair value adjustments from purchase accounting and acquisition-related revenue and a 40 basis point increase from foreign currency exchange rate fluctuations.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Revenue by Operating Segment</w:t>
            </w: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gridSpan w:val="3"/>
          </w:tcPr>
          <w:p>
            <w:pPr>
              <w:jc w:val="right"/>
              <w:ind w:right="130"/>
              <w:spacing w:after="0"/>
              <w:rPr>
                <w:sz w:val="20"/>
                <w:szCs w:val="20"/>
                <w:color w:val="auto"/>
              </w:rPr>
            </w:pPr>
            <w:r>
              <w:rPr>
                <w:rFonts w:ascii="Arial" w:cs="Arial" w:eastAsia="Arial" w:hAnsi="Arial"/>
                <w:sz w:val="18"/>
                <w:szCs w:val="18"/>
                <w:color w:val="auto"/>
              </w:rPr>
              <w:t>Three Months Ended</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3"/>
          </w:tcPr>
          <w:p>
            <w:pPr>
              <w:jc w:val="right"/>
              <w:ind w:right="270"/>
              <w:spacing w:after="0"/>
              <w:rPr>
                <w:sz w:val="20"/>
                <w:szCs w:val="20"/>
                <w:color w:val="auto"/>
              </w:rPr>
            </w:pPr>
            <w:r>
              <w:rPr>
                <w:rFonts w:ascii="Arial" w:cs="Arial" w:eastAsia="Arial" w:hAnsi="Arial"/>
                <w:sz w:val="18"/>
                <w:szCs w:val="18"/>
                <w:color w:val="auto"/>
              </w:rPr>
              <w:t>Six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2"/>
              </w:rPr>
              <w:t>February 28,</w:t>
            </w:r>
          </w:p>
        </w:tc>
        <w:tc>
          <w:tcPr>
            <w:tcW w:w="220" w:type="dxa"/>
            <w:vAlign w:val="bottom"/>
          </w:tcPr>
          <w:p>
            <w:pPr>
              <w:spacing w:after="0"/>
              <w:rPr>
                <w:sz w:val="23"/>
                <w:szCs w:val="23"/>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w w:val="94"/>
              </w:rPr>
              <w:t>February 29,</w:t>
            </w: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3"/>
                <w:szCs w:val="23"/>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5"/>
              </w:rPr>
              <w:t>February 28,</w:t>
            </w:r>
          </w:p>
        </w:tc>
        <w:tc>
          <w:tcPr>
            <w:tcW w:w="220" w:type="dxa"/>
            <w:vAlign w:val="bottom"/>
          </w:tcPr>
          <w:p>
            <w:pPr>
              <w:spacing w:after="0"/>
              <w:rPr>
                <w:sz w:val="23"/>
                <w:szCs w:val="23"/>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w w:val="94"/>
              </w:rPr>
              <w:t>February 29,</w:t>
            </w: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2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9"/>
                <w:szCs w:val="9"/>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9"/>
                <w:szCs w:val="9"/>
                <w:color w:val="auto"/>
              </w:rPr>
            </w:pPr>
          </w:p>
        </w:tc>
        <w:tc>
          <w:tcPr>
            <w:tcW w:w="1340" w:type="dxa"/>
            <w:vAlign w:val="bottom"/>
            <w:vMerge w:val="restart"/>
          </w:tcPr>
          <w:p>
            <w:pPr>
              <w:jc w:val="right"/>
              <w:ind w:right="550"/>
              <w:spacing w:after="0"/>
              <w:rPr>
                <w:sz w:val="20"/>
                <w:szCs w:val="20"/>
                <w:color w:val="auto"/>
              </w:rPr>
            </w:pPr>
            <w:r>
              <w:rPr>
                <w:rFonts w:ascii="Arial" w:cs="Arial" w:eastAsia="Arial" w:hAnsi="Arial"/>
                <w:sz w:val="18"/>
                <w:szCs w:val="18"/>
                <w:color w:val="auto"/>
              </w:rPr>
              <w:t>2020</w:t>
            </w: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vMerge w:val="restart"/>
          </w:tcPr>
          <w:p>
            <w:pPr>
              <w:jc w:val="right"/>
              <w:ind w:right="4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9"/>
                <w:szCs w:val="9"/>
                <w:color w:val="auto"/>
              </w:rPr>
            </w:pPr>
          </w:p>
        </w:tc>
        <w:tc>
          <w:tcPr>
            <w:tcW w:w="1360" w:type="dxa"/>
            <w:vAlign w:val="bottom"/>
            <w:vMerge w:val="restart"/>
          </w:tcPr>
          <w:p>
            <w:pPr>
              <w:jc w:val="right"/>
              <w:ind w:right="570"/>
              <w:spacing w:after="0"/>
              <w:rPr>
                <w:sz w:val="20"/>
                <w:szCs w:val="20"/>
                <w:color w:val="auto"/>
              </w:rPr>
            </w:pPr>
            <w:r>
              <w:rPr>
                <w:rFonts w:ascii="Arial" w:cs="Arial" w:eastAsia="Arial" w:hAnsi="Arial"/>
                <w:sz w:val="18"/>
                <w:szCs w:val="18"/>
                <w:color w:val="auto"/>
              </w:rPr>
              <w:t>2020</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247,991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232,731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492,327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464,061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284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63.3 %</w:t>
            </w:r>
          </w:p>
        </w:tc>
        <w:tc>
          <w:tcPr>
            <w:tcW w:w="2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i w:val="1"/>
                <w:iCs w:val="1"/>
                <w:color w:val="auto"/>
              </w:rPr>
              <w:t>62.9 %</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63.1 %</w:t>
            </w:r>
          </w:p>
        </w:tc>
        <w:tc>
          <w:tcPr>
            <w:tcW w:w="22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i w:val="1"/>
                <w:iCs w:val="1"/>
                <w:color w:val="auto"/>
              </w:rPr>
              <w:t>63.0 %</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105,493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102,105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211,270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202,935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284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26.9 %</w:t>
            </w:r>
          </w:p>
        </w:tc>
        <w:tc>
          <w:tcPr>
            <w:tcW w:w="2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i w:val="1"/>
                <w:iCs w:val="1"/>
                <w:color w:val="auto"/>
              </w:rPr>
              <w:t>27.6 %</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27.1 %</w:t>
            </w:r>
          </w:p>
        </w:tc>
        <w:tc>
          <w:tcPr>
            <w:tcW w:w="22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i w:val="1"/>
                <w:iCs w:val="1"/>
                <w:color w:val="auto"/>
              </w:rPr>
              <w:t>27.6 %</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38,304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34,944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76,396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69,442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84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2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i w:val="1"/>
                <w:iCs w:val="1"/>
                <w:color w:val="auto"/>
              </w:rPr>
              <w:t>9.5 %</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22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i w:val="1"/>
                <w:iCs w:val="1"/>
                <w:color w:val="auto"/>
              </w:rPr>
              <w:t>9.4 %</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391,788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369,780</w:t>
            </w:r>
          </w:p>
        </w:tc>
        <w:tc>
          <w:tcPr>
            <w:tcW w:w="1020" w:type="dxa"/>
            <w:vAlign w:val="bottom"/>
          </w:tcPr>
          <w:p>
            <w:pPr>
              <w:jc w:val="right"/>
              <w:spacing w:after="0"/>
              <w:rPr>
                <w:sz w:val="20"/>
                <w:szCs w:val="20"/>
                <w:color w:val="auto"/>
              </w:rPr>
            </w:pPr>
            <w:r>
              <w:rPr>
                <w:rFonts w:ascii="Arial" w:cs="Arial" w:eastAsia="Arial" w:hAnsi="Arial"/>
                <w:sz w:val="18"/>
                <w:szCs w:val="18"/>
                <w:color w:val="auto"/>
              </w:rPr>
              <w:t>6.0 %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779,993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736,438</w:t>
            </w:r>
          </w:p>
        </w:tc>
        <w:tc>
          <w:tcPr>
            <w:tcW w:w="96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877"/>
        </w:trPr>
        <w:tc>
          <w:tcPr>
            <w:tcW w:w="2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 from our Americas segment increased 6.6% to $248.0 million during the three months ended February 28, 2021, compared with $232.7 million from the same period a year ago. The increase in revenue was largely attributed to increased sales to existing clients, followed by new client sales and existing client price increases, partially offset by existing client cancellations. The revenue increase was driven by increased sales of our workflow solutions, primarily in Analytics and Trading and CTS. The revenue growth of 6.6% was reflective of organic revenue growth of 5.8% and a 80 basis point increase from deferred revenue fair value adjustments from purchase accounting and acquisition-related revenue. Revenue from our Americas operations accounted for 63.3% of our consolidated revenue for the three months ended February 28, 2021, up from 62.9% in the prior year period.</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EMEA revenue increased 3.3% to $105.5 million during the three months ended February 28, 2021, compared with $102.1 million from the same period a year ago. The increase in revenue was largely attributed to increased sales to existing clients, followed by new client sales and existing client price increases, partially offset by existing client cancellations. This increase was driven by increased sales of our workflow solutions, mainly in CTS and Analytics and Trading. The revenue growth of 3.3% was reflective of organic revenue growth of 1.5%, a 130 basis point increase from foreign currency exchange rate fluctuations and a 50 point basis point increase from deferred revenue fair value adjustments from purchase accounting.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revenue increased 9.6% to $38.3 million during the three months ended February 28, 2021, compared with $34.9 million from the same period a year ago. The increase in revenue was largely attributed to increased sales to existing clients, followed by new client sales and existing client price increases, partially offset by existing client cancellations. This increase was driven by increased sales of our workflow solutions, primarily in Analytics and Trading. The revenue growth of 9.6% was reflective of organic revenue growth of 8.7% and a 90 basis point increase from foreign currency exchange rate fluctuations.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 from our Americas segment increased 6.1% to $492.3 million during the six months ended February 28, 2021, compared with $464.1 million from the same period a year ago. The increase in revenue was largely attributed to increased sales to existing clients, followed by new client sales and existing client price increases, partially offset by existing client cancellations. This revenue growth was due mainly to increased sales of our workflow solutions, primarily in Analytics and Trading and CTS. The revenue growth of 6.1% was due to organic revenue growth of 5.5% and a 60 basis point increase from deferred revenue fair value adjustments from purchase accounting and acquisition-related revenue. Revenue from our Americas operations accounted for 63.1% of our consolidated revenue for the six months ended February 28, 2021, consistent with the prior year period of 63.0%.</w:t>
      </w:r>
    </w:p>
    <w:p>
      <w:pPr>
        <w:spacing w:after="0" w:line="13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EMEA revenue increased 4.1% to $211.3 million during the six months ended February 28, 2021, compared with $202.9 million from the same period a year ago. The increase in revenue was largely attributed to increased sales to existing clients, followed by new client sales and existing client price increases, partially offset by existing client cancellations. This revenue growth was due mainly to increased sales of our workflow solutions, primarily in Analytics and Trading and CTS. The revenue growth of 4.1% was driven by organic revenue growth of 2.5%, a 110 basis point increase from foreign currency exchange rate fluctuations and a 50 point basis point increase from deferred revenue fair value adjustments from purchase accounting.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revenue increased 10.0% to $76.4 million during the six months ended February 28, 2021, compared with $69.4 million from the same period a year ago. The increase in revenue was largely attributed to increased sales to existing clients, followed by new client sales and existing client price increases, partially offset by existing client cancellations. The revenue growth was due mainly to increased sales of our workflow solutions, primarily in Analytics and Trading. The revenue growth of 10.0% was due mainly to organic revenue growth of 9.3% and a 70 basis point increase from foreign currency exchange rate fluctuations.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Workflow Solution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revenue growth of 6.0% across our operating segments was primarily driven by increased revenue from sales of Analytics and Trading and CTS for the three months ended February 28, 2021, compared with the same period a year ago. The revenue increase from Analytics and Trading was primarily due to increased demand for our portfolio reporting, performance and risk management solutions. The increase in CTS revenue was driven mainly by higher sales of core and premium content sets, specifically related to company financial data and data management.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growth of 5.9% across our operating segments for the six months ended February 28, 2021 compared with the same period a year ago was primarily driven by increased sales of Analytics and Trading and CTS. The increase in Analytics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Trading revenue was mainly due to increased sales of our portfolio reporting, risk management and performance solutions. CTS revenue growth was driven mainly by increased sales of core and premium content sets, specifically related to company financial data and data management solutions.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Three Months Ended</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00" w:type="dxa"/>
            <w:vAlign w:val="bottom"/>
            <w:gridSpan w:val="2"/>
          </w:tcPr>
          <w:p>
            <w:pPr>
              <w:jc w:val="right"/>
              <w:ind w:right="170"/>
              <w:spacing w:after="0"/>
              <w:rPr>
                <w:sz w:val="20"/>
                <w:szCs w:val="20"/>
                <w:color w:val="auto"/>
              </w:rPr>
            </w:pPr>
            <w:r>
              <w:rPr>
                <w:rFonts w:ascii="Arial" w:cs="Arial" w:eastAsia="Arial" w:hAnsi="Arial"/>
                <w:sz w:val="18"/>
                <w:szCs w:val="18"/>
                <w:color w:val="auto"/>
                <w:w w:val="97"/>
              </w:rPr>
              <w:t>Six Months Ended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95"/>
              </w:rPr>
              <w:t>February 28,</w:t>
            </w:r>
          </w:p>
        </w:tc>
        <w:tc>
          <w:tcPr>
            <w:tcW w:w="500" w:type="dxa"/>
            <w:vAlign w:val="bottom"/>
          </w:tcPr>
          <w:p>
            <w:pPr>
              <w:spacing w:after="0"/>
              <w:rPr>
                <w:sz w:val="23"/>
                <w:szCs w:val="23"/>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w w:val="94"/>
              </w:rPr>
              <w:t>February 29,</w:t>
            </w: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4"/>
              </w:rPr>
              <w:t>February 28,</w:t>
            </w:r>
          </w:p>
        </w:tc>
        <w:tc>
          <w:tcPr>
            <w:tcW w:w="420" w:type="dxa"/>
            <w:vAlign w:val="bottom"/>
          </w:tcPr>
          <w:p>
            <w:pPr>
              <w:spacing w:after="0"/>
              <w:rPr>
                <w:sz w:val="23"/>
                <w:szCs w:val="23"/>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5"/>
              </w:rPr>
              <w:t>February 29,</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2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9"/>
                <w:szCs w:val="9"/>
                <w:color w:val="auto"/>
              </w:rPr>
            </w:pP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9"/>
                <w:szCs w:val="9"/>
                <w:color w:val="auto"/>
              </w:rPr>
            </w:pPr>
          </w:p>
        </w:tc>
        <w:tc>
          <w:tcPr>
            <w:tcW w:w="124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1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9"/>
                <w:szCs w:val="9"/>
                <w:color w:val="auto"/>
              </w:rPr>
            </w:pPr>
          </w:p>
        </w:tc>
        <w:tc>
          <w:tcPr>
            <w:tcW w:w="1280" w:type="dxa"/>
            <w:vAlign w:val="bottom"/>
            <w:vMerge w:val="restart"/>
          </w:tcPr>
          <w:p>
            <w:pPr>
              <w:jc w:val="right"/>
              <w:ind w:right="470"/>
              <w:spacing w:after="0"/>
              <w:rPr>
                <w:sz w:val="20"/>
                <w:szCs w:val="20"/>
                <w:color w:val="auto"/>
              </w:rPr>
            </w:pPr>
            <w:r>
              <w:rPr>
                <w:rFonts w:ascii="Arial" w:cs="Arial" w:eastAsia="Arial" w:hAnsi="Arial"/>
                <w:sz w:val="18"/>
                <w:szCs w:val="18"/>
                <w:color w:val="auto"/>
              </w:rPr>
              <w:t>2020</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176,218</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383,611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341,175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Selling, general and administrative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80,132</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87,305</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159,219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175,820</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263,523</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542,830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516,995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106,257</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237,163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219,443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20"/>
                <w:szCs w:val="20"/>
                <w:color w:val="auto"/>
              </w:rPr>
            </w:pPr>
          </w:p>
        </w:tc>
        <w:tc>
          <w:tcPr>
            <w:tcW w:w="1620" w:type="dxa"/>
            <w:vAlign w:val="bottom"/>
            <w:gridSpan w:val="2"/>
          </w:tcPr>
          <w:p>
            <w:pPr>
              <w:jc w:val="right"/>
              <w:ind w:right="270"/>
              <w:spacing w:after="0"/>
              <w:rPr>
                <w:sz w:val="20"/>
                <w:szCs w:val="20"/>
                <w:color w:val="auto"/>
              </w:rPr>
            </w:pPr>
            <w:r>
              <w:rPr>
                <w:rFonts w:ascii="Arial" w:cs="Arial" w:eastAsia="Arial" w:hAnsi="Arial"/>
                <w:sz w:val="18"/>
                <w:szCs w:val="18"/>
                <w:i w:val="1"/>
                <w:iCs w:val="1"/>
                <w:color w:val="auto"/>
              </w:rPr>
              <w:t>29.6 %</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28.7 %</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i w:val="1"/>
                <w:iCs w:val="1"/>
                <w:color w:val="auto"/>
              </w:rPr>
              <w:t>30.4 %</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29.8 %</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Cost of services increased 11.0% to $195.5 million for the three months ended February 28, 2021, compared with $176.2 million in the same period a year ago, primarily due to an increase in employee compensation expense and computer-related expenses.</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Cost of services, when expressed as a percentage of revenue, was 49.9% for the three months ended February 28, 2021, an increase of 230 basis points compared with the same period a year ago. This increase was primarily due to an increase in computer-related expenses, employee compensation expense, including stock-based compensation, and intangible asset amortization, when expressed as a percentage of revenue. Computer-related expenses increased 120 basis points, primarily driven by increased technology investments related to our migration to cloud-based hosting services and licensed software arrangements. Employee compensation expense increased 40 basis points, primarily driven by a net increase in employee headcount of 768 employees, most of whom are located in lower cost locations, with the majority of their salaries included in cost of services. Employee compensation expense also increased due to higher annual base salaries, partially offset by higher capitalization of compensation costs related to development of our internal-use software projects. Intangible asset amortization increased 40 basis points mainly due to a higher investment in capitalized internal-use software that has been placed in service and amortization of intangible assets from the Truvalue Labs, Inc. ("TVL")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six months ended February 28, 2021, cost of services increased 12.4% to $383.6 million compared with $341.2 million in the same period a year ago, primarily due to an increase in employee compensation expense and computer-related expenses.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Cost of services, when expressed as a percentage of revenue, was 49.2% for the six months ended February 28, 2021, a increase of 290 basis points compared with the same period a year ago. This increase was primarily driven by an increase in computer-related expenses, employee compensation expense and amortization of intangible assets, when expressed as a percentage of revenue. Computer-related expenses increased 150 basis points primarily due to increased technology investments related to our migration to cloud-based hosting services and licensed software arrangements. Employee compensation expense increased 100 basis points, primarily driven by a net increase in employee headcount, most of whom are located in lower cost locations, higher annual base salaries and an increase in year-over-year variable compensation, partially offset by higher capitalization of compensation costs related to development of our internal-use software projects. Intangible asset amortization increased 40 basis points mainly due to a higher investment in capitalized internal-use software that has been placed in service and amortization of intangible assets from the TVL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("SG&amp;A") expenses decreased 8.2% to $80.1 million for the three months ended February 28, 2021, compared with $87.3 million for the same period a year ago, primarily due to a decrease in non-compensatory employee-related expenses and professional fees, partially offset by higher employee compensation expense.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SG&amp;A expenses, when expressed as a percentage of revenue, were 20.5% for the three months ended February 28, 2021, a decrease of 320 basis points over the prior year period. This decrease was primarily driven by a reduction in non-compensatory employee-related expenses and lower professional fees, partially offset by an increase in employee compensation expense. Non-compensatory employee-related expenses, inclusive of travel, entertainment and office expenses, decreased 230 basis points mainly due to restrictions and impacts related to the COVID-19 pandemic as most employees continue to work from home. Professional fees decreased 100 basis points primarily due to the completion of certain projects to support our technology plan and business transformation activities. Employee compensation expense increased 60 basis points, primarily due to higher annual base salaries, partially offset by higher capitalization of compensation costs related to development of our internal-use software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February 28, 2021, SG&amp;A expenses decreased 9.4% to $159.2 million, compared with $175.8 million for the same period a year ago, primarily due to a decrease in non-compensatory employee-related expenses and a net gain from foreign currency fluctuations, partially offset by an increase in employee compensation expense, including stock-based compensation costs.</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SG&amp;A expenses, expressed as a percentage of revenue, were 20.4% for the six months ended February 28, 2021, a decrease of 350 basis points over the prior year period. This decrease was primarily driven by a reduction in non-compensatory employee-related expenses and lower professional fees, partially offset by an increase in stock-based compensation. Non-compensatory employee-related expenses, inclusive of travel, entertainment and office expenses, decreased 260 basis points mainly due to restrictions and impacts related to the COVID-19 pandemic as most employees continue to work from home. Professional fees decreased 40 basis points primarily due to lower tax consulting fees. Stock-based compensation costs increased 40 basis points due to the accelerated recognition of expense associated with certain retirement provisions in our employee equity award plan.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and Operating Margin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income increased 9.3% to $116.1 million for the three months ended February 28, 2021 compared with $106.3 million in the prior year. Operating income increased due to higher revenue and a reduction in non-compensatory employee-related expenses and professional fees, partially offset by an increase in employee compensation expense and computer-related expenses compared with the prior year period. The impact of foreign currency decreased operating income by $1.4 million year over year.</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to 29.6% during the three months ended February 28, 2021 compared with 28.7% in the prior year period. This increase in operating margin on a year-over-year basis was primarily due to revenue growth, a decrease in non-compensatory employee-related expenses and a reduction in professional fees, partially offset by higher computer-related expenses, employee compensation expenses and amortization of intangible assets, when expressed as a percentage of revenue.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increased 8.1% to $237.2 million for the six months ended February 28, 2021 compared with $219.4 million in the prior year period. Operating income increased due to increased revenue and a reduction in non-compensatory employee-related expenses, partially offset by an increase in employee compensation expense, including stock-based compensation, and computer-related expenses.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to 30.4% for the six months ended February 28, 2021 compared with 29.8% in the prior year period. The increase in operating margin on a year-over-year basis was primarily due to revenue growth, a reduction in non-compensatory employee-related costs and lower professional fees, partially offset by higher computer-related expenses, employee compensation costs, including stock-based compensation, and amortization of intangible assets, when expressed as a percentage of revenue.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segments are aligned with how we manage the business, the geographic markets we serve, and how our chief operating decision maker ("CODM"), our Chief Executive Officer, assesses performance. Our internal financial reporting structure is based on three reportable segments, the Americas, EMEA and Asia Pacific. Within each of our segments, we primarily deliver insight and information through our four workflow solutions of Research, Analytics and Trading, CTS and Wealth.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Each segment records compensation expense (including stock-based compensation), depreciation of furniture and fixtures, amortization of lease right-of-use ("ROU") assets, leasehold improvements and intangible assets, as well as communication costs, professional fees, rent expense, travel, office and other direct expenses. Expenditures associated with our data centers, third-party data costs and corporate headquarters charges are recorded by the Americas segment and are not allocated to the other segments. The content collection centers, located in India, the Philippines and Latvia, benefit all our operating segments, and thus the expenses incurred at these locations are allocated to each segment based on a percentage of revenue. Refer to Note 16,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financial information, including revenues, operating income and long-lived assets for each of our segments.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Three Months Ended</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February 28,</w:t>
            </w:r>
          </w:p>
        </w:tc>
        <w:tc>
          <w:tcPr>
            <w:tcW w:w="30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February 29,</w:t>
            </w: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0"/>
              </w:rPr>
              <w:t>February 28,</w:t>
            </w: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February 29,</w:t>
            </w: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81"/>
        </w:trPr>
        <w:tc>
          <w:tcPr>
            <w:tcW w:w="3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7"/>
                <w:szCs w:val="7"/>
                <w:color w:val="auto"/>
              </w:rPr>
            </w:pP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7"/>
                <w:szCs w:val="7"/>
                <w:color w:val="auto"/>
              </w:rPr>
            </w:pP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2020</w:t>
            </w:r>
          </w:p>
        </w:tc>
        <w:tc>
          <w:tcPr>
            <w:tcW w:w="3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7"/>
                <w:szCs w:val="7"/>
                <w:color w:val="auto"/>
              </w:rPr>
            </w:pP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41,310</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40,290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42,664</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80,924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83,882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22,229</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46,250</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4"/>
        </w:trPr>
        <w:tc>
          <w:tcPr>
            <w:tcW w:w="312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116,133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106,257</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237,163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219,443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Americas operating income increased 29.8% to $53.6 million during the three months ended February 28, 2021 compared with $41.3 million in the same period a year ago. The increase in Americas operating income was primarily due to revenue growth of 6.6%, inclusive of our annual price increase, a decrease in non-compensatory employee-related expenses, lower professional fees and a net gain on hedging activities, partially offset by an increase in computer-related expenses and employee compensation expense. Non-compensatory employee-related expenses, inclusive of travel, entertainment and office expenses, decreased mainly due to restrictions and impacts related to the COVID-19 pandemic. Professional fees decreased primarily due to the completion of certain projects to support our technology plan and business transformation activities. Computer-related expenses increased primarily due to increased technology investments related to our migration to cloud-based hosting services and licensed software arrangements. Employee compensation expense increased mainly due to a net increase in employee headcount of 148 employees, higher annual base salaries and an increase in year-over-year variable compensation, partially offset by higher capitalization of compensation costs related to development of our internal-use software projects.</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EMEA operating income decreased 5.6% to $40.3 million during the three months ended February 28, 2021 compared with $42.7 million in the same period a year ago. The decrease in EMEA operating income was primarily due to higher employee compensation expense, partially offset by revenue growth of 3.3%, inclusive of our annual price increase, and a decrease in non-compensatory employee-related expenses. Employee compensation expense increased mainly due to a net increase in employee headcount of 64 employees and higher annual base salaries. Non-compensatory employee-related expenses, inclusive of travel, entertainment and office expenses, decreased mainly due to restrictions and impacts related to the COVID-19 pandemic.</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Asia Pacific operating income decreased 0.2% to $22.2 million during the three months ended February 28, 2021, compared with $22.3 million in the same period a year ago. The decrease in the Asia Pacific operating income was mainly due to higher employee compensation expense and occupancy costs, partially offset by revenue growth of 9.6%, inclusive of our annual price increase, and a decrease in non-compensatory employee-related expenses. Employee compensation expense increased mainly due to a net increase in employee headcount of 556 employees and higher annual base salaries. Occupancy costs primarily increased due to higher rental costs associated with consolidating our office locations to one new leased office space. Non-compensatory employee-related expenses, inclusive of travel, entertainment and office expenses, decreased mainly due to restrictions and impacts related to the COVID-19 pandemic.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Americas operating income increased 21.0% to $110.0 million during the six months ended February 28, 2021 compared with $90.9 million in the same period a year ago. The increase in Americas operating income was primarily due to revenue growth of 6.1%, inclusive of our annual price increase, a decrease in non-compensatory employee-related expenses, a net gain on hedging activities and a reduction in occupancy costs, partially offset by an increase in computer-related expenses and employee compensation costs. Non-compensatory employee-related expenses, inclusive of travel, entertainment and office expenses, decreased mainly due to restrictions and impacts related to the COVID-19 pandemic. Occupancy costs decreased primarily due to concurrent lease expenses related to our new and prior corporate headquarters in Norwalk, Connecticut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incurred during the six months ended February 29, 2020, before relinquishing possession of our previous headquarters. Computer-related expenses increased primarily due to increased technology investments, including costs from cloud-based hosting and licensed software arrangements. Employee compensation expense increased mainly due to a net increase in employee headcount, higher annual base salaries, and an increase in year-over-year variable compensation, partially offset by higher capitalization of compensation costs related to development of our internal-use software projects.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EMEA operating income decreased 3.5% to $80.9 million during the six months ended February 28, 2021 compared with $83.9 million in the same period a year ago. The decrease in EMEA operating income was primarily due to an increase in employee compensation expense, partially offset by revenue growth of 4.1%, inclusive of our annual price increase, and a decrease in non-compensatory employee-related expenses. Employee compensation expense increased mainly due to a net increase in employee headcount, higher annual base salaries and an increase in year-over-year variable compensation. Non-compensatory employee-related expenses, inclusive of travel, entertainment and office expenses, decreased mainly due to restrictions and impacts related to the COVID-19 pandemic.</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Asia Pacific operating income increased 3.6% to $46.3 million during the six months ended February 28, 2021, compared with $44.6 million in the same period a year ago. The increase in Asia Pacific operating income was mainly due to revenue growth of 10.0%, inclusive of our annual price increase, and a decrease in non-compensatory employee-related expenses, partially offset by an increase in employee compensation expense and occupancy costs. Non-compensatory employee-related expenses, inclusive of travel, entertainment and office expenses, decreased mainly due to restrictions and impacts related to the COVID-19 pandemic. Employee compensation expense increased mainly due to a net increase in employee headcount and higher annual base salaries. Occupancy costs primarily increased due to higher rental costs associated with consolidating our office locations to one new leased office space.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 Net Income and Diluted Earnings per Share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rPr>
              <w:t>Three Months Ended</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w w:val="90"/>
              </w:rPr>
              <w:t>Six Months Ended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w w:val="90"/>
              </w:rPr>
              <w:t>February 28,</w:t>
            </w:r>
          </w:p>
        </w:tc>
        <w:tc>
          <w:tcPr>
            <w:tcW w:w="220" w:type="dxa"/>
            <w:vAlign w:val="bottom"/>
          </w:tcPr>
          <w:p>
            <w:pPr>
              <w:spacing w:after="0"/>
              <w:rPr>
                <w:sz w:val="23"/>
                <w:szCs w:val="23"/>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w w:val="92"/>
              </w:rPr>
              <w:t>February 29,</w:t>
            </w: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90"/>
              </w:rPr>
              <w:t>February 28,</w:t>
            </w:r>
          </w:p>
        </w:tc>
        <w:tc>
          <w:tcPr>
            <w:tcW w:w="300" w:type="dxa"/>
            <w:vAlign w:val="bottom"/>
          </w:tcPr>
          <w:p>
            <w:pPr>
              <w:spacing w:after="0"/>
              <w:rPr>
                <w:sz w:val="23"/>
                <w:szCs w:val="23"/>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w w:val="90"/>
              </w:rPr>
              <w:t>February 29,</w:t>
            </w: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9"/>
              </w:rPr>
              <w:t>(in thousands, except for per share data)</w:t>
            </w:r>
          </w:p>
        </w:tc>
        <w:tc>
          <w:tcPr>
            <w:tcW w:w="440" w:type="dxa"/>
            <w:vAlign w:val="bottom"/>
          </w:tcPr>
          <w:p>
            <w:pPr>
              <w:spacing w:after="0"/>
              <w:rPr>
                <w:sz w:val="9"/>
                <w:szCs w:val="9"/>
                <w:color w:val="auto"/>
              </w:rPr>
            </w:pPr>
          </w:p>
        </w:tc>
        <w:tc>
          <w:tcPr>
            <w:tcW w:w="1140" w:type="dxa"/>
            <w:vAlign w:val="bottom"/>
            <w:vMerge w:val="restart"/>
          </w:tcPr>
          <w:p>
            <w:pPr>
              <w:jc w:val="right"/>
              <w:ind w:right="3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9"/>
                <w:szCs w:val="9"/>
                <w:color w:val="auto"/>
              </w:rPr>
            </w:pPr>
          </w:p>
        </w:tc>
        <w:tc>
          <w:tcPr>
            <w:tcW w:w="1320" w:type="dxa"/>
            <w:vAlign w:val="bottom"/>
            <w:vMerge w:val="restart"/>
          </w:tcPr>
          <w:p>
            <w:pPr>
              <w:jc w:val="right"/>
              <w:ind w:right="550"/>
              <w:spacing w:after="0"/>
              <w:rPr>
                <w:sz w:val="20"/>
                <w:szCs w:val="20"/>
                <w:color w:val="auto"/>
              </w:rPr>
            </w:pPr>
            <w:r>
              <w:rPr>
                <w:rFonts w:ascii="Arial" w:cs="Arial" w:eastAsia="Arial" w:hAnsi="Arial"/>
                <w:sz w:val="18"/>
                <w:szCs w:val="18"/>
                <w:color w:val="auto"/>
              </w:rPr>
              <w:t>2020</w:t>
            </w:r>
          </w:p>
        </w:tc>
        <w:tc>
          <w:tcPr>
            <w:tcW w:w="10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restart"/>
          </w:tcPr>
          <w:p>
            <w:pPr>
              <w:jc w:val="right"/>
              <w:ind w:right="31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9"/>
                <w:szCs w:val="9"/>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color w:val="auto"/>
              </w:rPr>
              <w:t>2020</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14,423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96,643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88,686</w:t>
            </w:r>
          </w:p>
        </w:tc>
        <w:tc>
          <w:tcPr>
            <w:tcW w:w="1020" w:type="dxa"/>
            <w:vAlign w:val="bottom"/>
          </w:tcPr>
          <w:p>
            <w:pPr>
              <w:jc w:val="right"/>
              <w:spacing w:after="0"/>
              <w:rPr>
                <w:sz w:val="20"/>
                <w:szCs w:val="20"/>
                <w:color w:val="auto"/>
              </w:rPr>
            </w:pPr>
            <w:r>
              <w:rPr>
                <w:rFonts w:ascii="Arial" w:cs="Arial" w:eastAsia="Arial" w:hAnsi="Arial"/>
                <w:sz w:val="18"/>
                <w:szCs w:val="18"/>
                <w:color w:val="auto"/>
              </w:rPr>
              <w:t>9.0 %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197,849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182,643</w:t>
            </w:r>
          </w:p>
        </w:tc>
        <w:tc>
          <w:tcPr>
            <w:tcW w:w="100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is lower than the applicable U.S. corporate income tax rate for the three and six months ended February 28, 2021 driven mainly by research and development ("R&amp;D") tax credits and a foreign derived intangible income ("FDII") deduction. Our effective tax rate for the three and six months ended February 28, 2021 is further reduced by windfall tax benefits from stock-based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February 28, 2021, the provision for income taxes was $18.0 million, compared with $14.4 million for the same period a year ago. The provision increased due to higher operating income and a net reduction in income tax benefits, with $2.8 million in net tax benefit for the three months ended February 28, 2021, compared with $4.7 million in the prior year comparable period. The net income tax benefits for the three months ended February 28, 2021 included $1.6 million related to windfall tax benefits from stock-based compensation and a $1.2 million foreign deferred tax benefit, compared with a $4.7 million net income tax benefit for the three months ended February 29, 2020 related to windfall tax benefits from stock-based compensation.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six months ended February 28, 2021, the provision for income taxes was $37.0 million, compared with $29.2 million from the same period a year ago. The provision increased due to higher operating income and a net reduction in income tax benefits for the six months ended February 28, 2021 with net tax benefits of $5.8 million, compared with $10.6 million the same period a year ago. The net income tax benefits for the six months ended February 28, 2021 included $4.6 million related to windfall tax benefits from stock-based compensation and a $1.2 million foreign deferred tax benefit, compared with net income tax benefits of $6.6 million related to windfall tax benefits from stock-based compensation and $4.0 million primarily driven by the remeasurement of a foreign net deferred tax position due to changes in the jurisdiction's tax rate and finalizing prior years' tax returns for the six months ended February 29,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2021 compared with three months ended February 29,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increased 9.0% to $96.6 million and diluted earnings per share ("EPS") increased 8.7% to $2.50 for the three months ended February 28, 2021, compared with the same period a year ago. Net income and diluted EPS increased primarily due to increased operating income, partially offset by an increase in the provision for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2021 compared with six months ended February 29, 2020</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income increased 8.3% to $197.8 million and diluted EPS increased 8.2% to $5.12 for the six months ended February 28, 2021, compared with the same period a year ago. Net income and diluted EPS increased primarily due to increased operating income and a reduction in interest expense, partially offset by an increase in the provision for income taxes. Interest expense decreased compared with the prior year period due to a reduction in LIBOR.</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EPS.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unaudited reconciliation of revenue to adjusted revenue and organic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color w:val="auto"/>
              </w:rPr>
              <w:t>Three Months Ended</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w w:val="95"/>
              </w:rPr>
              <w:t>February 28,</w:t>
            </w:r>
          </w:p>
        </w:tc>
        <w:tc>
          <w:tcPr>
            <w:tcW w:w="26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February 29,</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9"/>
                <w:szCs w:val="9"/>
                <w:color w:val="auto"/>
              </w:rPr>
            </w:pPr>
          </w:p>
        </w:tc>
        <w:tc>
          <w:tcPr>
            <w:tcW w:w="1300" w:type="dxa"/>
            <w:vAlign w:val="bottom"/>
            <w:vMerge w:val="restart"/>
          </w:tcPr>
          <w:p>
            <w:pPr>
              <w:jc w:val="right"/>
              <w:ind w:right="4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9"/>
                <w:szCs w:val="9"/>
                <w:color w:val="auto"/>
              </w:rPr>
            </w:pPr>
          </w:p>
        </w:tc>
        <w:tc>
          <w:tcPr>
            <w:tcW w:w="1200" w:type="dxa"/>
            <w:vAlign w:val="bottom"/>
            <w:vMerge w:val="restart"/>
          </w:tcPr>
          <w:p>
            <w:pPr>
              <w:jc w:val="right"/>
              <w:ind w:right="41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391,788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369,780</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3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Revenue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391,969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370,968</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line="230" w:lineRule="exact"/>
              <w:rPr>
                <w:sz w:val="20"/>
                <w:szCs w:val="20"/>
                <w:color w:val="auto"/>
              </w:rPr>
            </w:pPr>
            <w:r>
              <w:rPr>
                <w:rFonts w:ascii="Arial" w:cs="Arial" w:eastAsia="Arial" w:hAnsi="Arial"/>
                <w:sz w:val="18"/>
                <w:szCs w:val="18"/>
                <w:color w:val="auto"/>
              </w:rPr>
              <w:t>Acquired revenue</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w:t>
            </w:r>
          </w:p>
        </w:tc>
        <w:tc>
          <w:tcPr>
            <w:tcW w:w="26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Organic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389,167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370,968</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40" w:hanging="470"/>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Amortization of deferred revenue fair value adjustment from purchase accounting</w:t>
      </w:r>
    </w:p>
    <w:p>
      <w:pPr>
        <w:spacing w:after="0" w:line="23" w:lineRule="exact"/>
        <w:rPr>
          <w:rFonts w:ascii="Arial" w:cs="Arial" w:eastAsia="Arial" w:hAnsi="Arial"/>
          <w:sz w:val="18"/>
          <w:szCs w:val="18"/>
          <w:i w:val="1"/>
          <w:iCs w:val="1"/>
          <w:color w:val="auto"/>
        </w:rPr>
      </w:pPr>
    </w:p>
    <w:p>
      <w:pPr>
        <w:ind w:left="640" w:hanging="470"/>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Revenues from acquisitions completed within the last 12 months</w:t>
      </w:r>
    </w:p>
    <w:p>
      <w:pPr>
        <w:spacing w:after="0" w:line="9" w:lineRule="exact"/>
        <w:rPr>
          <w:rFonts w:ascii="Arial" w:cs="Arial" w:eastAsia="Arial" w:hAnsi="Arial"/>
          <w:sz w:val="18"/>
          <w:szCs w:val="18"/>
          <w:i w:val="1"/>
          <w:iCs w:val="1"/>
          <w:color w:val="auto"/>
        </w:rPr>
      </w:pPr>
    </w:p>
    <w:p>
      <w:pPr>
        <w:ind w:left="640" w:hanging="470"/>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Foreign currency movements over the past 12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80" w:type="dxa"/>
            <w:vAlign w:val="bottom"/>
            <w:gridSpan w:val="2"/>
          </w:tcPr>
          <w:p>
            <w:pPr>
              <w:jc w:val="right"/>
              <w:ind w:right="70"/>
              <w:spacing w:after="0"/>
              <w:rPr>
                <w:sz w:val="20"/>
                <w:szCs w:val="20"/>
                <w:color w:val="auto"/>
              </w:rPr>
            </w:pPr>
            <w:r>
              <w:rPr>
                <w:rFonts w:ascii="Arial" w:cs="Arial" w:eastAsia="Arial" w:hAnsi="Arial"/>
                <w:sz w:val="18"/>
                <w:szCs w:val="18"/>
                <w:color w:val="auto"/>
                <w:w w:val="95"/>
              </w:rPr>
              <w:t>Three Months Ended</w:t>
            </w:r>
          </w:p>
        </w:tc>
        <w:tc>
          <w:tcPr>
            <w:tcW w:w="1720" w:type="dxa"/>
            <w:vAlign w:val="bottom"/>
          </w:tcPr>
          <w:p>
            <w:pPr>
              <w:spacing w:after="0"/>
              <w:rPr>
                <w:sz w:val="19"/>
                <w:szCs w:val="19"/>
                <w:color w:val="auto"/>
              </w:rPr>
            </w:pPr>
          </w:p>
        </w:tc>
      </w:tr>
      <w:tr>
        <w:trPr>
          <w:trHeight w:val="229"/>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February 28,</w:t>
            </w:r>
          </w:p>
        </w:tc>
        <w:tc>
          <w:tcPr>
            <w:tcW w:w="380" w:type="dxa"/>
            <w:vAlign w:val="bottom"/>
          </w:tcPr>
          <w:p>
            <w:pPr>
              <w:spacing w:after="0"/>
              <w:rPr>
                <w:sz w:val="19"/>
                <w:szCs w:val="19"/>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color w:val="auto"/>
                <w:w w:val="99"/>
              </w:rPr>
              <w:t>February 29,</w:t>
            </w:r>
          </w:p>
        </w:tc>
        <w:tc>
          <w:tcPr>
            <w:tcW w:w="1720" w:type="dxa"/>
            <w:vAlign w:val="bottom"/>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116,133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106,257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1,188</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5,914</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5,143</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4,654</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4,684</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961</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(418)</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charges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1,068</w:t>
            </w:r>
          </w:p>
        </w:tc>
        <w:tc>
          <w:tcPr>
            <w:tcW w:w="17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127,843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117,922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29.6 %</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28.7 %</w:t>
            </w:r>
          </w:p>
        </w:tc>
        <w:tc>
          <w:tcPr>
            <w:tcW w:w="172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color w:val="auto"/>
              </w:rPr>
              <w:t>Adjusted operating margin</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1720" w:type="dxa"/>
            <w:vAlign w:val="bottom"/>
            <w:tcBorders>
              <w:bottom w:val="single" w:sz="8" w:color="auto"/>
            </w:tcBorders>
            <w:shd w:val="clear" w:color="auto" w:fill="CCEEFF"/>
          </w:tcPr>
          <w:p>
            <w:pPr>
              <w:spacing w:after="0"/>
              <w:rPr>
                <w:sz w:val="19"/>
                <w:szCs w:val="19"/>
                <w:color w:val="auto"/>
              </w:rPr>
            </w:pPr>
          </w:p>
        </w:tc>
      </w:tr>
      <w:tr>
        <w:trPr>
          <w:trHeight w:val="250"/>
        </w:trPr>
        <w:tc>
          <w:tcPr>
            <w:tcW w:w="5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96,643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88,686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966</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4,843</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4,183</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3,813</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4,138</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787</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(369)</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943</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investment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items</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(1,154)</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tcPr>
          <w:p>
            <w:pPr>
              <w:spacing w:after="0"/>
              <w:rPr>
                <w:sz w:val="19"/>
                <w:szCs w:val="19"/>
                <w:color w:val="auto"/>
              </w:rPr>
            </w:pPr>
          </w:p>
        </w:tc>
      </w:tr>
      <w:tr>
        <w:trPr>
          <w:trHeight w:val="223"/>
        </w:trPr>
        <w:tc>
          <w:tcPr>
            <w:tcW w:w="5940" w:type="dxa"/>
            <w:vAlign w:val="bottom"/>
            <w:tcBorders>
              <w:bottom w:val="single" w:sz="8" w:color="auto"/>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105,080</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98,348</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50"/>
        </w:trPr>
        <w:tc>
          <w:tcPr>
            <w:tcW w:w="5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0.13</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0.11</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0.10</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0.10</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(0.01)</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2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0.02</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investment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items</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(0.03)</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tcPr>
          <w:p>
            <w:pPr>
              <w:spacing w:after="0"/>
              <w:rPr>
                <w:sz w:val="19"/>
                <w:szCs w:val="19"/>
                <w:color w:val="auto"/>
              </w:rPr>
            </w:pPr>
          </w:p>
        </w:tc>
      </w:tr>
      <w:tr>
        <w:trPr>
          <w:trHeight w:val="223"/>
        </w:trPr>
        <w:tc>
          <w:tcPr>
            <w:tcW w:w="5940" w:type="dxa"/>
            <w:vAlign w:val="bottom"/>
            <w:tcBorders>
              <w:bottom w:val="single" w:sz="8" w:color="auto"/>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Adjusted diluted earnings per common share</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2.72</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common shares (Diluted)</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38,620</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38,576</w:t>
            </w:r>
          </w:p>
        </w:tc>
        <w:tc>
          <w:tcPr>
            <w:tcW w:w="1720" w:type="dxa"/>
            <w:vAlign w:val="bottom"/>
            <w:tcBorders>
              <w:bottom w:val="single" w:sz="8" w:color="auto"/>
            </w:tcBorders>
          </w:tcPr>
          <w:p>
            <w:pPr>
              <w:spacing w:after="0"/>
              <w:rPr>
                <w:sz w:val="19"/>
                <w:szCs w:val="19"/>
                <w:color w:val="auto"/>
              </w:rPr>
            </w:pPr>
          </w:p>
        </w:tc>
      </w:tr>
    </w:tbl>
    <w:p>
      <w:pPr>
        <w:spacing w:after="0" w:line="94" w:lineRule="exact"/>
        <w:rPr>
          <w:sz w:val="20"/>
          <w:szCs w:val="20"/>
          <w:color w:val="auto"/>
        </w:rPr>
      </w:pPr>
    </w:p>
    <w:p>
      <w:pPr>
        <w:ind w:left="660" w:hanging="328"/>
        <w:spacing w:after="0" w:line="277"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Costs primarily associated with professional fees for third parties to help implement technology, processes and solutions across the organization for various projects.</w:t>
      </w:r>
    </w:p>
    <w:p>
      <w:pPr>
        <w:spacing w:after="0" w:line="8" w:lineRule="exact"/>
        <w:rPr>
          <w:rFonts w:ascii="Arial" w:cs="Arial" w:eastAsia="Arial" w:hAnsi="Arial"/>
          <w:sz w:val="18"/>
          <w:szCs w:val="18"/>
          <w:i w:val="1"/>
          <w:iCs w:val="1"/>
          <w:color w:val="auto"/>
        </w:rPr>
      </w:pPr>
    </w:p>
    <w:p>
      <w:pPr>
        <w:ind w:left="640" w:hanging="308"/>
        <w:spacing w:after="0"/>
        <w:tabs>
          <w:tab w:leader="none" w:pos="6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Adjusted operating margin is calculated as adjusted operating income divided by adjusted revenue as shown in the organic revenue table above.</w:t>
      </w:r>
    </w:p>
    <w:p>
      <w:pPr>
        <w:spacing w:after="0" w:line="86" w:lineRule="exact"/>
        <w:rPr>
          <w:rFonts w:ascii="Arial" w:cs="Arial" w:eastAsia="Arial" w:hAnsi="Arial"/>
          <w:sz w:val="16"/>
          <w:szCs w:val="16"/>
          <w:i w:val="1"/>
          <w:iCs w:val="1"/>
          <w:color w:val="auto"/>
        </w:rPr>
      </w:pPr>
    </w:p>
    <w:p>
      <w:pPr>
        <w:ind w:left="640" w:hanging="308"/>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 items for the three months ended February 28, 2021 reflects a one-time foreign deferred tax benefit.</w:t>
      </w:r>
    </w:p>
    <w:p>
      <w:pPr>
        <w:spacing w:after="0" w:line="63" w:lineRule="exact"/>
        <w:rPr>
          <w:rFonts w:ascii="Arial" w:cs="Arial" w:eastAsia="Arial" w:hAnsi="Arial"/>
          <w:sz w:val="18"/>
          <w:szCs w:val="18"/>
          <w:i w:val="1"/>
          <w:iCs w:val="1"/>
          <w:color w:val="auto"/>
        </w:rPr>
      </w:pPr>
    </w:p>
    <w:p>
      <w:pPr>
        <w:ind w:left="660" w:hanging="328"/>
        <w:spacing w:after="0" w:line="308" w:lineRule="auto"/>
        <w:tabs>
          <w:tab w:leader="none" w:pos="654"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For purposes of calculating adjusted net income and adjusted diluted earnings per share, intangible asset amortization, deferred revenue fair value adjustments and other items were taxed at the annual effective tax rates of 16.9% for fiscal 2021 and 14.1% for fiscal 2020.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primary sources of liquidity have been our cash flows generated from our operations, existing cash and cash equivalents and, when needed, our credit capacity under our existing credit facility. We use these sources of liquidity to, among other things, service our existing and future debt obligations, fund our working capital requirements for operations and capital expenditures, investments, acquisitions, dividend payments, and repurchases of our common stock. Based on past performance and current expectations, we believe our liquidity, along with other financing alternatives, will provide us the necessary capital to fund these transactions and achieve our planned growth for the next 12 months and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credit agreement with PNC Bank, National Association ("PNC") (the "2019 Credit Agreement"),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28, 2021, we have borrowed $575.0 million of the available $750.0 million provided by the 2019 Revolving Credit Facility, resulting in $175.0 million available to be withdrawn. We are required to pay a commitment fee using a pricing grid which was 0.10% as of February 28, 2021. This fee is based on the daily amount by which the available balance in the 2019 Revolving Credit Facility exceeds the borrowed amount. All outstanding loan amounts are reported as Long-term debt within the Consolidated Balance Sheets at February 28, 2021 and August 31, 2020. The principal balance is payable in full on the maturity date.</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Borrowings under the loan bear interest on the outstanding principal amount at a rate equal to LIBOR plus a spread using a debt leverage pricing grid, which was 0.875% as of February 28, 2021. The variable rate of interest on the 2019 Revolving Credit Facility can expose us to interest rate volatility due to changes in LIBOR.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Including the effects of the interest rate swap agreement, the weighted average interest rate on amounts outstanding under our 2019 Revolving Credit Facility was 1.39% for the six months ended February 28, 2021. The weighted average interest rate for the fiscal year ended August 31, 2020 was 2.20%. Interest on the outstanding balance under the 2019 Revolving Credit Facility is payable quarterly, in arrears, and on the maturity date.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February 28, 2021.</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Value to Shareholders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For the six months ended February 28, 2021, we returned $172.8 million to stockholders in the form of share repurchases and dividends. Over the last 12 months, we returned $269.9 million to stockholders in the form of share repurchases and dividends.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Repurchases of shares of our common stock may be made from time to time in the open market and privately negotiated transactions, subject to market conditions. In the three months ended February 28, 2021, we repurchased 221,959 shares for $71.5 million under our existing share repurchase program compared with 267,500 shares for $74.2 million in the same period a year ago. During the six months ended February 28, 2021, we repurchased 353,759 shares for $114.6 million under our existing share repurchase program compared with 610,500 shares for $158.6 million in the same period a year ago. As of February 28, 2021, $144.4 million remained available under the share repurchase program for future share repurchases. There is no defined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number of shares to be repurchased over a specified timeframe through the life of the share repurchase program. It is expected that share repurchases will be paid using existing and future cash generated by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23, 2021, our Board of Directors approved a $205.6 million increase to the existing share repurchase program. Subsequent to this approval, $350.0 million is available for future 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5, 2021, our Board of Directors approved a regular quarterly dividend of $0.77 per share. The dividends declared of $29.1 million were paid on March 18, 2021, to common stockholders of record at the close of business on February 26, 2021. Future cash dividends will depend on our earnings, capital requirements, financial condition and other factors considered relevant by us and is subject to final determination by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November 2, 2020, FactSet acquired all of the outstanding shares of TVL for a purchase price of $41.9 million, subject to working capital and other adjustments. TVL is a leading provider of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FactSet's commitment to providing industry leading access to ESG data across its platforms. Refer to Note 7,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for further discussion of the TVL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600" w:type="dxa"/>
            <w:vAlign w:val="bottom"/>
          </w:tcPr>
          <w:p>
            <w:pPr>
              <w:spacing w:after="0"/>
              <w:rPr>
                <w:sz w:val="19"/>
                <w:szCs w:val="19"/>
                <w:color w:val="auto"/>
              </w:rPr>
            </w:pPr>
          </w:p>
        </w:tc>
      </w:tr>
      <w:tr>
        <w:trPr>
          <w:trHeight w:val="229"/>
        </w:trPr>
        <w:tc>
          <w:tcPr>
            <w:tcW w:w="6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February 28,</w:t>
            </w:r>
          </w:p>
        </w:tc>
        <w:tc>
          <w:tcPr>
            <w:tcW w:w="640" w:type="dxa"/>
            <w:vAlign w:val="bottom"/>
          </w:tcPr>
          <w:p>
            <w:pPr>
              <w:spacing w:after="0"/>
              <w:rPr>
                <w:sz w:val="19"/>
                <w:szCs w:val="19"/>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color w:val="auto"/>
                <w:w w:val="90"/>
              </w:rPr>
              <w:t>February 29,</w:t>
            </w: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229,936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195,460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(69,748)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(49,936)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3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(164,057)</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w:t>
            </w: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aggregated to $602.7 million as of February 28, 2021, compared with $585.6 million as of August 31, 2020. Our cash and cash equivalents increased $17.1 million during the six months ended of fiscal 2021, primarily due to inflows of $229.9 million of net cash provided by operating activities and $28.5 million in proceeds from the exercise of employee stock options, partially offset by cash outflows of $114.6 million in share repurchases, $58.2 million in dividend payments, $41.9 million for the acquisition of a business, and $28.8 million of capital expenditures.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are held in numerous locations throughout the world, with $280.2 million within the Americas, $265.9 million within EMEA (predominantly within the UK, France, and Germany) and the remaining $56.6 million within Asia Pacific (predominantly within India and the Philippines) as of February 28, 2021. We intend to reinvest substantially all of our accumulated undistributed foreign earnings, except in instances where repatriation would result in minimal additional tax.</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February 28, 2021, net cash provided by operating activities was $229.9 million compared with $195.5 million during the same period a year ago, an increase of $34.5 million. This increase was primarily driven by higher net income and cash generated from the operations of the business and the timing of tax payments in certain jurisdictions, partially offset by certain working capital changes and the timing of lease incentive payments.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was $69.7 million in the six months ended February 28, 2021, representing a $19.8 million increase from the same period a year ago. This increase was due primarily to the acquisition of TVL for approximately $41.9 million in cash, net of cash acquired, partially offset by a $23.1 million decrease in capital expenditures. Capital expenditures decreased due to a reduction in spend related to the build-out of our office space in the Philippines during the six months ended February 28, 2021, compared to the build-out of our new corporate headquarters in Norwalk, Connecticut and office space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India during the prior year period, partially offset by increased expenditures related to the development of capitalized internal-use software during the six months ended February 28, 2021, compared to the same period a year ago.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by financing activities was $146.7 million in the six months ended February 28, 2021, representing a $17.4 million favorable change in cash used by financing activities from the same period a year ago. Financing activities were positively impacted by a $44.0 million decrease in share repurchases, partially offset by a $22.0 million decrease in proceeds from employee stock plans and a $3.8 million increase in dividend payments.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free cash flow, a non-GAAP financial measure, as cash provided by operating activities less purchases of property, equipment, leasehold improvements and intangible assets. We present free cash flow solely as a supplemental disclosure to provide useful information to investors about the amount of cash generated by the business after necessary capital expenditures. We consider free cash flow to be a liquidity measure that provides useful information to management and investors about the amount of cash generated by the business after necessary capital expenditures. The following table reconciles our net cash provided by operating activities to free cash flow: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February 28,</w:t>
            </w:r>
          </w:p>
        </w:tc>
        <w:tc>
          <w:tcPr>
            <w:tcW w:w="1580" w:type="dxa"/>
            <w:vAlign w:val="bottom"/>
            <w:gridSpan w:val="3"/>
          </w:tcPr>
          <w:p>
            <w:pPr>
              <w:ind w:left="160"/>
              <w:spacing w:after="0"/>
              <w:rPr>
                <w:sz w:val="20"/>
                <w:szCs w:val="20"/>
                <w:color w:val="auto"/>
              </w:rPr>
            </w:pPr>
            <w:r>
              <w:rPr>
                <w:rFonts w:ascii="Arial" w:cs="Arial" w:eastAsia="Arial" w:hAnsi="Arial"/>
                <w:sz w:val="18"/>
                <w:szCs w:val="18"/>
                <w:color w:val="auto"/>
                <w:w w:val="95"/>
              </w:rPr>
              <w:t>Six Months Ended</w:t>
            </w:r>
          </w:p>
        </w:tc>
        <w:tc>
          <w:tcPr>
            <w:tcW w:w="1660" w:type="dxa"/>
            <w:vAlign w:val="bottom"/>
            <w:vMerge w:val="restart"/>
          </w:tcPr>
          <w:p>
            <w:pPr>
              <w:jc w:val="center"/>
              <w:ind w:right="490"/>
              <w:spacing w:after="0"/>
              <w:rPr>
                <w:sz w:val="20"/>
                <w:szCs w:val="20"/>
                <w:color w:val="auto"/>
              </w:rPr>
            </w:pPr>
            <w:r>
              <w:rPr>
                <w:rFonts w:ascii="Arial" w:cs="Arial" w:eastAsia="Arial" w:hAnsi="Arial"/>
                <w:sz w:val="18"/>
                <w:szCs w:val="18"/>
                <w:color w:val="auto"/>
                <w:w w:val="90"/>
              </w:rPr>
              <w:t>February 29,</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229,936</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8"/>
              </w:rPr>
              <w:t>195,460</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(1)</w:t>
            </w:r>
          </w:p>
        </w:tc>
        <w:tc>
          <w:tcPr>
            <w:tcW w:w="1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(28,758)</w:t>
            </w: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2"/>
              </w:rPr>
              <w:t>(51,899)</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58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201,178</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8"/>
              </w:rPr>
              <w:t>143,561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(1) Capital expenditures are included in net cash used in investing activities during each fiscal period reported.</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Free cash flow generated in the six months ended February 28, 2021 was $201.2 million, an increase of 40.1% compared with a year ago. Free cash flow increased $57.6 million year-over-year due to a $23.1 million decrease in capital expenditures and a $34.5 million increase in operating cash flows.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2020, we had total purchase commitments of $226.0 million. During the first quarter of fiscal 2021, we entered into a software subscription agreement with a total purchase commitment of approximately $10.0 million over a contract term of three years. During the second quarter of fiscal 2021, we increased our contractual spend commitment on a cloud hosting agreement by approximately $25.0 million over a contract term of five years.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disclosed earlier in the Liquidity and Capital Resources section of this MD&amp;A, we entered into the 2019 Credit Agreement on March 29, 2019 and borrowed $575.0 million. The loan balance of $575.0 million remains outstanding as of February 28, 2021.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included in Part I, Item 1, </w:t>
      </w:r>
      <w:r>
        <w:rPr>
          <w:rFonts w:ascii="Arial" w:cs="Arial" w:eastAsia="Arial" w:hAnsi="Arial"/>
          <w:sz w:val="18"/>
          <w:szCs w:val="18"/>
          <w:i w:val="1"/>
          <w:iCs w:val="1"/>
          <w:color w:val="auto"/>
        </w:rPr>
        <w:t>Financial Information</w:t>
      </w:r>
      <w:r>
        <w:rPr>
          <w:rFonts w:ascii="Arial" w:cs="Arial" w:eastAsia="Arial" w:hAnsi="Arial"/>
          <w:sz w:val="18"/>
          <w:szCs w:val="18"/>
          <w:color w:val="auto"/>
        </w:rPr>
        <w:t>, of this Quarterly Report on Form 10-Q for a discussion of our Long-term debt borrowings.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significant changes to our contractual obligations during the six months ended February 28, 2021.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February 28, 2021 and August 31, 2020,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investments in certain wholly-owned subsidiaries within the EMEA and Asia Pacific segments, where approximately 77% of our employees are located, are exposed to volatility in currency exchange rates through translation of the foreign subsidiaries' net assets or liabilities from their respective functional currencies into U.S. dollars, using an end of period exchange rate. The net translation gains and losses are recorded in accumulated other comprehensive loss as a component of stockholders’ equity.</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February 28, 2021, foreign currency movements decreased operating income by $1.4 million, compared with a $0.2 million increase to operating income a year ago. During the six months ended February 28, 2021, foreign currency movements decreased operating income by $0.8 million, compared with a $1.2 million increase to operating income a year ago. To mitigate the foreign currency exposure, we entered into a series of forward contracts to hedge a portion of our British Pound Sterling, Euro, Indian Rupee, and Philippine Peso exposures ranging from 25% to 75% over their respective hedged periods as of February 28, 2021. The current foreign currency forward contracts are set to mature at various points between the third quarter of fiscal 2021 through the second quarter of fiscal 2022.</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the gross notional value of foreign currency forward contracts to purchase Philippine Pesos and Indian Rupees with U.S. dollars was ₱1.5 billion and Rs2.6 billion, respectively. The gross notional value of foreign currency forward contracts to purchase U.S. dollars with Euros and British Pound Sterling was €39.1 million and £40.4 million, respectively.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gain on foreign currency forward contracts of $2.1 million was recorded into operating income for the three months ended February 28, 2021, compared with a loss on forward currency forward contracts of $0.3 million in the same period a year ago. For the six months ended February 28, 2021, a gain on forward currency forward contracts of $2.9 million was recorded into operating income, compared with a loss on forward currency forward contracts of $1.1 million in the prior year period.</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describe our significant accounting policies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notes to our Consolidated Financial Statements included in Item 8 of our Annual Report on Form 10-K for the fiscal year ended August 31, 2020. The accounting policies used in preparing our Consolidated Financial Statements for the six months ended fiscal 2021 are applied consistently with those described in our Annual Report on Form 10-K for the fiscal year ended August 31, 2020, with the exception of the accounting guidance adopted in the first quarter of fiscal 2021 related to the adoption of ASU 2016-03,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Refer to Note 3, </w:t>
      </w:r>
      <w:r>
        <w:rPr>
          <w:rFonts w:ascii="Arial" w:cs="Arial" w:eastAsia="Arial" w:hAnsi="Arial"/>
          <w:sz w:val="17"/>
          <w:szCs w:val="17"/>
          <w:i w:val="1"/>
          <w:iCs w:val="1"/>
          <w:color w:val="auto"/>
        </w:rPr>
        <w:t>Recent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Pronouncements </w:t>
      </w:r>
      <w:r>
        <w:rPr>
          <w:rFonts w:ascii="Arial" w:cs="Arial" w:eastAsia="Arial" w:hAnsi="Arial"/>
          <w:sz w:val="17"/>
          <w:szCs w:val="17"/>
          <w:color w:val="auto"/>
        </w:rPr>
        <w:t>of this Quarterly Report for further discussion.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discuss our critical accounting estimates in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our Annual Report on Form 10-K for the fiscal year ended August 31, 2020. There were no significant changes in our critical accounting estimates during the six months ended February 28, 2021.</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included in Part I, Item 1, </w:t>
      </w:r>
      <w:r>
        <w:rPr>
          <w:rFonts w:ascii="Arial" w:cs="Arial" w:eastAsia="Arial" w:hAnsi="Arial"/>
          <w:sz w:val="18"/>
          <w:szCs w:val="18"/>
          <w:i w:val="1"/>
          <w:iCs w:val="1"/>
          <w:color w:val="auto"/>
        </w:rPr>
        <w:t>Financial Information</w:t>
      </w:r>
      <w:r>
        <w:rPr>
          <w:rFonts w:ascii="Arial" w:cs="Arial" w:eastAsia="Arial" w:hAnsi="Arial"/>
          <w:sz w:val="18"/>
          <w:szCs w:val="18"/>
          <w:color w:val="auto"/>
        </w:rPr>
        <w:t>, of this Quarterly Report on Form 10-Q for a full description of recent accounting pronouncements, including the expected dates of adoption, which we include herein by reference.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risk and interest rate risk that could impact our financial position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foreign currency exchange risk as we conduct business outside the U.S. in several currencies including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February 28, 2021. If the U.S. dollar had been 10% weaker, the fair value of outstanding foreign currency forward contracts would have increased by $15.2 million. Such a change in fair value of our financial instruments would be substantially offset by changes in our expense base. If we had no hedges in place as of February 28, 2021, a hypothetical 10% weaker U.S. dollar against all foreign currencies from the quoted foreign currency exchange rates at February 28, 2021, with operating results held constant in local currencies, would result in a decrease in operating income by $39.8 million over the next 12 months. A hypothetical 10% weaker U.S. dollar against all foreign currencies at February 28, 2021 would have increased the fair value of total assets by $71.4 million and equity by $44.5 million.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Volatility in the British Pound Sterling exchange rate remains a possibility in the short term as the UK continues the transition resulting from its exit from the European Union ("Brexit"). In the longer term, any impact from Brexit will depend on, in part, the outcome of tariff, regulatory, and other negotiations. Refer to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Quarterly Report on Form 10-Q and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further discussion on Brexit.</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in the Notes to the Company’s Consolidated Financial Statements included in Part I, Item 1. of this Quarterly Report on Form 10-Q for more information on our foreign currency exposures and our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fair market value of our Cash and cash equivalents and Investments at February 28, 2021 was $620.5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 Refer to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 the Notes to the Company’s Consolidated Financial Statements included in Item 8 of our Annual Report on Form 10-K for more information on our cash and cash equivalents and investments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of February 28, 2021, we had long-term debt outstanding of $574.4 million, which included a principal balance of $575.0 million related to the 2019 Revolving Credit Facility. The 2019 Revolving Credit Facility bears interest on the outstanding principle at a rate equal to LIBOR plus a spread, using a debt leverage pricing grid. The variable rate of interest on our 2019 Revolving Credit Facility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under the 2019 Revolving Credit Facility. Assuming all terms of our outstanding long-term debt remained the same, a hypothetical 25 basis point change (up or down) in the one-month LIBOR would result in a $0.7 million change to our annual interest expense for the portion of the long-term debt not hedged by the interest rate swap agreement. Refer to Note 11,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 Notes to the Company’s Consolidated Financial Statements included in Item 1. of this Quarterly Report on Form 10-Q for additional information regarding our outstanding debt obligations.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management, including its principal executive officer and principal financial officer, have evaluated the effectiveness of the Company’s disclosure controls and procedures pursuant to Rules 13a-15(e) and 15d-15(e) under the Securities Exchange Act of 1934, as amended (the "Exchange Act"), as of the end of the period covered by this report, and the principal executive officer and principal financial officer have concluded that the Company’s disclosure controls and procedures are effective as of the end of the period covered by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three and six months ended February 28,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information set forth under "Contingencies"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material changes during the six months ended February 28, 2021 to the risk factors identified in the Company's Annual Report on Form 10-K for the fiscal year ended August 31, 2020, except for the "Brexit" section in the "Legal &amp; Regulatory Risks" risk factor, as set out below.</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and regulatory changes in the environments in which we and our clients operate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business, we are subject to numerous laws and regulations in the U.S. and in the other countries in which we operate. These laws, rules, and regulations, and their interpretations, may change in the future or conflict,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including the U.S. and nations in Europe and Asia, heightens the risk of regulatory uncertainty.</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 Recent regulatory changes that we believe might materially impact us and our clients include: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European Union, the new version of the Markets in Financial Instruments Directive (recast), also known as "MiFID II" became effective in January 2018. MiFID II built upon many of the initiatives introduced through MiFID and is intended to help improve the functioning of the European Union single market by achieving a greater consistency of regulatory standards. MiFID originally became effective in 2007.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We continue to monitor the impact of MiFID II on the investment process and trade lifecycle. We also continue to review the application of key MiFID II requirements and plan to work with our clients to navigate through them.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31, 2020, the United Kingdom (the "UK") formally left the European Union (the "EU") when the UK-EU Withdrawal Agreement became effective. Under the Withdrawal Agreement, a transition period began that ran until December 31, 2020. On January 1, 2021, the UK left the EU Single Market and Customs Union, as well as all EU policies and international agreements. As a result, the free movement of persons, goods, services and capital between the UK and the EU ended, and the EU and the UK formed two separate markets and two distinct regulatory and legal spaces. On December 24, 2020, the European Commission reached a trade agreement with the UK on the terms of its future cooperation with the EU (the "Trade Agreement"). The Trade Agreement offers UK and EU companies preferential access to each other’s markets, ensuring imported goods will be free of tariffs and quotas; however, economic relations between the UK and the EU will now be on more restricted terms than existed previously. The Trade Agreement does not incorporate the full scope of the services sector, and businesses such as banking and finance face a more uncertain future. The UK and EU have agreed on the framework for voluntary regulatory cooperation and dialogue on financial services issues between the UK and the EU in a Memorandum of Understanding which was agreed in March 2021 and which is expected to be signed after formal steps are completed. At this time, we cannot predict the impact that the Trade Agreement and any future agreements on services, particularly financial services, will have on our business and our clients, and it is possible that new terms may adversely affect our operations and financial results. We continue to evaluate our own risks and uncertainty related to Brexit and partner with our clients to help them navigate the possible changes in the UK-EU market. This uncertainty may have an impact on our clients’ expansion or spending plans, especially with regard to any equivalence decisions, which may in turn negatively impact our revenue or growth.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share and per share data)</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month-to-month summary of the share repurchase activity during the three months ended February 28,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Total Number of Shares</w:t>
            </w:r>
          </w:p>
        </w:tc>
        <w:tc>
          <w:tcPr>
            <w:tcW w:w="2760" w:type="dxa"/>
            <w:vAlign w:val="bottom"/>
            <w:gridSpan w:val="2"/>
          </w:tcPr>
          <w:p>
            <w:pPr>
              <w:jc w:val="center"/>
              <w:ind w:right="170"/>
              <w:spacing w:after="0"/>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2760" w:type="dxa"/>
            <w:vAlign w:val="bottom"/>
            <w:gridSpan w:val="2"/>
          </w:tcPr>
          <w:p>
            <w:pPr>
              <w:jc w:val="center"/>
              <w:ind w:right="170"/>
              <w:spacing w:after="0" w:line="176" w:lineRule="exact"/>
              <w:rPr>
                <w:sz w:val="20"/>
                <w:szCs w:val="20"/>
                <w:color w:val="auto"/>
              </w:rPr>
            </w:pPr>
            <w:r>
              <w:rPr>
                <w:rFonts w:ascii="Arial" w:cs="Arial" w:eastAsia="Arial" w:hAnsi="Arial"/>
                <w:sz w:val="18"/>
                <w:szCs w:val="18"/>
                <w:color w:val="auto"/>
                <w:w w:val="93"/>
              </w:rPr>
              <w:t>(or Approximate Dollar Value)</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080" w:type="dxa"/>
            <w:vAlign w:val="bottom"/>
            <w:vMerge w:val="restart"/>
          </w:tcPr>
          <w:p>
            <w:pPr>
              <w:jc w:val="right"/>
              <w:ind w:right="35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5"/>
                <w:szCs w:val="15"/>
                <w:color w:val="auto"/>
              </w:rPr>
            </w:pPr>
          </w:p>
        </w:tc>
        <w:tc>
          <w:tcPr>
            <w:tcW w:w="1880" w:type="dxa"/>
            <w:vAlign w:val="bottom"/>
            <w:vMerge w:val="restart"/>
          </w:tcPr>
          <w:p>
            <w:pPr>
              <w:jc w:val="right"/>
              <w:ind w:right="570"/>
              <w:spacing w:after="0"/>
              <w:rPr>
                <w:sz w:val="20"/>
                <w:szCs w:val="20"/>
                <w:color w:val="auto"/>
              </w:rPr>
            </w:pPr>
            <w:r>
              <w:rPr>
                <w:rFonts w:ascii="Arial" w:cs="Arial" w:eastAsia="Arial" w:hAnsi="Arial"/>
                <w:sz w:val="18"/>
                <w:szCs w:val="18"/>
                <w:color w:val="auto"/>
              </w:rPr>
              <w:t>Average Price</w:t>
            </w: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89"/>
              </w:rPr>
              <w:t>Purchased as Part of Publicly</w:t>
            </w:r>
          </w:p>
        </w:tc>
        <w:tc>
          <w:tcPr>
            <w:tcW w:w="220" w:type="dxa"/>
            <w:vAlign w:val="bottom"/>
          </w:tcPr>
          <w:p>
            <w:pPr>
              <w:spacing w:after="0"/>
              <w:rPr>
                <w:sz w:val="15"/>
                <w:szCs w:val="15"/>
                <w:color w:val="auto"/>
              </w:rPr>
            </w:pPr>
          </w:p>
        </w:tc>
        <w:tc>
          <w:tcPr>
            <w:tcW w:w="2540" w:type="dxa"/>
            <w:vAlign w:val="bottom"/>
          </w:tcPr>
          <w:p>
            <w:pPr>
              <w:jc w:val="center"/>
              <w:ind w:right="390"/>
              <w:spacing w:after="0" w:line="176" w:lineRule="exact"/>
              <w:rPr>
                <w:sz w:val="20"/>
                <w:szCs w:val="20"/>
                <w:color w:val="auto"/>
              </w:rPr>
            </w:pPr>
            <w:r>
              <w:rPr>
                <w:rFonts w:ascii="Arial" w:cs="Arial" w:eastAsia="Arial" w:hAnsi="Arial"/>
                <w:sz w:val="18"/>
                <w:szCs w:val="18"/>
                <w:color w:val="auto"/>
                <w:w w:val="89"/>
              </w:rPr>
              <w:t>that May Yet be Purchased</w:t>
            </w:r>
          </w:p>
        </w:tc>
        <w:tc>
          <w:tcPr>
            <w:tcW w:w="0" w:type="dxa"/>
            <w:vAlign w:val="bottom"/>
          </w:tcPr>
          <w:p>
            <w:pPr>
              <w:spacing w:after="0"/>
              <w:rPr>
                <w:sz w:val="1"/>
                <w:szCs w:val="1"/>
                <w:color w:val="auto"/>
              </w:rPr>
            </w:pPr>
          </w:p>
        </w:tc>
      </w:tr>
      <w:tr>
        <w:trPr>
          <w:trHeight w:val="176"/>
        </w:trPr>
        <w:tc>
          <w:tcPr>
            <w:tcW w:w="1780" w:type="dxa"/>
            <w:vAlign w:val="bottom"/>
            <w:vMerge w:val="restart"/>
          </w:tcPr>
          <w:p>
            <w:pPr>
              <w:ind w:left="660"/>
              <w:spacing w:after="0"/>
              <w:rPr>
                <w:sz w:val="20"/>
                <w:szCs w:val="20"/>
                <w:color w:val="auto"/>
              </w:rPr>
            </w:pPr>
            <w:r>
              <w:rPr>
                <w:rFonts w:ascii="Arial" w:cs="Arial" w:eastAsia="Arial" w:hAnsi="Arial"/>
                <w:sz w:val="18"/>
                <w:szCs w:val="18"/>
                <w:color w:val="auto"/>
              </w:rPr>
              <w:t>Period</w:t>
            </w:r>
          </w:p>
        </w:tc>
        <w:tc>
          <w:tcPr>
            <w:tcW w:w="20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0"/>
              </w:rPr>
              <w:t>Announced Plans or</w:t>
            </w:r>
          </w:p>
        </w:tc>
        <w:tc>
          <w:tcPr>
            <w:tcW w:w="220" w:type="dxa"/>
            <w:vAlign w:val="bottom"/>
          </w:tcPr>
          <w:p>
            <w:pPr>
              <w:spacing w:after="0"/>
              <w:rPr>
                <w:sz w:val="15"/>
                <w:szCs w:val="15"/>
                <w:color w:val="auto"/>
              </w:rPr>
            </w:pPr>
          </w:p>
        </w:tc>
        <w:tc>
          <w:tcPr>
            <w:tcW w:w="254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89"/>
              </w:rPr>
              <w:t>Under the Plans or Programs</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 Purchased</w:t>
            </w:r>
            <w:r>
              <w:rPr>
                <w:rFonts w:ascii="Arial" w:cs="Arial" w:eastAsia="Arial" w:hAnsi="Arial"/>
                <w:sz w:val="9"/>
                <w:szCs w:val="9"/>
                <w:color w:val="auto"/>
              </w:rPr>
              <w:t>(1)</w:t>
            </w:r>
          </w:p>
        </w:tc>
        <w:tc>
          <w:tcPr>
            <w:tcW w:w="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Paid per 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r>
              <w:rPr>
                <w:rFonts w:ascii="Arial" w:cs="Arial" w:eastAsia="Arial" w:hAnsi="Arial"/>
                <w:sz w:val="9"/>
                <w:szCs w:val="9"/>
                <w:color w:val="auto"/>
                <w:w w:val="89"/>
              </w:rPr>
              <w:t>(2)</w:t>
            </w:r>
          </w:p>
        </w:tc>
        <w:tc>
          <w:tcPr>
            <w:tcW w:w="2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6"/>
              </w:rPr>
              <w:t>(in US$)</w:t>
            </w:r>
            <w:r>
              <w:rPr>
                <w:rFonts w:ascii="Arial" w:cs="Arial" w:eastAsia="Arial" w:hAnsi="Arial"/>
                <w:sz w:val="9"/>
                <w:szCs w:val="9"/>
                <w:color w:val="auto"/>
                <w:w w:val="96"/>
              </w:rPr>
              <w:t>(2)</w:t>
            </w: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2020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329.51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202,454</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January 2021</w:t>
            </w:r>
          </w:p>
        </w:tc>
        <w:tc>
          <w:tcPr>
            <w:tcW w:w="2080" w:type="dxa"/>
            <w:vAlign w:val="bottom"/>
          </w:tcPr>
          <w:p>
            <w:pPr>
              <w:jc w:val="right"/>
              <w:spacing w:after="0"/>
              <w:rPr>
                <w:sz w:val="20"/>
                <w:szCs w:val="20"/>
                <w:color w:val="auto"/>
              </w:rPr>
            </w:pPr>
            <w:r>
              <w:rPr>
                <w:rFonts w:ascii="Arial" w:cs="Arial" w:eastAsia="Arial" w:hAnsi="Arial"/>
                <w:sz w:val="18"/>
                <w:szCs w:val="18"/>
                <w:color w:val="auto"/>
              </w:rPr>
              <w:t>116,149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323.18</w:t>
            </w:r>
          </w:p>
        </w:tc>
        <w:tc>
          <w:tcPr>
            <w:tcW w:w="2300" w:type="dxa"/>
            <w:vAlign w:val="bottom"/>
          </w:tcPr>
          <w:p>
            <w:pPr>
              <w:jc w:val="right"/>
              <w:spacing w:after="0"/>
              <w:rPr>
                <w:sz w:val="20"/>
                <w:szCs w:val="20"/>
                <w:color w:val="auto"/>
              </w:rPr>
            </w:pPr>
            <w:r>
              <w:rPr>
                <w:rFonts w:ascii="Arial" w:cs="Arial" w:eastAsia="Arial" w:hAnsi="Arial"/>
                <w:sz w:val="18"/>
                <w:szCs w:val="18"/>
                <w:color w:val="auto"/>
              </w:rPr>
              <w:t>115,800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540" w:type="dxa"/>
            <w:vAlign w:val="bottom"/>
          </w:tcPr>
          <w:p>
            <w:pPr>
              <w:ind w:left="1540"/>
              <w:spacing w:after="0"/>
              <w:rPr>
                <w:sz w:val="20"/>
                <w:szCs w:val="20"/>
                <w:color w:val="auto"/>
              </w:rPr>
            </w:pPr>
            <w:r>
              <w:rPr>
                <w:rFonts w:ascii="Arial" w:cs="Arial" w:eastAsia="Arial" w:hAnsi="Arial"/>
                <w:sz w:val="18"/>
                <w:szCs w:val="18"/>
                <w:color w:val="auto"/>
              </w:rPr>
              <w:t>165,029</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2021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315.61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 xml:space="preserve">144,356 </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24"/>
        </w:trPr>
        <w:tc>
          <w:tcPr>
            <w:tcW w:w="1780" w:type="dxa"/>
            <w:vAlign w:val="bottom"/>
          </w:tcPr>
          <w:p>
            <w:pPr>
              <w:ind w:left="360"/>
              <w:spacing w:after="0"/>
              <w:rPr>
                <w:sz w:val="20"/>
                <w:szCs w:val="20"/>
                <w:color w:val="auto"/>
              </w:rPr>
            </w:pPr>
            <w:r>
              <w:rPr>
                <w:rFonts w:ascii="Arial" w:cs="Arial" w:eastAsia="Arial" w:hAnsi="Arial"/>
                <w:sz w:val="18"/>
                <w:szCs w:val="18"/>
                <w:color w:val="auto"/>
              </w:rPr>
              <w:t>Total</w:t>
            </w:r>
          </w:p>
        </w:tc>
        <w:tc>
          <w:tcPr>
            <w:tcW w:w="2080" w:type="dxa"/>
            <w:vAlign w:val="bottom"/>
          </w:tcPr>
          <w:p>
            <w:pPr>
              <w:jc w:val="right"/>
              <w:spacing w:after="0"/>
              <w:rPr>
                <w:sz w:val="20"/>
                <w:szCs w:val="20"/>
                <w:color w:val="auto"/>
              </w:rPr>
            </w:pPr>
            <w:r>
              <w:rPr>
                <w:rFonts w:ascii="Arial" w:cs="Arial" w:eastAsia="Arial" w:hAnsi="Arial"/>
                <w:sz w:val="18"/>
                <w:szCs w:val="18"/>
                <w:color w:val="auto"/>
              </w:rPr>
              <w:t>222,678</w:t>
            </w: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221,959</w:t>
            </w:r>
          </w:p>
        </w:tc>
        <w:tc>
          <w:tcPr>
            <w:tcW w:w="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8"/>
          <w:szCs w:val="18"/>
          <w:i w:val="1"/>
          <w:iCs w:val="1"/>
          <w:color w:val="auto"/>
        </w:rPr>
        <w:t xml:space="preserve">Includes 221,959 shares purchased under the existing stock repurchase program, as well as 719 shares repurchased </w:t>
      </w:r>
      <w:r>
        <w:rPr>
          <w:rFonts w:ascii="Arial" w:cs="Arial" w:eastAsia="Arial" w:hAnsi="Arial"/>
          <w:sz w:val="16"/>
          <w:szCs w:val="16"/>
          <w:i w:val="1"/>
          <w:iCs w:val="1"/>
          <w:color w:val="auto"/>
        </w:rPr>
        <w:t>to satisfy withholding tax obligations</w:t>
      </w:r>
      <w:r>
        <w:rPr>
          <w:rFonts w:ascii="Arial" w:cs="Arial" w:eastAsia="Arial" w:hAnsi="Arial"/>
          <w:sz w:val="18"/>
          <w:szCs w:val="18"/>
          <w:i w:val="1"/>
          <w:iCs w:val="1"/>
          <w:color w:val="auto"/>
        </w:rPr>
        <w:t xml:space="preserve"> </w:t>
      </w:r>
      <w:r>
        <w:rPr>
          <w:rFonts w:ascii="Arial" w:cs="Arial" w:eastAsia="Arial" w:hAnsi="Arial"/>
          <w:sz w:val="16"/>
          <w:szCs w:val="16"/>
          <w:i w:val="1"/>
          <w:iCs w:val="1"/>
          <w:color w:val="auto"/>
        </w:rPr>
        <w:t>due upon the vesting of stock-based awards and the exercise price due upon the exercise of stock option awards</w:t>
      </w:r>
      <w:r>
        <w:rPr>
          <w:rFonts w:ascii="Arial" w:cs="Arial" w:eastAsia="Arial" w:hAnsi="Arial"/>
          <w:sz w:val="17"/>
          <w:szCs w:val="17"/>
          <w:i w:val="1"/>
          <w:iCs w:val="1"/>
          <w:color w:val="auto"/>
        </w:rPr>
        <w:t>.</w:t>
      </w:r>
    </w:p>
    <w:p>
      <w:pPr>
        <w:spacing w:after="0" w:line="129" w:lineRule="exact"/>
        <w:rPr>
          <w:rFonts w:ascii="Arial" w:cs="Arial" w:eastAsia="Arial" w:hAnsi="Arial"/>
          <w:sz w:val="16"/>
          <w:szCs w:val="16"/>
          <w:i w:val="1"/>
          <w:iCs w:val="1"/>
          <w:color w:val="auto"/>
        </w:rPr>
      </w:pPr>
    </w:p>
    <w:p>
      <w:pPr>
        <w:jc w:val="both"/>
        <w:ind w:left="340" w:hanging="332"/>
        <w:spacing w:after="0" w:line="263" w:lineRule="auto"/>
        <w:tabs>
          <w:tab w:leader="none" w:pos="334"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43" w:lineRule="exact"/>
        <w:rPr>
          <w:rFonts w:ascii="Arial" w:cs="Arial" w:eastAsia="Arial" w:hAnsi="Arial"/>
          <w:sz w:val="18"/>
          <w:szCs w:val="18"/>
          <w:i w:val="1"/>
          <w:iCs w:val="1"/>
          <w:color w:val="auto"/>
        </w:rPr>
      </w:pPr>
    </w:p>
    <w:p>
      <w:pPr>
        <w:ind w:left="340" w:hanging="332"/>
        <w:spacing w:after="0" w:line="277" w:lineRule="auto"/>
        <w:tabs>
          <w:tab w:leader="none" w:pos="334"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On March 23, 2021, the Board of Directors of FactSet approved a $205.6 million increase to the existing share repurchase program. Subsequent to this approval, a total of $350.0 million is available for future share repurchases.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00" w:type="dxa"/>
            <w:vAlign w:val="bottom"/>
            <w:gridSpan w:val="2"/>
          </w:tcPr>
          <w:p>
            <w:pPr>
              <w:ind w:left="580"/>
              <w:spacing w:after="0"/>
              <w:rPr>
                <w:sz w:val="20"/>
                <w:szCs w:val="20"/>
                <w:color w:val="auto"/>
              </w:rPr>
            </w:pPr>
            <w:r>
              <w:rPr>
                <w:rFonts w:ascii="Arial" w:cs="Arial" w:eastAsia="Arial" w:hAnsi="Arial"/>
                <w:sz w:val="18"/>
                <w:szCs w:val="18"/>
                <w:color w:val="auto"/>
              </w:rPr>
              <w:t>Incorporated by Reference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w w:val="97"/>
              </w:rPr>
              <w:t>Exhibit Number</w:t>
            </w:r>
          </w:p>
        </w:tc>
        <w:tc>
          <w:tcPr>
            <w:tcW w:w="5120" w:type="dxa"/>
            <w:vAlign w:val="bottom"/>
          </w:tcPr>
          <w:p>
            <w:pPr>
              <w:ind w:left="2260"/>
              <w:spacing w:after="0"/>
              <w:rPr>
                <w:sz w:val="20"/>
                <w:szCs w:val="20"/>
                <w:color w:val="auto"/>
              </w:rPr>
            </w:pPr>
            <w:r>
              <w:rPr>
                <w:rFonts w:ascii="Arial" w:cs="Arial" w:eastAsia="Arial" w:hAnsi="Arial"/>
                <w:sz w:val="18"/>
                <w:szCs w:val="18"/>
                <w:color w:val="auto"/>
              </w:rPr>
              <w:t>Exhibit</w:t>
            </w:r>
          </w:p>
        </w:tc>
        <w:tc>
          <w:tcPr>
            <w:tcW w:w="780" w:type="dxa"/>
            <w:vAlign w:val="bottom"/>
          </w:tcPr>
          <w:p>
            <w:pPr>
              <w:ind w:left="140"/>
              <w:spacing w:after="0"/>
              <w:rPr>
                <w:sz w:val="20"/>
                <w:szCs w:val="20"/>
                <w:color w:val="auto"/>
              </w:rPr>
            </w:pPr>
            <w:r>
              <w:rPr>
                <w:rFonts w:ascii="Arial" w:cs="Arial" w:eastAsia="Arial" w:hAnsi="Arial"/>
                <w:sz w:val="18"/>
                <w:szCs w:val="18"/>
                <w:color w:val="auto"/>
              </w:rPr>
              <w:t>Form</w:t>
            </w:r>
          </w:p>
        </w:tc>
        <w:tc>
          <w:tcPr>
            <w:tcW w:w="1000" w:type="dxa"/>
            <w:vAlign w:val="bottom"/>
          </w:tcPr>
          <w:p>
            <w:pPr>
              <w:ind w:left="260"/>
              <w:spacing w:after="0"/>
              <w:rPr>
                <w:sz w:val="20"/>
                <w:szCs w:val="20"/>
                <w:color w:val="auto"/>
              </w:rPr>
            </w:pPr>
            <w:r>
              <w:rPr>
                <w:rFonts w:ascii="Arial" w:cs="Arial" w:eastAsia="Arial" w:hAnsi="Arial"/>
                <w:sz w:val="18"/>
                <w:szCs w:val="18"/>
                <w:color w:val="auto"/>
              </w:rPr>
              <w:t>File No.</w:t>
            </w:r>
          </w:p>
        </w:tc>
        <w:tc>
          <w:tcPr>
            <w:tcW w:w="2100" w:type="dxa"/>
            <w:vAlign w:val="bottom"/>
          </w:tcPr>
          <w:p>
            <w:pPr>
              <w:ind w:left="160"/>
              <w:spacing w:after="0"/>
              <w:rPr>
                <w:sz w:val="20"/>
                <w:szCs w:val="20"/>
                <w:color w:val="auto"/>
              </w:rPr>
            </w:pPr>
            <w:r>
              <w:rPr>
                <w:rFonts w:ascii="Arial" w:cs="Arial" w:eastAsia="Arial" w:hAnsi="Arial"/>
                <w:sz w:val="18"/>
                <w:szCs w:val="18"/>
                <w:color w:val="auto"/>
              </w:rPr>
              <w:t>Exhibit No.  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ind w:left="2100"/>
              <w:spacing w:after="0"/>
              <w:rPr>
                <w:sz w:val="20"/>
                <w:szCs w:val="20"/>
                <w:color w:val="auto"/>
              </w:rPr>
            </w:pPr>
            <w:r>
              <w:rPr>
                <w:rFonts w:ascii="Arial" w:cs="Arial" w:eastAsia="Arial" w:hAnsi="Arial"/>
                <w:sz w:val="18"/>
                <w:szCs w:val="18"/>
                <w:color w:val="auto"/>
              </w:rPr>
              <w:t>Description</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w w:val="98"/>
              </w:rPr>
              <w:t>Certification of the Chief Executive Officer pursuant to Rule 13a-</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Borders>
              <w:left w:val="single" w:sz="8" w:color="auto"/>
            </w:tcBorders>
            <w:gridSpan w:val="3"/>
          </w:tcPr>
          <w:p>
            <w:pPr>
              <w:ind w:left="40"/>
              <w:spacing w:after="0" w:line="190" w:lineRule="exact"/>
              <w:rPr>
                <w:rFonts w:ascii="Arial" w:cs="Arial" w:eastAsia="Arial" w:hAnsi="Arial"/>
                <w:sz w:val="18"/>
                <w:szCs w:val="18"/>
                <w:color w:val="0000FF"/>
              </w:rPr>
            </w:pPr>
            <w:hyperlink w:anchor="page53">
              <w:r>
                <w:rPr>
                  <w:rFonts w:ascii="Arial" w:cs="Arial" w:eastAsia="Arial" w:hAnsi="Arial"/>
                  <w:sz w:val="18"/>
                  <w:szCs w:val="18"/>
                  <w:color w:val="0000FF"/>
                </w:rPr>
                <w:t>31.1</w:t>
              </w:r>
            </w:hyperlink>
          </w:p>
        </w:tc>
        <w:tc>
          <w:tcPr>
            <w:tcW w:w="5120" w:type="dxa"/>
            <w:vAlign w:val="bottom"/>
          </w:tcPr>
          <w:p>
            <w:pPr>
              <w:ind w:left="40"/>
              <w:spacing w:after="0" w:line="190" w:lineRule="exact"/>
              <w:rPr>
                <w:sz w:val="20"/>
                <w:szCs w:val="20"/>
                <w:color w:val="auto"/>
              </w:rPr>
            </w:pPr>
            <w:r>
              <w:rPr>
                <w:rFonts w:ascii="Arial" w:cs="Arial" w:eastAsia="Arial" w:hAnsi="Arial"/>
                <w:sz w:val="18"/>
                <w:szCs w:val="18"/>
                <w:color w:val="auto"/>
              </w:rPr>
              <w:t>14(a) and Rule 15d-14(a) of the Securities Exchange Act, as</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amended</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Rule 13a-</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Borders>
              <w:left w:val="single" w:sz="8" w:color="auto"/>
            </w:tcBorders>
            <w:gridSpan w:val="3"/>
          </w:tcPr>
          <w:p>
            <w:pPr>
              <w:ind w:left="40"/>
              <w:spacing w:after="0" w:line="190" w:lineRule="exact"/>
              <w:rPr>
                <w:rFonts w:ascii="Arial" w:cs="Arial" w:eastAsia="Arial" w:hAnsi="Arial"/>
                <w:sz w:val="18"/>
                <w:szCs w:val="18"/>
                <w:color w:val="0000FF"/>
              </w:rPr>
            </w:pPr>
            <w:hyperlink w:anchor="page54">
              <w:r>
                <w:rPr>
                  <w:rFonts w:ascii="Arial" w:cs="Arial" w:eastAsia="Arial" w:hAnsi="Arial"/>
                  <w:sz w:val="18"/>
                  <w:szCs w:val="18"/>
                  <w:color w:val="0000FF"/>
                </w:rPr>
                <w:t>31.2</w:t>
              </w:r>
            </w:hyperlink>
          </w:p>
        </w:tc>
        <w:tc>
          <w:tcPr>
            <w:tcW w:w="5120" w:type="dxa"/>
            <w:vAlign w:val="bottom"/>
          </w:tcPr>
          <w:p>
            <w:pPr>
              <w:ind w:left="40"/>
              <w:spacing w:after="0" w:line="190" w:lineRule="exact"/>
              <w:rPr>
                <w:sz w:val="20"/>
                <w:szCs w:val="20"/>
                <w:color w:val="auto"/>
              </w:rPr>
            </w:pPr>
            <w:r>
              <w:rPr>
                <w:rFonts w:ascii="Arial" w:cs="Arial" w:eastAsia="Arial" w:hAnsi="Arial"/>
                <w:sz w:val="18"/>
                <w:szCs w:val="18"/>
                <w:color w:val="auto"/>
              </w:rPr>
              <w:t>14(a) and Rule 15d-14(a) of the Securities Exchange Act, as</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amended</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w w:val="98"/>
              </w:rPr>
              <w:t>Certification of the Chief Executive Officer pursuant to 18 U.S.C.</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Borders>
              <w:left w:val="single" w:sz="8" w:color="auto"/>
            </w:tcBorders>
            <w:gridSpan w:val="3"/>
          </w:tcPr>
          <w:p>
            <w:pPr>
              <w:ind w:left="40"/>
              <w:spacing w:after="0" w:line="190" w:lineRule="exact"/>
              <w:rPr>
                <w:rFonts w:ascii="Arial" w:cs="Arial" w:eastAsia="Arial" w:hAnsi="Arial"/>
                <w:sz w:val="18"/>
                <w:szCs w:val="18"/>
                <w:color w:val="0000FF"/>
              </w:rPr>
            </w:pPr>
            <w:hyperlink w:anchor="page55">
              <w:r>
                <w:rPr>
                  <w:rFonts w:ascii="Arial" w:cs="Arial" w:eastAsia="Arial" w:hAnsi="Arial"/>
                  <w:sz w:val="18"/>
                  <w:szCs w:val="18"/>
                  <w:color w:val="0000FF"/>
                </w:rPr>
                <w:t>32.1</w:t>
              </w:r>
            </w:hyperlink>
          </w:p>
        </w:tc>
        <w:tc>
          <w:tcPr>
            <w:tcW w:w="5120" w:type="dxa"/>
            <w:vAlign w:val="bottom"/>
          </w:tcPr>
          <w:p>
            <w:pPr>
              <w:ind w:left="40"/>
              <w:spacing w:after="0" w:line="190" w:lineRule="exact"/>
              <w:rPr>
                <w:sz w:val="20"/>
                <w:szCs w:val="20"/>
                <w:color w:val="auto"/>
              </w:rPr>
            </w:pPr>
            <w:r>
              <w:rPr>
                <w:rFonts w:ascii="Arial" w:cs="Arial" w:eastAsia="Arial" w:hAnsi="Arial"/>
                <w:sz w:val="18"/>
                <w:szCs w:val="18"/>
                <w:color w:val="auto"/>
                <w:w w:val="92"/>
              </w:rPr>
              <w:t>1350, as adopted pursuant to Section 906 of the Sarbanes-Oxley Act</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of 2002</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18 U.S.C.</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Borders>
              <w:left w:val="single" w:sz="8" w:color="auto"/>
            </w:tcBorders>
            <w:gridSpan w:val="3"/>
          </w:tcPr>
          <w:p>
            <w:pPr>
              <w:ind w:left="40"/>
              <w:spacing w:after="0" w:line="190" w:lineRule="exact"/>
              <w:rPr>
                <w:rFonts w:ascii="Arial" w:cs="Arial" w:eastAsia="Arial" w:hAnsi="Arial"/>
                <w:sz w:val="18"/>
                <w:szCs w:val="18"/>
                <w:color w:val="0000FF"/>
              </w:rPr>
            </w:pPr>
            <w:hyperlink w:anchor="page56">
              <w:r>
                <w:rPr>
                  <w:rFonts w:ascii="Arial" w:cs="Arial" w:eastAsia="Arial" w:hAnsi="Arial"/>
                  <w:sz w:val="18"/>
                  <w:szCs w:val="18"/>
                  <w:color w:val="0000FF"/>
                </w:rPr>
                <w:t>32.2</w:t>
              </w:r>
            </w:hyperlink>
          </w:p>
        </w:tc>
        <w:tc>
          <w:tcPr>
            <w:tcW w:w="5120" w:type="dxa"/>
            <w:vAlign w:val="bottom"/>
          </w:tcPr>
          <w:p>
            <w:pPr>
              <w:ind w:left="40"/>
              <w:spacing w:after="0" w:line="190" w:lineRule="exact"/>
              <w:rPr>
                <w:sz w:val="20"/>
                <w:szCs w:val="20"/>
                <w:color w:val="auto"/>
              </w:rPr>
            </w:pPr>
            <w:r>
              <w:rPr>
                <w:rFonts w:ascii="Arial" w:cs="Arial" w:eastAsia="Arial" w:hAnsi="Arial"/>
                <w:sz w:val="18"/>
                <w:szCs w:val="18"/>
                <w:color w:val="auto"/>
                <w:w w:val="92"/>
              </w:rPr>
              <w:t>1350, as adopted pursuant to Section 906 of the Sarbanes-Oxley Act</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of 2002</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0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101.INS</w:t>
            </w:r>
          </w:p>
        </w:tc>
        <w:tc>
          <w:tcPr>
            <w:tcW w:w="5120" w:type="dxa"/>
            <w:vAlign w:val="bottom"/>
          </w:tcPr>
          <w:p>
            <w:pPr>
              <w:ind w:left="40"/>
              <w:spacing w:after="0"/>
              <w:rPr>
                <w:sz w:val="20"/>
                <w:szCs w:val="20"/>
                <w:color w:val="auto"/>
              </w:rPr>
            </w:pPr>
            <w:r>
              <w:rPr>
                <w:rFonts w:ascii="Arial" w:cs="Arial" w:eastAsia="Arial" w:hAnsi="Arial"/>
                <w:sz w:val="18"/>
                <w:szCs w:val="18"/>
                <w:color w:val="212529"/>
                <w:w w:val="92"/>
              </w:rPr>
              <w:t>XBRL Instance Document - The instance document does not appear</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Borders>
              <w:left w:val="single" w:sz="8" w:color="auto"/>
            </w:tcBorders>
            <w:gridSpan w:val="3"/>
            <w:vMerge w:val="continue"/>
          </w:tcPr>
          <w:p>
            <w:pPr>
              <w:spacing w:after="0"/>
              <w:rPr>
                <w:sz w:val="17"/>
                <w:szCs w:val="17"/>
                <w:color w:val="auto"/>
              </w:rPr>
            </w:pPr>
          </w:p>
        </w:tc>
        <w:tc>
          <w:tcPr>
            <w:tcW w:w="5120" w:type="dxa"/>
            <w:vAlign w:val="bottom"/>
          </w:tcPr>
          <w:p>
            <w:pPr>
              <w:ind w:left="40"/>
              <w:spacing w:after="0" w:line="202" w:lineRule="exact"/>
              <w:rPr>
                <w:sz w:val="20"/>
                <w:szCs w:val="20"/>
                <w:color w:val="auto"/>
              </w:rPr>
            </w:pPr>
            <w:r>
              <w:rPr>
                <w:rFonts w:ascii="Arial" w:cs="Arial" w:eastAsia="Arial" w:hAnsi="Arial"/>
                <w:sz w:val="18"/>
                <w:szCs w:val="18"/>
                <w:color w:val="212529"/>
                <w:w w:val="99"/>
              </w:rPr>
              <w:t>in the interactive data file because its XBRL tags are embedded</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212529"/>
              </w:rPr>
              <w:t>within the Inline XBRL document</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101.SCH</w:t>
            </w:r>
          </w:p>
        </w:tc>
        <w:tc>
          <w:tcPr>
            <w:tcW w:w="512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101.CAL</w:t>
            </w:r>
          </w:p>
        </w:tc>
        <w:tc>
          <w:tcPr>
            <w:tcW w:w="512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101.DEF</w:t>
            </w:r>
          </w:p>
        </w:tc>
        <w:tc>
          <w:tcPr>
            <w:tcW w:w="512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101.LAB</w:t>
            </w:r>
          </w:p>
        </w:tc>
        <w:tc>
          <w:tcPr>
            <w:tcW w:w="512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101.PRE</w:t>
            </w:r>
          </w:p>
        </w:tc>
        <w:tc>
          <w:tcPr>
            <w:tcW w:w="512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9"/>
              </w:rPr>
              <w:t>104</w:t>
            </w:r>
          </w:p>
        </w:tc>
        <w:tc>
          <w:tcPr>
            <w:tcW w:w="940" w:type="dxa"/>
            <w:vAlign w:val="bottom"/>
          </w:tcPr>
          <w:p>
            <w:pPr>
              <w:spacing w:after="0"/>
              <w:rPr>
                <w:sz w:val="14"/>
                <w:szCs w:val="14"/>
                <w:color w:val="auto"/>
              </w:rPr>
            </w:pPr>
          </w:p>
        </w:tc>
        <w:tc>
          <w:tcPr>
            <w:tcW w:w="5120" w:type="dxa"/>
            <w:vAlign w:val="bottom"/>
          </w:tcPr>
          <w:p>
            <w:pPr>
              <w:ind w:left="40"/>
              <w:spacing w:after="0" w:line="169" w:lineRule="exact"/>
              <w:rPr>
                <w:sz w:val="20"/>
                <w:szCs w:val="20"/>
                <w:color w:val="auto"/>
              </w:rPr>
            </w:pPr>
            <w:r>
              <w:rPr>
                <w:rFonts w:ascii="Arial" w:cs="Arial" w:eastAsia="Arial" w:hAnsi="Arial"/>
                <w:sz w:val="18"/>
                <w:szCs w:val="18"/>
                <w:color w:val="auto"/>
              </w:rPr>
              <w:t>Cover page Interactive Data File (formatted as Inline XBRL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contained in Exhibit 101)</w:t>
            </w: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6420" w:type="dxa"/>
            <w:vAlign w:val="bottom"/>
            <w:gridSpan w:val="4"/>
          </w:tcPr>
          <w:p>
            <w:pPr>
              <w:spacing w:after="0"/>
              <w:rPr>
                <w:sz w:val="20"/>
                <w:szCs w:val="20"/>
                <w:color w:val="auto"/>
              </w:rPr>
            </w:pPr>
            <w:r>
              <w:rPr>
                <w:rFonts w:ascii="Arial" w:cs="Arial" w:eastAsia="Arial" w:hAnsi="Arial"/>
                <w:sz w:val="18"/>
                <w:szCs w:val="18"/>
                <w:i w:val="1"/>
                <w:iCs w:val="1"/>
                <w:color w:val="auto"/>
              </w:rPr>
              <w:t>(1) Indicates a management contract or compensatory plan or arrangement</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tcPr>
          <w:p>
            <w:pPr>
              <w:ind w:left="424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6000" w:type="dxa"/>
            <w:vAlign w:val="bottom"/>
          </w:tcPr>
          <w:p>
            <w:pPr>
              <w:ind w:left="20"/>
              <w:spacing w:after="0" w:line="178" w:lineRule="exact"/>
              <w:rPr>
                <w:sz w:val="20"/>
                <w:szCs w:val="20"/>
                <w:color w:val="auto"/>
              </w:rPr>
            </w:pPr>
            <w:r>
              <w:rPr>
                <w:rFonts w:ascii="Arial" w:cs="Arial" w:eastAsia="Arial" w:hAnsi="Arial"/>
                <w:sz w:val="18"/>
                <w:szCs w:val="18"/>
                <w:color w:val="auto"/>
              </w:rPr>
              <w:t>FACTSET RESEARCH SYSTEMS INC.</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58"/>
        </w:trPr>
        <w:tc>
          <w:tcPr>
            <w:tcW w:w="5220" w:type="dxa"/>
            <w:vAlign w:val="bottom"/>
          </w:tcPr>
          <w:p>
            <w:pPr>
              <w:spacing w:after="0"/>
              <w:rPr>
                <w:sz w:val="20"/>
                <w:szCs w:val="20"/>
                <w:color w:val="auto"/>
              </w:rPr>
            </w:pPr>
            <w:r>
              <w:rPr>
                <w:rFonts w:ascii="Arial" w:cs="Arial" w:eastAsia="Arial" w:hAnsi="Arial"/>
                <w:sz w:val="18"/>
                <w:szCs w:val="18"/>
                <w:color w:val="auto"/>
              </w:rPr>
              <w:t>Date: April 5, 2021</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HELEN L. SHAN</w:t>
            </w:r>
          </w:p>
        </w:tc>
      </w:tr>
      <w:tr>
        <w:trPr>
          <w:trHeight w:val="222"/>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Helen L. Shan</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T. MOSKOFF</w:t>
            </w:r>
          </w:p>
        </w:tc>
      </w:tr>
      <w:tr>
        <w:trPr>
          <w:trHeight w:val="222"/>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2" w:name="page53"/>
    <w:bookmarkEnd w:id="52"/>
    <w:p>
      <w:pPr>
        <w:ind w:left="10120"/>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84"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hanging="486"/>
        <w:spacing w:after="0" w:line="263"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980" w:hanging="486"/>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486"/>
        <w:spacing w:after="0" w:line="308" w:lineRule="auto"/>
        <w:tabs>
          <w:tab w:leader="none" w:pos="97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980" w:hanging="486"/>
        <w:spacing w:after="0" w:line="342" w:lineRule="auto"/>
        <w:tabs>
          <w:tab w:leader="none" w:pos="96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6" w:lineRule="exact"/>
        <w:rPr>
          <w:rFonts w:ascii="Arial" w:cs="Arial" w:eastAsia="Arial" w:hAnsi="Arial"/>
          <w:sz w:val="16"/>
          <w:szCs w:val="16"/>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80" w:right="20" w:hanging="486"/>
        <w:spacing w:after="0" w:line="27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5,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3" w:name="page54"/>
    <w:bookmarkEnd w:id="53"/>
    <w:p>
      <w:pPr>
        <w:ind w:left="1012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98"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hanging="486"/>
        <w:spacing w:after="0" w:line="263"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980" w:hanging="486"/>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486"/>
        <w:spacing w:after="0" w:line="308" w:lineRule="auto"/>
        <w:tabs>
          <w:tab w:leader="none" w:pos="9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980" w:hanging="486"/>
        <w:spacing w:after="0" w:line="342" w:lineRule="auto"/>
        <w:tabs>
          <w:tab w:leader="none" w:pos="96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3" w:lineRule="exact"/>
        <w:rPr>
          <w:rFonts w:ascii="Arial" w:cs="Arial" w:eastAsia="Arial" w:hAnsi="Arial"/>
          <w:sz w:val="16"/>
          <w:szCs w:val="16"/>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right="20" w:hanging="486"/>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5, 2021</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Helen L. Shan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6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February 28, 2021, as filed with the Securities and Exchange Commission on the date hereof (the “Report”), I, F. Philip Snow,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F.Philip Snow</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5, 2021</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February 28, 2021, as filed with the Securities and Exchange Commission on the date hereof (the “Report”), I, Helen L. Shan,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Helen L. Shan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5,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Letter"/>
      <w:start w:val="1"/>
    </w:lvl>
    <w:lvl w:ilvl="1">
      <w:lvlJc w:val="left"/>
      <w:lvlText w:val="%2."/>
      <w:numFmt w:val="decimal"/>
      <w:start w:val="3"/>
    </w:lvl>
  </w:abstractNum>
  <w:abstractNum w:abstractNumId="4">
    <w:nsid w:val="66EF438D"/>
    <w:multiLevelType w:val="hybridMultilevel"/>
    <w:lvl w:ilvl="0">
      <w:lvlJc w:val="left"/>
      <w:lvlText w:val="(%1)"/>
      <w:numFmt w:val="lowerLetter"/>
      <w:start w:val="2"/>
    </w:lvl>
    <w:lvl w:ilvl="1">
      <w:lvlJc w:val="left"/>
      <w:lvlText w:val="%2"/>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2021-04-05T07:38:03Z</dcterms:created>
  <dcterms:modified xsi:type="dcterms:W3CDTF">2021-04-05T07:38:03Z</dcterms:modified>
</cp:coreProperties>
</file>