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30, 2025</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December 29, 2025 was 37,099,259.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November 30, 2025</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940" w:type="dxa"/>
            <w:vAlign w:val="bottom"/>
            <w:vMerge w:val="continue"/>
          </w:tcPr>
          <w:p>
            <w:pPr>
              <w:spacing w:after="0"/>
              <w:rPr>
                <w:sz w:val="19"/>
                <w:szCs w:val="19"/>
                <w:color w:val="auto"/>
              </w:rPr>
            </w:pPr>
          </w:p>
        </w:tc>
        <w:tc>
          <w:tcPr>
            <w:tcW w:w="95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November 30, 2025 and November 30, 2024</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November 30, 2025 and November 30, 2024</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November 30, 2025 and August 31, 2025</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November 30, 2025 and November 30, 2024</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95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November 30, 2025 and November 30,</w:t>
            </w:r>
          </w:p>
        </w:tc>
        <w:tc>
          <w:tcPr>
            <w:tcW w:w="72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9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95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Signatures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express management's current views concerning expectations, estimates, trends, forecasts and projections about future events, trends, contingencies, and circumstances, industries in which FactSet operates and the beliefs and assumptions of management. These statements may include projections of our future financial performance and anticipated trends in our business. In some cases, you can identify these statements by words such as "may," "might," "will," "should," "expects," "plans," "anticipates," "believes," "estimates," "intends," "projects," "indicates," "predicts," "potential," or "continue," and the negatives of those terms and similar expressions. Statements concerning our financial position, business strategy and plans or objectives for future operations are forward-looking statements.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Forward-looking statements are not guarantees of future performance and involve a number of known and unknown risks, uncertainties and assumptions. Factors that could cause our actual results, level of activity, performance or achievements to differ materially from those expressed or implied in forward-looking statements include, among others, the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2025,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that should be specifically considered. FactSet cautions readers not to place undue reliance on any forward-looking statements, which speak only as of the dates on which they are made. FactSet undertakes no obligations to update or revise any forward-looking statement to reflect results, revised expectations, events or circumstances arising after the date on which it is made, except as required by applicable law.</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287,916</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258,779</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118,553</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415,550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377,332</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191,335</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179,739</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37,615</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151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r>
      <w:tr>
        <w:trPr>
          <w:trHeight w:val="44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34"/>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(17,619)</w:t>
            </w:r>
          </w:p>
        </w:tc>
      </w:tr>
      <w:tr>
        <w:trPr>
          <w:trHeight w:val="223"/>
        </w:trPr>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760"/>
          </w:cols>
          <w:pgMar w:left="320" w:top="121" w:right="359" w:bottom="1440" w:gutter="0" w:footer="0" w:header="0"/>
        </w:sectPr>
      </w:pPr>
    </w:p>
    <w:p>
      <w:pPr>
        <w:spacing w:after="0" w:line="56"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$1,026 thousand and $1,105 thousand for the three months ended November 30, 2025 and November 30, 2024, respectively.</w:t>
      </w:r>
    </w:p>
    <w:p>
      <w:pPr>
        <w:spacing w:after="0" w:line="187" w:lineRule="exact"/>
        <w:rPr>
          <w:rFonts w:ascii="Times New Roman" w:cs="Times New Roman" w:eastAsia="Times New Roman" w:hAnsi="Times New Roman"/>
          <w:sz w:val="16"/>
          <w:szCs w:val="16"/>
          <w:color w:val="auto"/>
        </w:rPr>
      </w:pPr>
    </w:p>
    <w:p>
      <w:pPr>
        <w:ind w:left="2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2025</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337,651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$13,308 at November 30, 2025 and $13,789 at August 31, 2025</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100,851</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708,572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729,759</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1,279,593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1,284,708</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1,899,838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1,916,102</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61,226</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121,776</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62,681</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105,498</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4,220,784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4,304,272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135,262</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130,596</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162,586</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167,852</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41,410</w:t>
            </w:r>
          </w:p>
        </w:tc>
      </w:tr>
      <w:tr>
        <w:trPr>
          <w:trHeight w:val="223"/>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458,772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1,368,738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1,368,260</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157,104</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2,052,900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2,117,859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1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43,110,694 and 43,013,266 shares</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37,243,824 and 37,645,870 shares outstanding at November 30, 2025 and August 31, 2025,</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1,648,754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1,621,753</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5,866,870 and 5,367,396 shares at November 30, 2025 and August 31, 2025,</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(1,842,292)</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(1,695,429)</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2,435,018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2,323,407</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(63,748)</w:t>
            </w:r>
          </w:p>
        </w:tc>
      </w:tr>
      <w:tr>
        <w:trPr>
          <w:trHeight w:val="223"/>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2,186,413</w:t>
            </w:r>
          </w:p>
        </w:tc>
      </w:tr>
      <w:tr>
        <w:trPr>
          <w:trHeight w:val="22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4,220,784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4,304,272</w:t>
            </w:r>
          </w:p>
        </w:tc>
      </w:tr>
      <w:tr>
        <w:trPr>
          <w:trHeight w:val="20"/>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23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(38,793)</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86,372</w:t>
            </w:r>
          </w:p>
        </w:tc>
        <w:tc>
          <w:tcPr>
            <w:tcW w:w="0" w:type="dxa"/>
            <w:vAlign w:val="bottom"/>
          </w:tcPr>
          <w:p>
            <w:pPr>
              <w:spacing w:after="0"/>
              <w:rPr>
                <w:sz w:val="1"/>
                <w:szCs w:val="1"/>
                <w:color w:val="auto"/>
              </w:rPr>
            </w:pPr>
          </w:p>
        </w:tc>
      </w:tr>
      <w:tr>
        <w:trPr>
          <w:trHeight w:val="148"/>
        </w:trPr>
        <w:tc>
          <w:tcPr>
            <w:tcW w:w="86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(115,199)</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0" w:type="dxa"/>
            <w:vAlign w:val="bottom"/>
          </w:tcPr>
          <w:p>
            <w:pPr>
              <w:spacing w:after="0"/>
              <w:rPr>
                <w:sz w:val="1"/>
                <w:szCs w:val="1"/>
                <w:color w:val="auto"/>
              </w:rPr>
            </w:pPr>
          </w:p>
        </w:tc>
      </w:tr>
      <w:tr>
        <w:trPr>
          <w:trHeight w:val="149"/>
        </w:trPr>
        <w:tc>
          <w:tcPr>
            <w:tcW w:w="86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acquisition consideration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(70,071)</w:t>
            </w:r>
          </w:p>
        </w:tc>
        <w:tc>
          <w:tcPr>
            <w:tcW w:w="0" w:type="dxa"/>
            <w:vAlign w:val="bottom"/>
          </w:tcPr>
          <w:p>
            <w:pPr>
              <w:spacing w:after="0"/>
              <w:rPr>
                <w:sz w:val="1"/>
                <w:szCs w:val="1"/>
                <w:color w:val="auto"/>
              </w:rPr>
            </w:pPr>
          </w:p>
        </w:tc>
      </w:tr>
      <w:tr>
        <w:trPr>
          <w:trHeight w:val="148"/>
        </w:trPr>
        <w:tc>
          <w:tcPr>
            <w:tcW w:w="86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351,695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289,168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2900"/>
        <w:spacing w:after="0" w:line="286" w:lineRule="auto"/>
        <w:rPr>
          <w:sz w:val="20"/>
          <w:szCs w:val="20"/>
          <w:color w:val="auto"/>
        </w:rPr>
      </w:pPr>
      <w:r>
        <w:rPr>
          <w:rFonts w:ascii="Times New Roman" w:cs="Times New Roman" w:eastAsia="Times New Roman" w:hAnsi="Times New Roman"/>
          <w:sz w:val="18"/>
          <w:szCs w:val="18"/>
          <w:color w:val="auto"/>
        </w:rPr>
        <w:t>Restricted cash included in Prepaid expenses and other current assets Restricted cash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289,168</w:t>
            </w:r>
          </w:p>
        </w:tc>
      </w:tr>
      <w:tr>
        <w:trPr>
          <w:trHeight w:val="229"/>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7900" w:space="720"/>
            <w:col w:w="262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43,013,266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1,621,753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5,367,396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(1,695,429)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2,323,407</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2,186,413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152,580</w:t>
            </w:r>
          </w:p>
        </w:tc>
        <w:tc>
          <w:tcPr>
            <w:tcW w:w="16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152,580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40,991</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8,545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8,545</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(5,695)</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(139,899)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(139,899)</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18,457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(40,969)</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(40,969)</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43,110,694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1,648,754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5,866,870</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(1,842,292)</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2,435,018</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(74,027)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2,167,884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ind w:right="22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line="20" w:lineRule="exact"/>
              <w:rPr>
                <w:sz w:val="1"/>
                <w:szCs w:val="1"/>
                <w:color w:val="auto"/>
              </w:rPr>
            </w:pPr>
          </w:p>
        </w:tc>
        <w:tc>
          <w:tcPr>
            <w:tcW w:w="110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8"/>
                <w:szCs w:val="8"/>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1,478,839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(20,808)</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161,097</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38,848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38,679</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13,592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42,830,024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1,531,278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4,780,213</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(1,438,678)</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1,998,954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1,991,561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tcBorders>
              <w:top w:val="single" w:sz="8" w:color="CCEEFF"/>
            </w:tcBorders>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9</w:t>
            </w:r>
          </w:p>
        </w:tc>
        <w:tc>
          <w:tcPr>
            <w:tcW w:w="47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artificial intelligence ("AI")-powered technologies used by global financial professionals to power their critical investment workflows. As of November 30, 2025, we had more than 9,000 clients comprised of over 239,000 investment professionals, including institutional asset managers, bankers, wealth managers, asset owners,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client service team.</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on our segments. Within each segment, we offer data, products and analytical applications by firm type: Institutional Buyside, Dealmakers, Wealth, and Market Infrastructure. In fiscal 2026, we renamed "Partnerships and CGS" to "Market Infrastructure".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2025. The accompanying unaudited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2025, Deferred revenues, non-current were included within Other liabilities in the Consolidated Balance Sheets. We conformed the comparative prior year figures to the current year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period. Significant estimation may be involved in the accounting for income taxes, stock-based compensation, goodwill, business combinations, property, equipment and leasehold improvements ("PPE"), intangible assets and contingencies.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restricted cash, investments in mutual funds, accounts receivable and derivative instruments. The maximum credit exposure of our cash, cash equivalents, restricted cash, investments in mutual funds and accounts receivable is their carrying values as of the balance sheet date. The maximum credit exposure related to our derivative instruments is based upon their respective gross fair values as of the balance sheet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November 30, 2025, our accounts receivable reserve was $13.3 million. We do not require collateral from our clients; however, no single client represented more than 3.5% of our total revenues for the three months ended November 30, 2025. Due to our large and geographically dispersed client base, our concentration of credit risk related to our accounts receivable is generally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one data supplier representing more than 10% of our total data costs for the three months ended November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three months ended November 30, 2025. We maintain back-up facilities and other redundancies at our data centers, take security measures and have emergency planning procedures to minimize the risk that an event will disrupt our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three months ended November 30, 2025 that had a material impact on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 Internal-Use Software</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350-40) - Targeted Improvements to the Accounting for Internal-Use Software</w:t>
      </w:r>
      <w:r>
        <w:rPr>
          <w:rFonts w:ascii="Times New Roman" w:cs="Times New Roman" w:eastAsia="Times New Roman" w:hAnsi="Times New Roman"/>
          <w:sz w:val="18"/>
          <w:szCs w:val="18"/>
          <w:color w:val="auto"/>
        </w:rPr>
        <w:t>. This ASU removes all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and requires entities to start capitalizing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eligible software costs when management has authorized and committed to funding the software project and it is probable that the project will be completed and the software will be used to perform the function intended. The amendments in this ASU can be applied using a prospective, modified, or retrospective transition approach, and are effective for our interim and annual periods starting in fiscal 2029. Early adoption is permitted at the beginning of an annual period. We are currently assessing the impact of the new requirements on our Consolidated Financial Statements and disclosures.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Disaggregation of Income Statement Expenses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 Disaggregation of Income Statement Expenses</w:t>
      </w:r>
      <w:r>
        <w:rPr>
          <w:rFonts w:ascii="Times New Roman" w:cs="Times New Roman" w:eastAsia="Times New Roman" w:hAnsi="Times New Roman"/>
          <w:sz w:val="18"/>
          <w:szCs w:val="18"/>
          <w:color w:val="auto"/>
        </w:rPr>
        <w:t>. This ASU requires disaggregation of certain income statement expense captions into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Disclosures - The Enhancement and Standardization of Climate-Related Disclosures for Investors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a final rule under SEC Release Nos. 33-11275 and 34-99678,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which would require disclosure of certain climate-related information in various filings with the SEC. In April 2024,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stayed implementation of the final rule pending completion of judicial review. In March 2025, the SEC stated that it has ended its defense of the rule. We are currently monitoring the legal challenges and assessing the potential impact of the rule on our disclosures.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three months ended November 30, 2025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subscription-based service that provides access to a database of universally recognized security identifiers and related descriptive data for issuers and their financial instruments (referred to as the "Identifier Platform").</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We record revenues net of sales taxes which are subsequently remitted to taxing authorities and are excluded from the transaction price. There are no significant judgments that would impact the timing of revenue recognition.</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vMerge w:val="continue"/>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396,176</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367,242</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149,517</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143,725</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61,928</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0" w:type="dxa"/>
            <w:vAlign w:val="bottom"/>
          </w:tcPr>
          <w:p>
            <w:pPr>
              <w:spacing w:after="0"/>
              <w:rPr>
                <w:sz w:val="1"/>
                <w:szCs w:val="1"/>
                <w:color w:val="auto"/>
              </w:rPr>
            </w:pPr>
          </w:p>
        </w:tc>
      </w:tr>
      <w:tr>
        <w:trPr>
          <w:trHeight w:val="237"/>
        </w:trPr>
        <w:tc>
          <w:tcPr>
            <w:tcW w:w="6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607,621</w:t>
            </w:r>
          </w:p>
        </w:tc>
        <w:tc>
          <w:tcPr>
            <w:tcW w:w="5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November 30, 2025 and August 31, 2025. We did not have any transfers between levels of fair value measurements during the three months ended November 30, 2025 and the fiscal year ended August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Fair Value Measurements as of November 30, 2025</w:t>
            </w:r>
          </w:p>
        </w:tc>
        <w:tc>
          <w:tcPr>
            <w:tcW w:w="108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12,931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12,931 $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Fair Value Measurements as of August 31, 2025</w:t>
            </w:r>
          </w:p>
        </w:tc>
        <w:tc>
          <w:tcPr>
            <w:tcW w:w="108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29,684</w:t>
            </w:r>
          </w:p>
        </w:tc>
      </w:tr>
      <w:tr>
        <w:trPr>
          <w:trHeight w:val="256"/>
        </w:trPr>
        <w:tc>
          <w:tcPr>
            <w:tcW w:w="20" w:type="dxa"/>
            <w:vAlign w:val="bottom"/>
          </w:tcPr>
          <w:p>
            <w:pPr>
              <w:spacing w:after="0"/>
              <w:rPr>
                <w:sz w:val="22"/>
                <w:szCs w:val="22"/>
                <w:color w:val="auto"/>
              </w:rPr>
            </w:pPr>
          </w:p>
        </w:tc>
        <w:tc>
          <w:tcPr>
            <w:tcW w:w="5120" w:type="dxa"/>
            <w:vAlign w:val="bottom"/>
            <w:gridSpan w:val="3"/>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24,126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24,126 $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24,934</w:t>
            </w:r>
          </w:p>
        </w:tc>
      </w:tr>
    </w:tbl>
    <w:p>
      <w:pPr>
        <w:spacing w:after="0" w:line="184" w:lineRule="exact"/>
        <w:rPr>
          <w:sz w:val="20"/>
          <w:szCs w:val="20"/>
          <w:color w:val="auto"/>
        </w:rPr>
      </w:pPr>
    </w:p>
    <w:p>
      <w:pPr>
        <w:ind w:left="260" w:hanging="252"/>
        <w:spacing w:after="0" w:line="280" w:lineRule="auto"/>
        <w:tabs>
          <w:tab w:leader="none" w:pos="2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spacing w:after="0" w:line="56"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each underlying investment is based on observable inputs. Our mutual funds are included in Investments within the Consolidated Balance Sheets.</w:t>
      </w:r>
    </w:p>
    <w:p>
      <w:pPr>
        <w:spacing w:after="0" w:line="76" w:lineRule="exact"/>
        <w:rPr>
          <w:rFonts w:ascii="Times New Roman" w:cs="Times New Roman" w:eastAsia="Times New Roman" w:hAnsi="Times New Roman"/>
          <w:sz w:val="16"/>
          <w:szCs w:val="16"/>
          <w:color w:val="auto"/>
        </w:rPr>
      </w:pPr>
    </w:p>
    <w:p>
      <w:pPr>
        <w:jc w:val="both"/>
        <w:ind w:left="260" w:hanging="252"/>
        <w:spacing w:after="0" w:line="259"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derivative instruments included our foreign exchange forward contracts and interest rate swap agreements. We utilized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utilized a present value of future cash flows, leveraging a model-derived valuation that uses observable inputs such as interest rate yield curves. Our derivative instruments in an asset position are included in Prepaid expenses and other current assets and those in a liability position are included in Accounts payable and accrued expenses within the Consolidated Balance Sheets.</w:t>
      </w:r>
    </w:p>
    <w:p>
      <w:pPr>
        <w:spacing w:after="0" w:line="87" w:lineRule="exact"/>
        <w:rPr>
          <w:rFonts w:ascii="Times New Roman" w:cs="Times New Roman" w:eastAsia="Times New Roman" w:hAnsi="Times New Roman"/>
          <w:sz w:val="16"/>
          <w:szCs w:val="16"/>
          <w:color w:val="auto"/>
        </w:rPr>
      </w:pPr>
    </w:p>
    <w:p>
      <w:pPr>
        <w:jc w:val="both"/>
        <w:ind w:left="260" w:hanging="252"/>
        <w:spacing w:after="0" w:line="263" w:lineRule="auto"/>
        <w:tabs>
          <w:tab w:leader="none" w:pos="25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contingent liabilities resulted from the acquisitions of various businesses. These liabilities reflect the present value of potential future payments that are contingent upon the achievement of certain specified milestones and are valued using a scenario-based method. This method incorporates unobservable inputs and assumptions made by management, including the probability of achieving specified milestones, expected time until payment and the discount rate. Refer to Note 5,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more information on the contingent liabilities associated with the Liquid Holdings LLC ("LiquidityBook") and Platform Group Limited ("Irwin") acquisitions.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elected not to carry our debt at fair value on the Consolidated Balance Sheets. Our Senior Notes are publicly traded; therefore, the fair value of our Senior Notes is estimated based on quoted prices in active markets as of the last business day of the reporting period, which are considered Level 1 inputs. The fair value of our 2025 Credit Facilities was estimated based on quoted market prices for similar instruments, adjusted for unobservable inputs for comparability to our investment rating, maturity terms and principal outstanding, which are considered Level 3 inputs.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2025 Credit Facilities.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November 30, 2025 and August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November 30, 2025</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180"/>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center"/>
              <w:ind w:left="41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auto"/>
            </w:tcBorders>
            <w:gridSpan w:val="2"/>
            <w:vMerge w:val="continue"/>
          </w:tcPr>
          <w:p>
            <w:pPr>
              <w:spacing w:after="0"/>
              <w:rPr>
                <w:sz w:val="21"/>
                <w:szCs w:val="21"/>
                <w:color w:val="auto"/>
              </w:rPr>
            </w:pP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490,565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463,400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375,190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374,866</w:t>
            </w: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1,325,871</w:t>
            </w: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unamortized discounts and debt issuance costs</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net carrying value of debt</w:t>
            </w:r>
            <w:r>
              <w:rPr>
                <w:rFonts w:ascii="Times New Roman" w:cs="Times New Roman" w:eastAsia="Times New Roman" w:hAnsi="Times New Roman"/>
                <w:sz w:val="23"/>
                <w:szCs w:val="23"/>
                <w:color w:val="auto"/>
                <w:vertAlign w:val="superscript"/>
              </w:rPr>
              <w:t>(1)</w:t>
            </w:r>
          </w:p>
        </w:tc>
        <w:tc>
          <w:tcPr>
            <w:tcW w:w="1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1,368,738</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 excludes the debt issuance costs related to the 2025 Revolving Facility which are presented within Other assets on the Consolidated Balance Sheets.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ACQUISITIONS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acquisitions with the most significant cash flows during fiscal 2025 through the first quarter of fiscal 2026 included Liquid Holdings, LLC ("LiquidityBook") and Platform Group Limited ("Irwin").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Holdings, LLC ("LiquidityBook")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2025, we completed the acquisition of LiquidityBook for a purchase price of $243.2 million, net of cash acquired, and inclusive of preliminary working capital adjustments. The purchase price included contingent consideration of $11.9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LiquidityBook's operations have been included within the Americas, EMEA and Asia Pacific segments in our Consolidated Financial Statements. Pro forma information has not been presented because the effect of the LiquidityBook acquisition was not material to our Consolidated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purchase price allocation is subject to change pending a final valuation of the assets and liabilities acquired and the finalization of working capital adjustments. We expect to finalize the allocation of the purchase price for LiquidityBook as soon as possible, but in any event, no later than one year from the acquisition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10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966"/>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tc>
        <w:tc>
          <w:tcPr>
            <w:tcW w:w="1860" w:type="dxa"/>
            <w:vAlign w:val="bottom"/>
          </w:tcPr>
          <w:p>
            <w:pPr>
              <w:spacing w:after="0"/>
              <w:rPr>
                <w:sz w:val="24"/>
                <w:szCs w:val="24"/>
                <w:color w:val="auto"/>
              </w:rPr>
            </w:pPr>
          </w:p>
        </w:tc>
      </w:tr>
      <w:tr>
        <w:trPr>
          <w:trHeight w:val="211"/>
        </w:trPr>
        <w:tc>
          <w:tcPr>
            <w:tcW w:w="12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Fair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Acquisition Date Useful</w:t>
            </w:r>
          </w:p>
        </w:tc>
        <w:tc>
          <w:tcPr>
            <w:tcW w:w="1860" w:type="dxa"/>
            <w:vAlign w:val="bottom"/>
          </w:tcPr>
          <w:p>
            <w:pPr>
              <w:spacing w:after="0"/>
              <w:rPr>
                <w:sz w:val="18"/>
                <w:szCs w:val="18"/>
                <w:color w:val="auto"/>
              </w:rPr>
            </w:pPr>
          </w:p>
        </w:tc>
      </w:tr>
      <w:tr>
        <w:trPr>
          <w:trHeight w:val="228"/>
        </w:trPr>
        <w:tc>
          <w:tcPr>
            <w:tcW w:w="12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2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Amortization Method</w:t>
            </w:r>
          </w:p>
        </w:tc>
      </w:tr>
      <w:tr>
        <w:trPr>
          <w:trHeight w:val="236"/>
        </w:trPr>
        <w:tc>
          <w:tcPr>
            <w:tcW w:w="1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860" w:type="dxa"/>
            <w:vAlign w:val="bottom"/>
            <w:tcBorders>
              <w:bottom w:val="single" w:sz="8" w:color="auto"/>
            </w:tcBorders>
          </w:tcPr>
          <w:p>
            <w:pPr>
              <w:spacing w:after="0"/>
              <w:rPr>
                <w:sz w:val="20"/>
                <w:szCs w:val="20"/>
                <w:color w:val="auto"/>
              </w:rPr>
            </w:pPr>
          </w:p>
        </w:tc>
      </w:tr>
      <w:tr>
        <w:trPr>
          <w:trHeight w:val="22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164,787</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243,182</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$164.8 million represents the excess of the LiquidityBook purchase price over the fair value of net assets acquired and considers future economic benefits that we expect to achieve as a result of the acquisition. The goodwill is included in the Americas, EMEA and Asia Pacific segments and is deductible for income tax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Group Limited ("Irwin")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Irwin's operations have been included within the Americas, EMEA and Asia Pacific segments in our Consolidated Financial Statements. Pro forma information has not been presented because the effect of the Irwin acquisition was not material to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finalized the purchase accounting for the Irwin acquisition during the third quarter of fiscal 2025 and did not record any material changes to the preliminary purchase price allocation. The acquisition date fair values of major classes of assets acquired and liabilities assumed are as follows:</w:t>
      </w: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9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 Fair</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Amortization</w:t>
            </w:r>
          </w:p>
        </w:tc>
      </w:tr>
      <w:tr>
        <w:trPr>
          <w:trHeight w:val="228"/>
        </w:trPr>
        <w:tc>
          <w:tcPr>
            <w:tcW w:w="6360" w:type="dxa"/>
            <w:vAlign w:val="bottom"/>
          </w:tcPr>
          <w:p>
            <w:pPr>
              <w:spacing w:after="0"/>
              <w:rPr>
                <w:sz w:val="19"/>
                <w:szCs w:val="19"/>
                <w:color w:val="auto"/>
              </w:rPr>
            </w:pPr>
          </w:p>
        </w:tc>
        <w:tc>
          <w:tcPr>
            <w:tcW w:w="12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6"/>
        </w:trPr>
        <w:tc>
          <w:tcPr>
            <w:tcW w:w="6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40" w:type="dxa"/>
            <w:vAlign w:val="bottom"/>
            <w:tcBorders>
              <w:bottom w:val="single" w:sz="8" w:color="auto"/>
            </w:tcBorders>
          </w:tcPr>
          <w:p>
            <w:pPr>
              <w:spacing w:after="0"/>
              <w:rPr>
                <w:sz w:val="20"/>
                <w:szCs w:val="20"/>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91,376</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6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120,186</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$91.4 million represents the excess of the Irwin purchase price over the fair value of net assets acquired and considers future economic benefits that we expect to achieve as a result of the acquisition. The goodwill is included in the Americas and EMEA segments and is not deductible for income tax purposes.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three months ended November 30, 2025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925,752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1,284,708</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924,243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1,279,593</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2025 utilizing a qualitative analysis. We concluded there was no impairment as it was more likely than not that the fair value of each of our reporting units was not less than its respective carrying value. No events or circumstances were identified during the three months ended November 30, 2025 that would indicate it is more likely than not that goodwill has been impaired.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amounts and accumulated amortization related to our identifiable intangible assets as of November 30, 2025 and August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November 30, 2025</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2025</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Estimated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116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Net Carrying</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1,418,104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1,429,097</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97,070</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182,433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185,700</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282,159</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146,052</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136,107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132,485</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135,256</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117,729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122,168</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86,179</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40,904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2,489,011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1,899,838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2,468,743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1,916,102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November 30, 2025 was 30.5 years. 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three months ended November 30, 2025 and November 30, 2024. Our intangible assets have no assigned residual values.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37,752</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2025, estimated intangible asset amortization expense for each of the next five years and thereafter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10"/>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111,927</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125,763</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74,325</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1,419,920</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1,899,838</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INCOME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("U.S.") and various state, local and foreign jurisdictions in which we conduct our business. Income tax expense is based on taxable income determined in accordance with current enacted laws and tax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tc>
        <w:tc>
          <w:tcPr>
            <w:tcW w:w="1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7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190,113</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179,739</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37,533</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29,717</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November 30, 2025 and November 30, 2024 was 19.7% and 16.5%, respectively. The increase was primarily due to a stock-based compensation tax shortfall in the first quarter of fiscal 2026 compared to an excess tax benefit for the prior year period.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periods presented, our effective tax rates differ from the applicable U.S. corporate income tax rate primarily due to excess tax benefits or shortfalls from stock-based compensation, the U.S. tax impact of foreign earnings, research and development ("R&amp;D") tax credits, a foreign derived intangible income ("FDII") tax deduction and the impact of state income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We have determined that Pillar Two would not have a material impact to our Consolidated Financial Statements, related disclosures, or effective tax rate. However, as the Pillar Two rules continue to evolve, we are closely monitoring legislative developments globally to evaluate potential impacts on our financial statements, as more countries adopt and implement these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legislation includes a broad range of tax reform provisions affecting businesses including, but not limited to, the expansion of bonus depreciation, immediate expensing of domestic R&amp;D costs, and revisions to the U.S. taxation of profits derived from international operations. The legislation has multiple effective dates, with certain provisions taking effect in fiscal 2025 and others phased in through fiscal 2027. The Act did not have a material impact on our Consolidated Financial Statements as of and for the three months ended November 30,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operating lease arrangements relate to our office space and data centers.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Selling, general and administrative ("SG&amp;A") expense) in our Consolidated Statements of Income.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November 30, 2025, we recognized $125.6 million of Lease ROU assets, net and $191.3 million of combined Current lease liabilities and Long-term lease liabilities in the Consolidated Balance Sheets. Our leases </w:t>
      </w:r>
      <w:r>
        <w:rPr>
          <w:rFonts w:ascii="Times New Roman" w:cs="Times New Roman" w:eastAsia="Times New Roman" w:hAnsi="Times New Roman"/>
          <w:sz w:val="18"/>
          <w:szCs w:val="18"/>
          <w:color w:val="212529"/>
        </w:rPr>
        <w:t>have remaining lease terms ranging from</w:t>
      </w:r>
      <w:r>
        <w:rPr>
          <w:rFonts w:ascii="Times New Roman" w:cs="Times New Roman" w:eastAsia="Times New Roman" w:hAnsi="Times New Roman"/>
          <w:sz w:val="18"/>
          <w:szCs w:val="18"/>
          <w:color w:val="auto"/>
        </w:rPr>
        <w:t xml:space="preserve"> less than one year to just over 10 years. Our lease agreements may include options to extend or terminate the lease, which would be included in the measurement of our lease term if it is reasonably certain that 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8"/>
          <w:szCs w:val="18"/>
          <w:color w:val="212529"/>
        </w:rPr>
        <w:t>ollowing table presents our future minimum lease payments and a reconciliation to the combined</w:t>
      </w:r>
      <w:r>
        <w:rPr>
          <w:rFonts w:ascii="Times New Roman" w:cs="Times New Roman" w:eastAsia="Times New Roman" w:hAnsi="Times New Roman"/>
          <w:sz w:val="18"/>
          <w:szCs w:val="18"/>
          <w:color w:val="auto"/>
        </w:rPr>
        <w:t xml:space="preserve"> Current lease 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November 30, 2025</w:t>
      </w:r>
      <w:r>
        <w:rPr>
          <w:rFonts w:ascii="Times New Roman" w:cs="Times New Roman" w:eastAsia="Times New Roman" w:hAnsi="Times New Roman"/>
          <w:sz w:val="18"/>
          <w:szCs w:val="18"/>
          <w:color w:val="212529"/>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gridSpan w:val="3"/>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Minimum Lease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18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9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Payments</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37,032</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222,369</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191,296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400" w:type="dxa"/>
            <w:vAlign w:val="bottom"/>
          </w:tcPr>
          <w:p>
            <w:pPr>
              <w:spacing w:after="0"/>
              <w:rPr>
                <w:sz w:val="21"/>
                <w:szCs w:val="21"/>
                <w:color w:val="auto"/>
              </w:rPr>
            </w:pPr>
          </w:p>
        </w:tc>
        <w:tc>
          <w:tcPr>
            <w:tcW w:w="21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2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November 30,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212529"/>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7,997</w:t>
            </w: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31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301" w:lineRule="auto"/>
        <w:tabs>
          <w:tab w:leader="none" w:pos="2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40"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5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 of November 30, 2025</w:t>
            </w:r>
          </w:p>
        </w:tc>
        <w:tc>
          <w:tcPr>
            <w:tcW w:w="2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August 31, 2025</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56"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DEBT</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elected the fair value option and report our debt at amortized cost. Our debt obligations as of November 30, 2025 and August 31, 2025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auto"/>
            </w:tcBorders>
            <w:gridSpan w:val="2"/>
            <w:vMerge w:val="continue"/>
          </w:tcPr>
          <w:p>
            <w:pPr>
              <w:spacing w:after="0"/>
              <w:rPr>
                <w:sz w:val="21"/>
                <w:szCs w:val="21"/>
                <w:color w:val="auto"/>
              </w:rPr>
            </w:pPr>
          </w:p>
        </w:tc>
        <w:tc>
          <w:tcPr>
            <w:tcW w:w="21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Issuance Date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30, 2025</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21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4/8/2025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4/8/2028</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1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1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Unamortized discounts and debt issuance costs</w:t>
            </w:r>
            <w:r>
              <w:rPr>
                <w:rFonts w:ascii="Times New Roman" w:cs="Times New Roman" w:eastAsia="Times New Roman" w:hAnsi="Times New Roman"/>
                <w:sz w:val="23"/>
                <w:szCs w:val="23"/>
                <w:color w:val="auto"/>
                <w:vertAlign w:val="superscript"/>
              </w:rPr>
              <w:t>(1)</w:t>
            </w:r>
          </w:p>
        </w:tc>
        <w:tc>
          <w:tcPr>
            <w:tcW w:w="2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(1)</w:t>
            </w:r>
          </w:p>
        </w:tc>
        <w:tc>
          <w:tcPr>
            <w:tcW w:w="2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820" w:firstLine="8"/>
        <w:spacing w:after="0" w:line="420" w:lineRule="auto"/>
        <w:tabs>
          <w:tab w:leader="none" w:pos="24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excludes the debt issuance costs related to the 2025 Revolving Facility which are presented within Other assets on the Consolidated Balance Sheets. As of November 30, 2025, annual ma</w:t>
      </w:r>
      <w:r>
        <w:rPr>
          <w:rFonts w:ascii="Times New Roman" w:cs="Times New Roman" w:eastAsia="Times New Roman" w:hAnsi="Times New Roman"/>
          <w:sz w:val="17"/>
          <w:szCs w:val="17"/>
          <w:color w:val="auto"/>
        </w:rPr>
        <w:t>turities on our debt obligations, based on contractual maturity dates,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6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Facility matures on April 8, 2028, and the 2025 Revolving Facility matures on April 8, 2030. 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no repayments of the 2025 Term Facility during the three months ended November 30, 2025. Since loan inception on April 8, 2025, we have repaid $125.0 million under the 2025 Term Facility. Of this amount, $68.8 million satisfied all scheduled quarterly principal payments through maturity, eliminating any future mandatory quarterly principal payment requirements. The remaining $56.2 million was made as a voluntary prepayment. From the effective date of the 2025 Revolving Facility through November 30, 2025, we have had no borrowings under the 2025 Revolving Facility.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borrowing date through November 30, 2025,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through November 30, 2025.</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Debt issuance costs related to the 2025 Credit Facilities were $3.4 million. These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November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November 30, 2024, we repaid $62.5 million under the 2022 Term Facility. The 2022 Term Facility, originally due to mature on March 1, 2025, was repaid in full during the six months ended February 28, 2025. During the three months ended November 30, 2024, we borrowed an additional $55.0 million under the 2022 Revolving Facility. The 2022 Credit Agreement was terminated on April 8, 2025, concurrent with entering into the 2025 Credit Agreement.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89" w:lineRule="exact"/>
        <w:rPr>
          <w:sz w:val="20"/>
          <w:szCs w:val="20"/>
          <w:color w:val="auto"/>
        </w:rPr>
      </w:pPr>
    </w:p>
    <w:p>
      <w:pPr>
        <w:ind w:right="2180"/>
        <w:spacing w:after="0" w:line="282" w:lineRule="auto"/>
        <w:rPr>
          <w:sz w:val="20"/>
          <w:szCs w:val="20"/>
          <w:color w:val="auto"/>
        </w:rPr>
      </w:pPr>
      <w:r>
        <w:rPr>
          <w:rFonts w:ascii="Times New Roman" w:cs="Times New Roman" w:eastAsia="Times New Roman" w:hAnsi="Times New Roman"/>
          <w:sz w:val="18"/>
          <w:szCs w:val="18"/>
          <w:color w:val="auto"/>
        </w:rPr>
        <w:t>We leverage interest rate swap agreements to manage our floating interest rate exposure with a fixed interest rate. Our interest rate swap agreements are designated as cash flow hedges at inception.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SOFR debt with a fixed interest rate of 4.086%. The notional amount of the 2025 Swap Agreement declines by $50.0 million on a quarterly basis beginning May 31, 2025 and matures on February 28, 2026. As of November 30, 2025, the notional amount of the 2025 Swap Agreement was $50.0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13,369</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r>
    </w:tbl>
    <w:p>
      <w:pPr>
        <w:spacing w:after="0" w:line="189" w:lineRule="exact"/>
        <w:rPr>
          <w:sz w:val="20"/>
          <w:szCs w:val="20"/>
          <w:color w:val="auto"/>
        </w:rPr>
      </w:pPr>
    </w:p>
    <w:p>
      <w:pPr>
        <w:ind w:left="260" w:hanging="252"/>
        <w:spacing w:after="0" w:line="280" w:lineRule="auto"/>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Interest expense is net of the effects of our interest rate swap agreements.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COMMITMENTS AND CONTINGENCIES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in the Notes to the Consolidated Financial Statements included in Part II, Item 8.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2025 for further details.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2025, we had total purchase obligations with suppliers and vendors of approximately $352 million. Our total purchase obligations as of August 31, 2025 primarily related to hosting services, acquisition of data and, to a lesser extent, third-party software providers. For the three months ended November 30, 2025, we had no new material purchase obligations.</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respectively, for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Our 2025 Revolving Facility allows for the availability of up to $100.0 million in the form of letters of credit. We have not obtained any letters of credit under the 2025 Revolving Facility since its inception. We had $0.7 million of standby letters of credit outstanding as of November 30, 2025 and August 31, 2025. No liabilities related to these arrangements are reflected in the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2025 Revolving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at November 30, 2025,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 Dispute"). We entered into an agreement with the Commonwealth on November 26, 2024 which fully resolved all matters relating to the Sales Tax Dispute.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STOCKHOLDERS' EQUITY</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697801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78015"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Repurchases of common stock under the share repurchase program</w:t>
      </w:r>
      <w:r>
        <w:rPr>
          <w:rFonts w:ascii="Times New Roman" w:cs="Times New Roman" w:eastAsia="Times New Roman" w:hAnsi="Times New Roman"/>
          <w:sz w:val="23"/>
          <w:szCs w:val="23"/>
          <w:color w:val="auto"/>
          <w:vertAlign w:val="superscript"/>
        </w:rPr>
        <w:t>(1)</w:t>
      </w:r>
    </w:p>
    <w:p>
      <w:pPr>
        <w:ind w:left="20"/>
        <w:spacing w:after="0" w:line="233" w:lineRule="auto"/>
        <w:rPr>
          <w:sz w:val="20"/>
          <w:szCs w:val="20"/>
          <w:color w:val="auto"/>
        </w:rPr>
      </w:pPr>
      <w:r>
        <w:rPr>
          <w:rFonts w:ascii="Times New Roman" w:cs="Times New Roman" w:eastAsia="Times New Roman" w:hAnsi="Times New Roman"/>
          <w:sz w:val="18"/>
          <w:szCs w:val="18"/>
          <w:color w:val="auto"/>
        </w:rPr>
        <w:t>Repurchases of common stock to satisfy tax withholding requirements due upon vesting of stock-based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November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spacing w:after="0"/>
              <w:rPr>
                <w:sz w:val="20"/>
                <w:szCs w:val="20"/>
                <w:color w:val="auto"/>
              </w:rPr>
            </w:pPr>
          </w:p>
        </w:tc>
      </w:tr>
      <w:tr>
        <w:trPr>
          <w:trHeight w:val="256"/>
        </w:trPr>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8"/>
              </w:rPr>
              <w:t>Amount</w:t>
            </w: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28"/>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139,899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48,790</w:t>
            </w:r>
          </w:p>
        </w:tc>
      </w:tr>
      <w:tr>
        <w:trPr>
          <w:trHeight w:val="414"/>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5,695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r>
    </w:tbl>
    <w:p>
      <w:pPr>
        <w:spacing w:after="0" w:line="200" w:lineRule="exact"/>
        <w:rPr>
          <w:sz w:val="20"/>
          <w:szCs w:val="20"/>
          <w:color w:val="auto"/>
        </w:rPr>
      </w:pPr>
    </w:p>
    <w:p>
      <w:pPr>
        <w:sectPr>
          <w:pgSz w:w="11900" w:h="16838" w:orient="portrait"/>
          <w:cols w:equalWidth="0" w:num="2">
            <w:col w:w="6560" w:space="340"/>
            <w:col w:w="4340"/>
          </w:cols>
          <w:pgMar w:left="320" w:top="121" w:right="339" w:bottom="1440" w:gutter="0" w:footer="0" w:header="0"/>
          <w:type w:val="continuous"/>
        </w:sectPr>
      </w:pPr>
    </w:p>
    <w:p>
      <w:pPr>
        <w:spacing w:after="0" w:line="56" w:lineRule="exact"/>
        <w:rPr>
          <w:sz w:val="20"/>
          <w:szCs w:val="20"/>
          <w:color w:val="auto"/>
        </w:rPr>
      </w:pPr>
    </w:p>
    <w:p>
      <w:pPr>
        <w:ind w:left="340" w:hanging="251"/>
        <w:spacing w:after="0" w:line="298" w:lineRule="auto"/>
        <w:tabs>
          <w:tab w:leader="none" w:pos="35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November 30, 2025 and 2024, amount excludes a 1% excise tax of $1.3 million and $0.8 million, respectively, on corporate stock repurchases required under the Inflation Reduction Act of 2022.</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2025, our Board of Directors authorized up to $400 million for share repurchases on or after September 1, 2025. As of November 30, 2025, $260.1 million remained available under our share repurchase program.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16, 2025, our Board of Directors approved an additional $600 million in share repurchase authority, which is available immediately with no expiration date. The additional authorization also removed the expiration date from the June 17, 2025 authorization.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activity.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three months ended November 30, 2025 and November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w w:val="98"/>
              </w:rPr>
              <w:t>Dividends per</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Total Amount</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color w:val="auto"/>
                <w:w w:val="99"/>
              </w:rPr>
              <w:t>Share of</w:t>
            </w: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5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Record Date</w:t>
            </w: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40,969</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39,572</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Future cash dividend payments are subject to final determination by our Board of Directors and will depend on our earnings, capital requirements, financial condition and other relevant factors.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96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AOCL as of November 30, 2025 and August 31, 2025 were as follows: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November 30, 2025</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2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(73,281)</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(65,891)</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(63,748)</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EARNINGS PER SHARE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w:t>
            </w:r>
          </w:p>
        </w:tc>
        <w:tc>
          <w:tcPr>
            <w:tcW w:w="56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46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auto"/>
            </w:tcBorders>
            <w:vMerge w:val="continue"/>
          </w:tcPr>
          <w:p>
            <w:pPr>
              <w:spacing w:after="0"/>
              <w:rPr>
                <w:sz w:val="20"/>
                <w:szCs w:val="20"/>
                <w:color w:val="auto"/>
              </w:rPr>
            </w:pPr>
          </w:p>
        </w:tc>
        <w:tc>
          <w:tcPr>
            <w:tcW w:w="36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options with performance conditions</w:t>
            </w:r>
          </w:p>
        </w:tc>
        <w:tc>
          <w:tcPr>
            <w:tcW w:w="36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1,405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share units</w:t>
            </w:r>
          </w:p>
        </w:tc>
        <w:tc>
          <w:tcPr>
            <w:tcW w:w="36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stock-based compensation expense consists of:</w:t>
      </w:r>
    </w:p>
    <w:p>
      <w:pPr>
        <w:spacing w:after="0" w:line="63"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restricted stock units ("RSUs") and performance share units ("PSUs") issued to eligible employees, and stock options with performance conditions ("PSOs") issued to our Chief Executive Officer ("CEO"), all under the FactSet Research Systems Inc. Stock Option and Award Plan, as Amended and Restated (the "LTIP").</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RSUs issued to non-employee members of the Board of Directors ("non-employee directors") under the FactSet Research Systems Inc. Non-Employee Directors’ Stock Option and Award Plan, as Amended and Restated (the "Director Plan").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purchased by eligible employees under the FactSet Research Systems Inc. Employee Stock Purchase Plan, as Amended and Restated, as well as shares acquired beginning in fiscal 2026 under the FactSet Research Systems Inc. 2025 Employee Stock Purchase Plan (collectively, the “ESPP”).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lattice-based option-pricing model ("lattice model") to estimate the grant date fair value for our employee stock options. For our CEO PSOs, grant date fair value was estimated using a Monte Carlo simulation ("Monte Carlo model"). The grant date fair value for non-employee director stock options and common stock purchased by eligible employees under our ESPP is estimated using a Black-Scholes model.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lattice model, Black-Scholes model, and Monte Carlo model each require certain estimates and assumptions, including the risk-free interest rate, expected volatility, and dividend yield. The Black-Scholes and Monte Carlo models incorporate an assumed expected life of the award, while the lattice model derives the expected life as an output incorporating assumptions such as vesting restrictions and expected exercise patterns based on the intrinsic value of the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assumptions and their definitions are as follows:</w:t>
      </w:r>
    </w:p>
    <w:p>
      <w:pPr>
        <w:spacing w:after="0" w:line="194" w:lineRule="exact"/>
        <w:rPr>
          <w:sz w:val="20"/>
          <w:szCs w:val="20"/>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19"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their respective services period using the straight-line method. For these awards, the amount of stock-based compensation expense recognized on any date is at least equal to the vested portion of the award on that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the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for the periods presented:</w:t>
      </w:r>
    </w:p>
    <w:p>
      <w:pPr>
        <w:spacing w:after="0" w:line="22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52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18,457</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r>
    </w:tbl>
    <w:p>
      <w:pPr>
        <w:spacing w:after="0" w:line="2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November 30, 2025, $205.4 million of total unrecognized stock-based compensation expense related to non-vested stock-based awards is expected to be recognized over the remaining weighted average vesting period of 3.1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employee stock options granted under the LTIP for the three months ended November 30, 2025 and November 30, 2024:</w:t>
      </w:r>
    </w:p>
    <w:p>
      <w:pPr>
        <w:spacing w:after="0" w:line="237"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p>
      <w:pPr>
        <w:ind w:left="5340"/>
        <w:spacing w:after="0"/>
        <w:tabs>
          <w:tab w:leader="none" w:pos="916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tbl>
      <w:tblPr>
        <w:tblLayout w:type="fixed"/>
        <w:tblInd w:w="3640" w:type="dxa"/>
        <w:tblCellMar>
          <w:top w:w="0" w:type="dxa"/>
          <w:left w:w="0" w:type="dxa"/>
          <w:bottom w:w="0" w:type="dxa"/>
          <w:right w:w="0" w:type="dxa"/>
        </w:tblCellMar>
      </w:tblPr>
      <w:tr>
        <w:trPr>
          <w:trHeight w:val="169"/>
        </w:trPr>
        <w:tc>
          <w:tcPr>
            <w:tcW w:w="8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grant date fair</w:t>
            </w:r>
          </w:p>
        </w:tc>
        <w:tc>
          <w:tcPr>
            <w:tcW w:w="0" w:type="dxa"/>
            <w:vAlign w:val="bottom"/>
          </w:tcPr>
          <w:p>
            <w:pPr>
              <w:spacing w:after="0"/>
              <w:rPr>
                <w:sz w:val="1"/>
                <w:szCs w:val="1"/>
                <w:color w:val="auto"/>
              </w:rPr>
            </w:pPr>
          </w:p>
        </w:tc>
      </w:tr>
      <w:tr>
        <w:trPr>
          <w:trHeight w:val="243"/>
        </w:trPr>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8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grant date fair</w:t>
            </w:r>
          </w:p>
        </w:tc>
        <w:tc>
          <w:tcPr>
            <w:tcW w:w="0" w:type="dxa"/>
            <w:vAlign w:val="bottom"/>
          </w:tcPr>
          <w:p>
            <w:pPr>
              <w:spacing w:after="0"/>
              <w:rPr>
                <w:sz w:val="1"/>
                <w:szCs w:val="1"/>
                <w:color w:val="auto"/>
              </w:rPr>
            </w:pPr>
          </w:p>
        </w:tc>
      </w:tr>
      <w:tr>
        <w:trPr>
          <w:trHeight w:val="243"/>
        </w:trPr>
        <w:tc>
          <w:tcPr>
            <w:tcW w:w="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exercise 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00" w:space="80"/>
            <w:col w:w="3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6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213,811</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54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458.80</w:t>
            </w:r>
          </w:p>
        </w:tc>
        <w:tc>
          <w:tcPr>
            <w:tcW w:w="50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CEO performance stock option grant</w:t>
            </w:r>
            <w:r>
              <w:rPr>
                <w:rFonts w:ascii="Times New Roman" w:cs="Times New Roman" w:eastAsia="Times New Roman" w:hAnsi="Times New Roman"/>
                <w:sz w:val="23"/>
                <w:szCs w:val="23"/>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80" w:type="dxa"/>
            <w:vAlign w:val="bottom"/>
          </w:tcPr>
          <w:p>
            <w:pPr>
              <w:spacing w:after="0"/>
              <w:rPr>
                <w:sz w:val="19"/>
                <w:szCs w:val="19"/>
                <w:color w:val="auto"/>
              </w:rPr>
            </w:pPr>
          </w:p>
        </w:tc>
        <w:tc>
          <w:tcPr>
            <w:tcW w:w="14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options awards granted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511,713</w:t>
            </w:r>
          </w:p>
        </w:tc>
        <w:tc>
          <w:tcPr>
            <w:tcW w:w="4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c>
          <w:tcPr>
            <w:tcW w:w="4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r>
    </w:tbl>
    <w:p>
      <w:pPr>
        <w:spacing w:after="0" w:line="189" w:lineRule="exact"/>
        <w:rPr>
          <w:sz w:val="20"/>
          <w:szCs w:val="20"/>
          <w:color w:val="auto"/>
        </w:rPr>
      </w:pPr>
    </w:p>
    <w:p>
      <w:pPr>
        <w:jc w:val="both"/>
        <w:ind w:left="260" w:hanging="252"/>
        <w:spacing w:after="0" w:line="263" w:lineRule="auto"/>
        <w:tabs>
          <w:tab w:leader="none" w:pos="25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annual grant of employee stock options during the first quarter of each fiscal year makes up the majority of our employee stock options granted under the LTIP in each fiscal year. The annual grant on November 3, 2025, of 213,811 vests 25% annually on the anniversary date of the grant and are fully vested after four years. The annual grant on November 1, 2024, of 200,693 vests 20% annually on the anniversary date of the grant and are fully vested after five years.</w:t>
      </w:r>
    </w:p>
    <w:p>
      <w:pPr>
        <w:spacing w:after="0" w:line="70" w:lineRule="exact"/>
        <w:rPr>
          <w:rFonts w:ascii="Times New Roman" w:cs="Times New Roman" w:eastAsia="Times New Roman" w:hAnsi="Times New Roman"/>
          <w:sz w:val="16"/>
          <w:szCs w:val="16"/>
          <w:color w:val="auto"/>
        </w:rPr>
      </w:pPr>
    </w:p>
    <w:p>
      <w:pPr>
        <w:jc w:val="both"/>
        <w:ind w:left="260" w:hanging="252"/>
        <w:spacing w:after="0" w:line="253" w:lineRule="auto"/>
        <w:tabs>
          <w:tab w:leader="none" w:pos="26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grant to our CEO on September 22, 2025 of PSOs as part of his May 28, 2025 employment agreement. The PSOs vest if, during the performance period ending on the fifth anniversary of the grant date, our common stock achieves a 30-day trailing volume-weighted average price ("VWAP") equal to or greater than 150% of the 30-day trailing VWAP ending on the grant date. Options are not exercisable before the third anniversary of the grant date. These options expire ten years from the grant date.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lattice model and Monte Carlo model to estimate the grant date fair value of the November 3, 2025 annual employee stock option grant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2025 CEO PSO grant, respectively. The following table presents the grant information and model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Annual Employee Grant</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Performance Option Grant</w:t>
            </w:r>
          </w:p>
        </w:tc>
      </w:tr>
      <w:tr>
        <w:trPr>
          <w:trHeight w:val="270"/>
        </w:trPr>
        <w:tc>
          <w:tcPr>
            <w:tcW w:w="2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Grant Details</w:t>
            </w:r>
          </w:p>
        </w:tc>
        <w:tc>
          <w:tcPr>
            <w:tcW w:w="4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November 3, 2025</w:t>
            </w:r>
          </w:p>
        </w:tc>
        <w:tc>
          <w:tcPr>
            <w:tcW w:w="2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22, 2025</w:t>
            </w: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4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213,811</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297,902</w:t>
            </w: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4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$75.34</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$264.57</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w:t>
            </w:r>
          </w:p>
        </w:tc>
      </w:tr>
      <w:tr>
        <w:trPr>
          <w:trHeight w:val="189"/>
        </w:trPr>
        <w:tc>
          <w:tcPr>
            <w:tcW w:w="20" w:type="dxa"/>
            <w:vAlign w:val="bottom"/>
          </w:tcPr>
          <w:p>
            <w:pPr>
              <w:spacing w:after="0"/>
              <w:rPr>
                <w:sz w:val="16"/>
                <w:szCs w:val="16"/>
                <w:color w:val="auto"/>
              </w:rPr>
            </w:pPr>
          </w:p>
        </w:tc>
        <w:tc>
          <w:tcPr>
            <w:tcW w:w="41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Assumptions</w:t>
            </w:r>
          </w:p>
        </w:tc>
        <w:tc>
          <w:tcPr>
            <w:tcW w:w="46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 - 4.16%</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3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27.57 %</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24.72 %</w:t>
            </w:r>
          </w:p>
        </w:tc>
      </w:tr>
      <w:tr>
        <w:trPr>
          <w:trHeight w:val="230"/>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4"/>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6.33</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grant of employee Restricted Stock Awards during the first quarter of each fiscal year makes up the majority of our employee Restricted Stock Awards granted under the LTIP in each fiscal year. These awards entitle the holders to shares of common stock as the Restricted Stock Awards vest. For unvested Restricted Stock Awards, holders are not entitled to dividends declared on the underlying shares.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Restricted Stock Awards granted under the LTIP for the three months ended November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November 30,</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4"/>
        </w:trPr>
        <w:tc>
          <w:tcPr>
            <w:tcW w:w="41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2024</w:t>
            </w:r>
          </w:p>
        </w:tc>
      </w:tr>
      <w:tr>
        <w:trPr>
          <w:trHeight w:val="169"/>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76"/>
        </w:trPr>
        <w:tc>
          <w:tcPr>
            <w:tcW w:w="4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Grant Date Fair Value</w:t>
            </w:r>
          </w:p>
        </w:tc>
      </w:tr>
      <w:tr>
        <w:trPr>
          <w:trHeight w:val="243"/>
        </w:trPr>
        <w:tc>
          <w:tcPr>
            <w:tcW w:w="4180" w:type="dxa"/>
            <w:vAlign w:val="bottom"/>
          </w:tcPr>
          <w:p>
            <w:pPr>
              <w:spacing w:after="0"/>
              <w:rPr>
                <w:sz w:val="21"/>
                <w:szCs w:val="21"/>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1"/>
                <w:szCs w:val="21"/>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Per Award</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1"/>
                <w:szCs w:val="21"/>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Per Award</w:t>
            </w:r>
          </w:p>
        </w:tc>
      </w:tr>
      <w:tr>
        <w:trPr>
          <w:trHeight w:val="223"/>
        </w:trPr>
        <w:tc>
          <w:tcPr>
            <w:tcW w:w="41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235,349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445.89</w:t>
            </w: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445.97</w:t>
            </w:r>
          </w:p>
        </w:tc>
      </w:tr>
      <w:tr>
        <w:trPr>
          <w:trHeight w:val="230"/>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301,066</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117,568</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70" w:lineRule="exact"/>
        <w:rPr>
          <w:sz w:val="20"/>
          <w:szCs w:val="20"/>
          <w:color w:val="auto"/>
        </w:rPr>
      </w:pPr>
    </w:p>
    <w:p>
      <w:pPr>
        <w:jc w:val="both"/>
        <w:ind w:left="260" w:hanging="252"/>
        <w:spacing w:after="0" w:line="272" w:lineRule="auto"/>
        <w:tabs>
          <w:tab w:leader="none" w:pos="2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3, 2025, of 169,049 RSUs and a one-time grant to our CEO on September 22, 2025 of 58,332 RSUs. Both grants vest 25% annually on the anniversary date of the grant and are fully vested after four years. The annual employee grant on November 1, 2024, of 76,448 RSUs vests 20% annually on the anniversary date of the grant and are fully vested after five years.</w:t>
      </w:r>
    </w:p>
    <w:p>
      <w:pPr>
        <w:spacing w:after="0" w:line="62" w:lineRule="exact"/>
        <w:rPr>
          <w:rFonts w:ascii="Times New Roman" w:cs="Times New Roman" w:eastAsia="Times New Roman" w:hAnsi="Times New Roman"/>
          <w:sz w:val="16"/>
          <w:szCs w:val="16"/>
          <w:color w:val="auto"/>
        </w:rPr>
      </w:pPr>
    </w:p>
    <w:p>
      <w:pPr>
        <w:jc w:val="both"/>
        <w:ind w:left="260" w:hanging="252"/>
        <w:spacing w:after="0" w:line="263" w:lineRule="auto"/>
        <w:tabs>
          <w:tab w:leader="none" w:pos="24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PSUs granted during the three months ended November 30, 2025, include the annual employee grant on November 3, 2025, of 43,281 PSUs, and a one-time grant to our CEO on October 1, 2025, of 22,436 PSUs. PSUs granted during the three months ended November 30, 2024 includes the annual employee grant on November 1, 2024 of 33,756 PSUs. Each grant cliff vests on the third anniversary of the grant date, subject to the achievement of certain performance metrics, with an achievement range from 0% to 200%. The ultimate number of common shares that may be earned pursuant to our PSU awards depends on the level of our achievement of stated financial performance objectives.</w:t>
      </w:r>
    </w:p>
    <w:p>
      <w:pPr>
        <w:spacing w:after="0" w:line="71" w:lineRule="exact"/>
        <w:rPr>
          <w:rFonts w:ascii="Times New Roman" w:cs="Times New Roman" w:eastAsia="Times New Roman" w:hAnsi="Times New Roman"/>
          <w:sz w:val="16"/>
          <w:szCs w:val="16"/>
          <w:color w:val="auto"/>
        </w:rPr>
      </w:pPr>
    </w:p>
    <w:p>
      <w:pPr>
        <w:ind w:left="260" w:hanging="252"/>
        <w:spacing w:after="0" w:line="298" w:lineRule="auto"/>
        <w:tabs>
          <w:tab w:leader="none" w:pos="27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granted during the first quarter of fiscal 2025 based on performance above the specified target level of achievement for PSUs granted on November 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November 30, 2025, we had 2.1 million employee stock-based awards available for grant under the LTIP and 0.2 million non-employee director stock-based awards available for grant under the Director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LTIP and Director Plan, each Restricted Stock Award granted or canceled/forfeited is equivalent to 2.5 shares deducted from or added back to, respectively, the aggregate number of stock-based awards available for grant.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SEGMENT INFORMATION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CEO functions as our CODM.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global centers of excellence ("COEs"), primarily located in India and the Philippines, are allocated to each segment based on their respective percentage of revenues as this reflects the benefits provided to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1"/>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2025</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396,176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607,621</w:t>
            </w:r>
          </w:p>
        </w:tc>
      </w:tr>
      <w:tr>
        <w:trPr>
          <w:trHeight w:val="229"/>
        </w:trPr>
        <w:tc>
          <w:tcPr>
            <w:tcW w:w="59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317,643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81,363</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415,550</w:t>
            </w:r>
          </w:p>
        </w:tc>
      </w:tr>
      <w:tr>
        <w:trPr>
          <w:trHeight w:val="22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192,071</w:t>
            </w:r>
          </w:p>
        </w:tc>
      </w:tr>
      <w:tr>
        <w:trPr>
          <w:trHeight w:val="229"/>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2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190,113</w:t>
            </w:r>
          </w:p>
        </w:tc>
      </w:tr>
      <w:tr>
        <w:trPr>
          <w:trHeight w:val="270"/>
        </w:trPr>
        <w:tc>
          <w:tcPr>
            <w:tcW w:w="59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44,148</w:t>
            </w: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29"/>
        </w:trPr>
        <w:tc>
          <w:tcPr>
            <w:tcW w:w="5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2024</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r>
      <w:tr>
        <w:trPr>
          <w:trHeight w:val="229"/>
        </w:trPr>
        <w:tc>
          <w:tcPr>
            <w:tcW w:w="59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285,444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377,332</w:t>
            </w:r>
          </w:p>
        </w:tc>
      </w:tr>
      <w:tr>
        <w:trPr>
          <w:trHeight w:val="22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191,335</w:t>
            </w:r>
          </w:p>
        </w:tc>
      </w:tr>
      <w:tr>
        <w:trPr>
          <w:trHeight w:val="229"/>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w:t>
            </w:r>
          </w:p>
        </w:tc>
      </w:tr>
      <w:tr>
        <w:trPr>
          <w:trHeight w:val="22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179,739</w:t>
            </w:r>
          </w:p>
        </w:tc>
      </w:tr>
      <w:tr>
        <w:trPr>
          <w:trHeight w:val="270"/>
        </w:trPr>
        <w:tc>
          <w:tcPr>
            <w:tcW w:w="59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35,717</w:t>
            </w: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r>
      <w:tr>
        <w:trPr>
          <w:trHeight w:val="30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r>
    </w:tbl>
    <w:p>
      <w:pPr>
        <w:spacing w:after="0" w:line="139"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consist of Cost of services and SG&amp;A costs.</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include purchases of PPE and capitalized internal-use software.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 November 30, 2025 and August 31,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November 30, 2025</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3,557,563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3,523,467</w:t>
            </w:r>
          </w:p>
        </w:tc>
      </w:tr>
      <w:tr>
        <w:trPr>
          <w:trHeight w:val="230"/>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502,417</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610,364</w:t>
            </w:r>
          </w:p>
        </w:tc>
      </w:tr>
      <w:tr>
        <w:trPr>
          <w:trHeight w:val="230"/>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160,804</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170,441</w:t>
            </w:r>
          </w:p>
        </w:tc>
      </w:tr>
      <w:tr>
        <w:trPr>
          <w:trHeight w:val="228"/>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4,220,784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2025,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2025.</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artificial intelligence ("AI")-powered technologies used by global financial professionals to power their critical investment workflows. As of November 30, 2025, we had more than 9,000 clients comprised of over 239,000 investment professionals, including institutional asset managers, bankers, wealth managers, asset owners,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client service team.</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segments.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each segment, we offer data, products and analytical applications by firm type: Institutional Buyside, Dealmakers, Wealth, and Market Infrastructure. In fiscal 2026, we renamed "Partnerships and CGS" to "Market Infrastructure".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global asset managers, asset owners, and hedge fund professionals,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investment bankers, sell-side research analysts, corporate users, investor relations officers and private equity and venture capital professionals,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clients, and</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Infrastructure" focuses on partnerships that deliver solutions to firms in the financial services ecosystem including data, analytics and technology platform providers and includes CGS, the exclusive issuer of Committee on Uniform Security Identification Procedures ("CUSIP") and CUSIP International Number System ("CINS") identifiers globally.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81" w:lineRule="exact"/>
        <w:rPr>
          <w:sz w:val="20"/>
          <w:szCs w:val="20"/>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and delivery capabilities: </w:t>
      </w:r>
      <w:r>
        <w:rPr>
          <w:rFonts w:ascii="Times New Roman" w:cs="Times New Roman" w:eastAsia="Times New Roman" w:hAnsi="Times New Roman"/>
          <w:sz w:val="18"/>
          <w:szCs w:val="18"/>
          <w:color w:val="auto"/>
        </w:rPr>
        <w:t>We continue to scale up our data ecosystem to provide a comprehensive inventory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proprietary and third-party data. This includes granular data for key industry verticals, real-time market data, fund data and sustainable finance. In addition to using our growing data catalog to drive our AI-powered workstation products, we aim to continue to expand our data delivery capabilities in the cloud and through other methods to advance our position as an enterprise data provider for our clients.</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deeper in client workflows</w:t>
      </w:r>
      <w:r>
        <w:rPr>
          <w:rFonts w:ascii="Times New Roman" w:cs="Times New Roman" w:eastAsia="Times New Roman" w:hAnsi="Times New Roman"/>
          <w:sz w:val="18"/>
          <w:szCs w:val="18"/>
          <w:color w:val="auto"/>
        </w:rPr>
        <w:t>: 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Innovating with AI</w:t>
      </w:r>
      <w:r>
        <w:rPr>
          <w:rFonts w:ascii="Times New Roman" w:cs="Times New Roman" w:eastAsia="Times New Roman" w:hAnsi="Times New Roman"/>
          <w:sz w:val="18"/>
          <w:szCs w:val="18"/>
          <w:color w:val="auto"/>
        </w:rPr>
        <w:t>: We believe sustainable success in enterprise AI depends on trusted, high-quality data, secure integration with models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and deep domain expertise. We continue to advance a pragmatic, open, and flexible strategy for integrating AI and natural language processing into our clients’ workflows, aiming to boost productivity by surfacing actionable insights throughout the portfolio lifecycle and automating routine research and content processing tasks. FactSet is delivering AI embedded workflow solutions for various personas including research analysts, bankers, portfolio managers, wealth advisors and engineering teams across our clients.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First Quarter in Review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the first quarter of fiscal 2026 were $607.6 million, an increase of 6.9% from the comparable prior year period. The growth in revenues was driven by a 6.0% increase in organic revenues, a 0.7% increase from acquisition revenues, net of a decrease in revenues from a disposition of a business at the end of the prior fiscal year, and a net increase of 0.2% from foreign currency exchange rate fluctuations. Revenues increased in all our segments, primarily in the Americas. Revenues increased primarily from workstations, portfolio management and trading solutions, and data solutions.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Non-GAAP Financial Measures,</w:t>
      </w:r>
      <w:r>
        <w:rPr>
          <w:rFonts w:ascii="Times New Roman" w:cs="Times New Roman" w:eastAsia="Times New Roman" w:hAnsi="Times New Roman"/>
          <w:sz w:val="18"/>
          <w:szCs w:val="18"/>
          <w:color w:val="auto"/>
        </w:rPr>
        <w:t xml:space="preserve"> of this Quarterly Report on Form 10-Q for the definition of organic revenues and a reconciliation between revenues and organic revenues.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November 30, 2025, organic annual subscription value ("Organic ASV") totaled $2,389.6 million, an increase of 5.9% over the prior year. Organic ASV increased in all our segments, with the majority of the increase in the Americas. The Organic ASV increase was mainly driven by workstations, data solutions and, to a lesser extent, CGS.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Annual Subscription Value, </w:t>
      </w:r>
      <w:r>
        <w:rPr>
          <w:rFonts w:ascii="Times New Roman" w:cs="Times New Roman" w:eastAsia="Times New Roman" w:hAnsi="Times New Roman"/>
          <w:sz w:val="18"/>
          <w:szCs w:val="18"/>
          <w:color w:val="auto"/>
        </w:rPr>
        <w:t>of this Quarterly Report on Form 10-Q for the definition of Organic ASV.</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was 31.6% for the first quarter of fiscal 2026, compared to 33.6% in the prior year period. This decrease in operating margin was primarily driven by higher amortization of intangible assets, employee compensation costs and technology-related expenses, partially offset by growth in revenues.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income for the first quarter of fiscal 2026 was $152.6 million, an increase of 1.7% from the prior year period. Diluted earnings per common share ("Diluted EPS") was $4.06 for the first quarter of fiscal 2026, an increase of 4.4% compared with the prior year period. The increase in Net Income and Diluted EPS was primarily driven by growth in revenues, partially offset by higher operating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$181.3 million to our stockholders in the form of share repurchases and dividends during the three months ended November 30, 2025.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2025, our client and user count was 9,003 and 239,863, respectively. Our employee headcount was 12,886 as of November 30, 2025, up 2.5% compared to the prior year. This increase was driven by net headcount growth of 3.0% in the Americas, 2.4% in Asia Pacific and 2.3% in EMEA.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w:t>
      </w:r>
    </w:p>
    <w:p>
      <w:pPr>
        <w:ind w:left="660" w:hanging="324"/>
        <w:spacing w:after="0" w:line="26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w:t>
      </w:r>
    </w:p>
    <w:p>
      <w:pPr>
        <w:spacing w:after="0" w:line="21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as of November 30, 2025. With proper notice provided as contractually required, our clients can add to, delete portions of, or terminate service, subject to certain limitations.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As of November 30, 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ASV</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2,411.1</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from foreign currency movements</w:t>
            </w:r>
          </w:p>
        </w:tc>
        <w:tc>
          <w:tcPr>
            <w:tcW w:w="200" w:type="dxa"/>
            <w:vAlign w:val="bottom"/>
          </w:tcPr>
          <w:p>
            <w:pPr>
              <w:spacing w:after="0"/>
              <w:rPr>
                <w:sz w:val="19"/>
                <w:szCs w:val="19"/>
                <w:color w:val="auto"/>
              </w:rPr>
            </w:pP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23"/>
                <w:szCs w:val="23"/>
                <w:color w:val="auto"/>
                <w:vertAlign w:val="superscript"/>
              </w:rPr>
              <w:t>)</w:t>
            </w: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2,389.6</w:t>
            </w:r>
          </w:p>
        </w:tc>
      </w:tr>
      <w:tr>
        <w:trPr>
          <w:trHeight w:val="230"/>
        </w:trPr>
        <w:tc>
          <w:tcPr>
            <w:tcW w:w="8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Organic ASV annual growth rate</w:t>
            </w:r>
            <w:r>
              <w:rPr>
                <w:rFonts w:ascii="Times New Roman" w:cs="Times New Roman" w:eastAsia="Times New Roman" w:hAnsi="Times New Roman"/>
                <w:sz w:val="23"/>
                <w:szCs w:val="23"/>
                <w:i w:val="1"/>
                <w:iCs w:val="1"/>
                <w:color w:val="auto"/>
                <w:vertAlign w:val="superscript"/>
              </w:rPr>
              <w:t>(2)</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5.9 %</w:t>
            </w:r>
          </w:p>
        </w:tc>
      </w:tr>
    </w:tbl>
    <w:p>
      <w:pPr>
        <w:spacing w:after="0" w:line="189"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ASV from acquisitions completed within the last 12 months.</w:t>
      </w:r>
    </w:p>
    <w:p>
      <w:pPr>
        <w:spacing w:after="0" w:line="1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comparability purposes, in calculating the organic ASV annual growth rate, the prior year excludes ASV from dispositions completed in the last 12 months.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Organic ASV increased in all our segments, with the majority of the increase in the Americas. The increase in Organic ASV was primarily driven by workstations, data solutions and, to a lesser extent, CGS. This increase is derived from higher net sales to existing clients and, to a lesser extent, sales to new clients.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ASV from the Americas represented 65% of total ASV and was $1,575.8 million, an increase from $1,464.5 million as of November 30, 2024. Americas Organic ASV was $1,556.5 million as of November 30, 2025, a 6.4% increase from the prior year. The Organic ASV increase in the Americas was primarily driven by workstations and, to a lesser extent, data solutions and CGS.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ASV from EMEA represented 25% of total ASV and was $591.0 million, an increase from $572.4 million as of November 30, 2024. EMEA Organic ASV was $588.5 million as of November 30, 2025, a 3.7% increase from the prior year. The EMEA Organic ASV increase was mainly from data solutions and, to a lesser extent, workstations and CGS.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ASV from Asia Pacific represented 10% of total ASV and was $244.3 million, an increase from $229.0 million as of November 30, 2024. Asia Pacific Organic ASV was $244.6 million as of November 30, 2025, an 8.4% increase from the prior year. The Asia Pacific Organic ASV increase was primarily driven by data solutions, workstations and middle office solutions.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6700" w:type="dxa"/>
            <w:vAlign w:val="bottom"/>
          </w:tcPr>
          <w:p>
            <w:pPr>
              <w:spacing w:after="0"/>
              <w:rPr>
                <w:sz w:val="21"/>
                <w:szCs w:val="21"/>
                <w:color w:val="auto"/>
              </w:rPr>
            </w:pP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As of November 30,</w:t>
            </w: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6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2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244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9,003</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8,249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24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239,863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218,267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client count includes clients with ASV of $10,000 and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count increased mainly due to corporate clients and user count increased primarily due to wealth management users.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as of November 30, 2025 and November 30, 2024. When expressed as a percentage of clients, annual retention was 91% as of November 30, 2025 and November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our net employee headcount increased by 2.5% to 12,886, compared with 12,575 employees as of November 30, 2024. This net headcount growth was primarily driven by our continued investment in our centers of excellence ("COEs"), through an increase in employees based in India, and our Liquid Holdings, LLC ("LiquidityBook") acquisition.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compared to November 30, 2024, our net headcount growth was 3.0% in the Americas, 2.4% in Asia Pacific and 2.3% in EMEA. As of November 30, 2025, we had 8,921 employees located in Asia Pacific, 2,508 in the Americas and 1,457 in EMEA. Approximately 68% of our employees are located in our COEs.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months ended November 30, 2025 and November 30, 2024, the following discussion should be read in conjunction with the Consolidated Financial Statements and related Notes presented in Part I, Item 1. in this Quarterly Report on Form 10-Q.</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presented: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7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060" w:type="dxa"/>
            <w:vAlign w:val="bottom"/>
          </w:tcPr>
          <w:p>
            <w:pPr>
              <w:spacing w:after="0"/>
              <w:rPr>
                <w:sz w:val="24"/>
                <w:szCs w:val="24"/>
                <w:color w:val="auto"/>
              </w:rPr>
            </w:pPr>
          </w:p>
        </w:tc>
      </w:tr>
      <w:tr>
        <w:trPr>
          <w:trHeight w:val="270"/>
        </w:trPr>
        <w:tc>
          <w:tcPr>
            <w:tcW w:w="7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November 30,</w:t>
            </w:r>
          </w:p>
        </w:tc>
        <w:tc>
          <w:tcPr>
            <w:tcW w:w="1060" w:type="dxa"/>
            <w:vAlign w:val="bottom"/>
          </w:tcPr>
          <w:p>
            <w:pPr>
              <w:spacing w:after="0"/>
              <w:rPr>
                <w:sz w:val="23"/>
                <w:szCs w:val="23"/>
                <w:color w:val="auto"/>
              </w:rPr>
            </w:pPr>
          </w:p>
        </w:tc>
      </w:tr>
      <w:tr>
        <w:trPr>
          <w:trHeight w:val="378"/>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287,916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258,779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127,634</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0"/>
        </w:trPr>
        <w:tc>
          <w:tcPr>
            <w:tcW w:w="7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1060" w:type="dxa"/>
            <w:vAlign w:val="bottom"/>
            <w:shd w:val="clear" w:color="auto" w:fill="CCEEFF"/>
          </w:tcPr>
          <w:p>
            <w:pPr>
              <w:spacing w:after="0"/>
              <w:rPr>
                <w:sz w:val="19"/>
                <w:szCs w:val="19"/>
                <w:color w:val="auto"/>
              </w:rPr>
            </w:pPr>
          </w:p>
        </w:tc>
      </w:tr>
      <w:tr>
        <w:trPr>
          <w:trHeight w:val="228"/>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2025 compared with three months ended November 30,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in revenues of 6.9% was driven by a 6.0% increase in organic revenues, which totaled $600.0 million for the three months ended November 30, 2025, a 0.7% increase from acquisition revenues, net of a decrease in revenues from a disposition of a business at the end of the prior fiscal year, and a net increase of 0.2% from foreign currency exchange rate fluctuations. Revenues increased in all our geographic segments, primarily in the Americas. The increase in revenues was primarily driven by workstations, portfolio management and trading solutions, and data solutions.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4"/>
                <w:szCs w:val="24"/>
                <w:color w:val="auto"/>
              </w:rPr>
            </w:pPr>
          </w:p>
        </w:tc>
      </w:tr>
      <w:tr>
        <w:trPr>
          <w:trHeight w:val="270"/>
        </w:trPr>
        <w:tc>
          <w:tcPr>
            <w:tcW w:w="6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396,176</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367,242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65.2 %</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64.6 %</w:t>
            </w:r>
          </w:p>
        </w:tc>
        <w:tc>
          <w:tcPr>
            <w:tcW w:w="1180" w:type="dxa"/>
            <w:vAlign w:val="bottom"/>
          </w:tcPr>
          <w:p>
            <w:pPr>
              <w:spacing w:after="0"/>
              <w:rPr>
                <w:sz w:val="19"/>
                <w:szCs w:val="19"/>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149,517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143,725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c>
          <w:tcPr>
            <w:tcW w:w="118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61,928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18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607,621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568,667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50" w:lineRule="exact"/>
        <w:rPr>
          <w:sz w:val="20"/>
          <w:szCs w:val="20"/>
          <w:color w:val="auto"/>
        </w:rPr>
      </w:pPr>
    </w:p>
    <w:p>
      <w:pPr>
        <w:ind w:right="4300"/>
        <w:spacing w:after="0" w:line="462" w:lineRule="auto"/>
        <w:rPr>
          <w:sz w:val="20"/>
          <w:szCs w:val="20"/>
          <w:color w:val="auto"/>
        </w:rPr>
      </w:pPr>
      <w:r>
        <w:rPr>
          <w:rFonts w:ascii="Times New Roman" w:cs="Times New Roman" w:eastAsia="Times New Roman" w:hAnsi="Times New Roman"/>
          <w:sz w:val="18"/>
          <w:szCs w:val="18"/>
          <w:i w:val="1"/>
          <w:iCs w:val="1"/>
          <w:color w:val="auto"/>
        </w:rPr>
        <w:t>Three months ended November 30, 2025 compared with three months ended November 30, 2024 Americas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7.9% was driven by a 6.5% increase in organic revenues and a 1.4% increase from acquisition revenues, net of a decrease in revenues from a disposition of a business at the end of the prior fiscal year. The increase in revenues was driven by workstations, portfolio management and trading solutions, and data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growth in revenues of 4.0% was driven by a 4.0% increase in organic revenues and a 0.6% net increase from foreign currency exchange rate fluctuations, partially offset by a 0.6% decrease in revenues from a disposition, net of acquisition revenues. The increase in revenues was mainly from data solutions, partially offset by a decrease in revenues due to the disposition of a business at the end of the prior fiscal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7.3% was driven by an 8.3% increase in organic revenues and a 0.2% net increase from foreign currency exchange rate fluctuations, partially offset by a 1.2% decrease in revenues from a disposition, net of acquisition revenues. The increase in revenues was driven by data solutions and workstations, partially offset by a decrease in revenues due to the disposition of a business at the end of the prior fiscal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technology-related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bad debt expense, the impact from our foreign currency forward contracts and asset impairments.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r>
      <w:tr>
        <w:trPr>
          <w:trHeight w:val="270"/>
        </w:trPr>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287,916</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258,779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127,634</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118,553</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415,550</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377,332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0"/>
        </w:trPr>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192,071</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191,335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300" w:type="dxa"/>
            <w:vAlign w:val="bottom"/>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31.6 %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33.6 %</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2025 compared with three months ended November 30, 2024</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services was primarily due to higher employee compensation costs, amortization of intangible assets and technology-related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47.4% for the three months ended November 30, 2025, an increase of 190 basis points compared with the same period a year ago. This increase was primarily due to higher amortization of intangible assets and an increase in technology-related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100 basis points, mainly due to higher amortization from our capitalized internal-use software development costs.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by 80 basis points, primarily driven by higher spend related to cloud-based hosting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2025 compared with three months ended November 30, 2024</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SG&amp;A was primarily attributable to higher employee compensation costs. SG&amp;A, when expressed as a percentage of revenues, was 21.0% for the three months ended November 30, 2025, an increase of 20 basis points compared with the same period a year ago. The increase was primarily attributable to higher employee compensation costs, partially offset by charges related to the Sales Tax Dispute recorded in the prior year period and a decrease in professional fees.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110 basis points, primarily driven by higher stock-based compensation expense, variable compensation costs and an increase in annual base salaries. The higher stock-based compensation expense and variable compensation costs were due to equity awards and one-time cash awards, respectively, granted to our Chief Executive Officer ("CEO") pursuant to the terms of his employment agreement. The increase in annual base salaries was primarily driven by annual merit increases.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SG&amp;A decreased by 40 basis points due to charges related to the Sales Tax Dispute recorded in the prior year period. Refer to Part I, Item 1.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of this Quarterly Report on Form 10-Q for more information on the Sales Tax Dispute.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30 basis points, mainly due to acquisition-related costs recorded in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2025 compared with three months ended November 30,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increased 0.4% to $192.1 million for the three months ended November 30, 2025, compared with $191.3 million in the prior year period. This increase was primarily driven by growth in revenues, partially offset by higher employee compensation costs, amortization of intangible assets and technology-related expenses.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31.6% for the three months ended November 30, 2025, compared with 33.6% in the prior year period. When expenses are expressed as a percentage of revenues, this decrease was primarily driven by higher amortization of intangible assets, employee compensation costs and technology-related expenses, partially offset by growth in 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r>
      <w:tr>
        <w:trPr>
          <w:trHeight w:val="270"/>
        </w:trPr>
        <w:tc>
          <w:tcPr>
            <w:tcW w:w="7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November 30,</w:t>
            </w:r>
          </w:p>
        </w:tc>
        <w:tc>
          <w:tcPr>
            <w:tcW w:w="1180" w:type="dxa"/>
            <w:vAlign w:val="bottom"/>
          </w:tcPr>
          <w:p>
            <w:pPr>
              <w:spacing w:after="0"/>
              <w:rPr>
                <w:sz w:val="23"/>
                <w:szCs w:val="23"/>
                <w:color w:val="auto"/>
              </w:rPr>
            </w:pPr>
          </w:p>
        </w:tc>
      </w:tr>
      <w:tr>
        <w:trPr>
          <w:trHeight w:val="270"/>
        </w:trPr>
        <w:tc>
          <w:tcPr>
            <w:tcW w:w="7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192,071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2025 compared with three months ended November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operating income decreased primarily due to higher employee compensation costs, amortization of intangible assets and technology-related expenses, partially offset by growth in revenues of 7.9%.</w:t>
      </w:r>
    </w:p>
    <w:p>
      <w:pPr>
        <w:spacing w:after="0" w:line="121" w:lineRule="exact"/>
        <w:rPr>
          <w:sz w:val="20"/>
          <w:szCs w:val="20"/>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driven by higher stock-based compensation expense, variable compensation costs and an increase in annual base salaries. The higher stock-based compensation expense and variable compensation costs were due to equity awards and one-time cash awards, respectively, granted to our CEO pursuant to the terms of his employment agreement. The increase in annual base salaries was primarily driven by annual merit increases and net headcount growth of 72 employees.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primarily due to higher amortization from our capitalized internal-use software development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mainly driven by higher spend related to cloud-based hosting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decreased primarily due to higher employee compensation costs, partially offset by growth in revenues of 4.0%. Employee compensation costs increased mainly due to higher annual base salaries, primarily driven by annual merit increases and net headcount growth of 33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Asia Pacific operating income increased mainly due to growth in revenues of 7.3%, partially offset by higher employee compensation costs. Employee compensation costs increased primarily due to higher annual base salaries driven by annual merit increases and net headcount growth of 206 employees.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2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190,113</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179,739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37,533</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29,717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16.5 %</w:t>
            </w: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200"/>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U.S. and various state, local and foreign jurisdictions in which we conduct our business. Our effective tax rate will vary based on, among other factors, changes in levels of foreign income, as well as other non-recurring events.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November 30, 2025 and November 30, 2024 was 19.7% and 16.5%, respectively. The increase was primarily due to a stock-based compensation tax shortfall in the first quarter of fiscal 2026 compared to an excess tax benefit for the prior year period.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periods presented, our effective tax rates differ from the applicable U.S. corporate income tax rate primarily due to excess tax benefits or shortfalls from stock-based compensation, the U.S. tax impact of foreign earnings, research and development ("R&amp;D") tax credits, a foreign derived intangible income ("FDII") tax deduction and the impact of state income taxes.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580" w:type="dxa"/>
            <w:vAlign w:val="bottom"/>
          </w:tcPr>
          <w:p>
            <w:pPr>
              <w:spacing w:after="0"/>
              <w:rPr>
                <w:sz w:val="19"/>
                <w:szCs w:val="19"/>
                <w:color w:val="auto"/>
              </w:rPr>
            </w:pPr>
          </w:p>
        </w:tc>
        <w:tc>
          <w:tcPr>
            <w:tcW w:w="22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November 30,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3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38,517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income and Diluted EPS for the three months ended November 30, 2025, compared to the respective prior year period, was primarily driven by growth in revenues,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adjusted Diluted EPS and free cash flow. Reconciliations from our financial measures calculated and presented in accordance with GAAP to these non-GAAP financial measures are shown in the tables below, and the reconciliation of free cash flow is included in the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section. These non-GAAP financial measures should not be considered in isolation from, as a substitute for, or superior to, financial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Organic revenues excludes the current year impact of revenues from acquisitions and dispositions completed within the past 12 months ("Acquisition revenues" and "Disposition revenues", respectively) and the current year impact from changes in foreign currency. The table below provides an unaudited reconciliation of revenues to organic 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November 30,</w:t>
            </w:r>
          </w:p>
        </w:tc>
        <w:tc>
          <w:tcPr>
            <w:tcW w:w="126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6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 revenues</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60" w:type="dxa"/>
            <w:vAlign w:val="bottom"/>
            <w:shd w:val="clear" w:color="auto" w:fill="CCEEFF"/>
          </w:tcPr>
          <w:p>
            <w:pPr>
              <w:spacing w:after="0"/>
              <w:rPr>
                <w:sz w:val="19"/>
                <w:szCs w:val="19"/>
                <w:color w:val="auto"/>
              </w:rPr>
            </w:pPr>
          </w:p>
        </w:tc>
      </w:tr>
      <w:tr>
        <w:trPr>
          <w:trHeight w:val="230"/>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3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6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566,017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850"/>
        </w:trPr>
        <w:tc>
          <w:tcPr>
            <w:tcW w:w="3860" w:type="dxa"/>
            <w:vAlign w:val="bottom"/>
          </w:tcPr>
          <w:p>
            <w:pPr>
              <w:spacing w:after="0"/>
              <w:rPr>
                <w:sz w:val="24"/>
                <w:szCs w:val="24"/>
                <w:color w:val="auto"/>
              </w:rPr>
            </w:pPr>
          </w:p>
        </w:tc>
        <w:tc>
          <w:tcPr>
            <w:tcW w:w="36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 while adjusted EBITDA further excludes non-recurring non-cash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9"/>
                <w:szCs w:val="19"/>
                <w:color w:val="auto"/>
              </w:rPr>
            </w:pPr>
          </w:p>
        </w:tc>
        <w:tc>
          <w:tcPr>
            <w:tcW w:w="23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November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192,071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191,335</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19,170</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16,581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dispositions, acquisitions and related costs</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2,663</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2,398</w:t>
            </w: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220,094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213,750</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dispositions, acquisitions and related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from business disposition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247,646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non-cash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248,836</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229,856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dispositions, acquisitions and related costs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from business disposition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one-time make-whole cash and equity awards issued to our CEO, with the majority of the awards recognized over their respective service periods.</w:t>
      </w:r>
    </w:p>
    <w:p>
      <w:pPr>
        <w:spacing w:after="0" w:line="200" w:lineRule="exact"/>
        <w:rPr>
          <w:rFonts w:ascii="Times New Roman" w:cs="Times New Roman" w:eastAsia="Times New Roman" w:hAnsi="Times New Roman"/>
          <w:sz w:val="16"/>
          <w:szCs w:val="16"/>
          <w:color w:val="auto"/>
        </w:rPr>
      </w:pPr>
    </w:p>
    <w:p>
      <w:pPr>
        <w:spacing w:after="0" w:line="367"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line="283" w:lineRule="auto"/>
        <w:tabs>
          <w:tab w:leader="none" w:pos="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Related to a resolved matter with the Massachusetts Department of Revenue. Refer to Note 11,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Consolidated Financial Statements included in Part I, Item 1. of this Quarterly Report on Form 10-Q, for further discussion on this matter.</w:t>
      </w:r>
    </w:p>
    <w:p>
      <w:pPr>
        <w:spacing w:after="0" w:line="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59"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for the three months ended November 30, 2025 and November 30, 2024 were taxed at an adjusted tax rate of 19.6% and 25.2%,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November 30, 2025, Cash and cash equivalents were $275.4 million and restricted cash was $9.1 million, compared with Cash and cash equivalents of $337.7 million and restricted cash of $14.0 million as of August 31, 2025. Refer to </w:t>
      </w:r>
      <w:r>
        <w:rPr>
          <w:rFonts w:ascii="Times New Roman" w:cs="Times New Roman" w:eastAsia="Times New Roman" w:hAnsi="Times New Roman"/>
          <w:sz w:val="18"/>
          <w:szCs w:val="18"/>
          <w:i w:val="1"/>
          <w:iCs w:val="1"/>
          <w:color w:val="auto"/>
        </w:rPr>
        <w:t>Summary of Cash Flows,</w:t>
      </w:r>
      <w:r>
        <w:rPr>
          <w:rFonts w:ascii="Times New Roman" w:cs="Times New Roman" w:eastAsia="Times New Roman" w:hAnsi="Times New Roman"/>
          <w:sz w:val="18"/>
          <w:szCs w:val="18"/>
          <w:color w:val="auto"/>
        </w:rPr>
        <w:t xml:space="preserve"> within this section below, for more information on cash flows during the first quarter of fiscal 2026 and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November 30, 2025 are held in numerous locations throughout the world, with $142.5 million in the Americas, $79.3 million in EMEA (with the largest balance held in the UK) and the remaining $53.6 million in Asia Pacific (with the largest balance held in the Philippines).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Facility matures on April 8, 2028, and the 2025 Revolving Facility matures on April 8, 2030. 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made no repayments of the 2025 Term Facility during the three months ended November 30, 2025. Since loan inception on April 8, 2025, we have repaid $125.0 million under the 2025 Term Facility. Of this amount, $68.8 million satisfied all scheduled quarterly principal payments through maturity, eliminating any future mandatory quarterly principal payment requirements. The remaining $56.2 million was made as a voluntary prepayment. From the effective date of the 2025 Revolving Facility through November 30, 2025, we have had no borrowings under the 2025 Revolving Facility.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borrowing date through November 30, 2025,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through November 30, 2025.</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Debt issuance costs related to the 2025 Credit Facilities were $3.4 million. These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November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November 30, 2024, we repaid $62.5 million under the 2022 Term Facility. The 2022 Term Facility, originally due to mature on March 1, 2025, was repaid in full during the six months ended February 28, 2025. During the three months ended November 30, 2024, we borrowed an additional $55.0 million under the 2022 Revolving Facility. The 2022 Credit Agreement was terminated on April 8, 2025, concurrent with entering into the 2025 Credit Agreement.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leverage interest rate swap agreements to manage our floating interest rate exposure with a fixed interest rate. Our interest rate swap agreements are designated as cash flow hedges at inception.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SOFR debt with a fixed interest rate of 4.086%. The notional amount of the 2025 Swap Agreement declines by $50.0 million on a quarterly basis beginning May 31, 2025 and matures on February 28, 2026. As of November 30, 2025, the notional amount of the 2025 Swap Agreement was $50.0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this Quarterly Report on Form 10-Q, for further discussion of our exposure to interest rate risk on our outstanding floating rate debt.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$181.3 million and $88.0 million to our stockholders in the form of share repurchases and dividends during the three months ended November 30, 2025 and November 30, 2024, respectively. Over the last 12 months, we returned $553.7 million to our stockholders in the form of share repurchases and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three months ended November 30, 2025 and November 30, 2024, we repurchased 478,100 shares for $139.9 million and 104,475 shares for $48.8 million,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defined number of shares to be repurchased over a specified timeframe through the life of our share repurchase program. On June 17, 2025, our Board of Directors authorized up to $400 million for share repurchases on or after September 1, 2025. As of November 30, 2025, $260.1 million remained available under our share repurchase program.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16, 2025, our Board of Directors approved an additional $600 million in share repurchase authority, which is available immediately with no expiration date. The additional authorization also removed the expiration date from the June 17, 2025 authorization.</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2025 and November 30, 2024, we paid dividends of $41.4 million and $39.2 million, respectively. Future cash dividend payments are subject to final determination by our Board of Directors and will depend on our earnings, capital requirements, financial condition and other relevant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2025, capital expenditures increased by 19.2% to $30.8 million, compared with $25.9 million for the same period a year ago. This increase was primarily due to higher capitalized costs related to the development of our internal-use software, partially offset by a decrease in purchases of network-related equipment.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acquisitions with the most significant cash flows during fiscal 2025 through the first quarter of fiscal 2026 included Liquid Holdings, LLC ("LiquidityBook") and Platform Group Limited ("Irwin"). Refer to Note 5,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on these acquisitions.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LiquidityBook</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February 7, 2025, we completed the acquisition of LiquidityBook for a purchase price of $243.2 million, net of cash acquired, and inclusive of preliminary working capital adjustments. The purchase price included contingent consideration of $11.9 million, which reflects the acquisition date fair value of potential future payments that are contingent upon the achievement of certain specified milestones.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Irwin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We finalized the purchase accounting for the Irwin acquisition during the third quarter of fiscal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2025, we had total purchase obligations with suppliers and vendors of approximately $352 million. Our total purchase obligations as of August 31, 2025 primarily related to hosting services, acquisition of data and, to a lesser extent, third-party software providers. For the three months ended November 30, 2025, we had no new material purchase obligations.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our lease commitments and outstanding debt obligations,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121,284</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34,912</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149,388</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(190,512)</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(120,441)</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(67,173)</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66,638</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2025, net cash provided by operating activities was $121.3 million, which included net income of $152.6 million, non-cash charges of $67.7 million and a net cash outflow of $99.0 million to support our working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requirements. The non-cash charges were primarily driven by depreciation and amortization. The change in our working capital was primarily driven by cash outflows related to payments of our annual variable compensation.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November 30, 2024, net cash provided by operating activities was $86.4 million, which included net income of $150.0 million, non-cash charges of $79.8 million and a net cash outflow of $143.4 million to support our working capital requirements. The non-cash charges were primarily driven by depreciation and amortization and deferred income taxes. The change in our working capital was primarily driven by cash outflows related to payments of our annual variable compensation, payments to resolve the Sales Tax Dispute and timing of income tax and vendor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2025, net cash provided by investing activities was $4.3 million. The cash provided by investing activities primarily consisted of $36.1 million in proceeds from the sale of certain equity investments, partially offset by $30.8 million of capital expenditures mainly driven by the capitalization of internal-use software development costs.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2024, net cash used in investing activities was $145.1 million. The cash used in investing activities primarily consisted of $115.2 million of acquisition-related consideration, mainly related to the Irwin transaction, and $25.9 million of capital expenditures driven by the capitalization of internal-use software development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2025, net cash used in financing activities was $190.5 million, consisting mainly of $139.9 million of share repurchases and $41.4 million of dividend payments.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2024, net cash used in financing activities was $70.1 million, consisting mainly of $62.5 million related to the partial repayment of the 2022 Term Facility and $48.8 million of share repurchases, partially offset by $55.0 million of proceeds related to additional borrowings under the 2022 Revolving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consolidated net income and net cash provided by operating activities, but should not be used as a substitute for these key measures of our performance and liquidity.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86,372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34,912</w:t>
            </w: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(25,874)</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60,498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29,939</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November 30, 2025 and August 31, 2025, we had no off-balance sheet financing other than letters of credit incurred in the ordinary course of business.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letters of credit.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2025 and August 31, 2025,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three months ended November 30, 2025 and November 30, 2024, we maintained a series of foreign currency forward contracts to hedge a portion of our projected operating expenses in our primary currency exposures, namely the British Pound Sterling, Euro, Indian Rupee and Philippine Peso. As of November 30, 2025, the hedge maturity periods of our outstanding foreign currency forward contracts range from the second quarter of fiscal 2026 through the first quarter of fiscal 2027.</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3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2025. These accounting policies were consistently applied in preparing our Consolidated Financial Statements for the three months ended November 30, 2025.</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2025.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three months ended November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refer to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Risk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three months ended November 30, 2025, we maintained a series of foreign currency forward contracts to hedge a portion of our projected operating expenses in these primary currency exposures, namely the British Pound Sterling, Euro, Indian Rupee and Philippine Peso. As of November 30, 2025, the hedge maturity periods of our outstanding foreign currency forward contracts range from the second quarter of fiscal 2026 through the first quarter of fiscal 2027. Based on the operating income for the three months ended November 30, 2025, comparing the average foreign currency exchange rates for the three months ended November 30, 2025 to the respective rates for the three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November 30, 2024, net of hedge activity, resulted in an increase in operating income of $0.1 million. We utilize cash flow hedges to manage risk and not for speculative or trading purposes.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November 30, 2025, relative to the other foreign currencies in which we transact. The sensitivity analysis indicated that a devaluation of the U.S. dollar by 10% would have increased the fair value of our outstanding forward contracts by approximately $19 million as of November 30, 2025 and decreased our operating income, excluding these forward contracts, by an estimated $12 million for three months ended November 30, 2025.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color w:val="auto"/>
        </w:rPr>
        <w:t>November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2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(17,619)</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November 30, 2025, we had Cash and cash equivalents of $275.4 million and Investments of $17.2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2025, our outstanding floating rate debt included $375.0 million under the 2025 Credit Agreement. As of November 30, 2025, the outstanding borrowings under the 2025 Credit Agreement bore interest at a rate equal to the applicable one-month Term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2025 Swap Agreement on April 24, 2025, to hedge a portion of our outstanding floating SOFR debt with a fixed interest rate of 4.086%. As of November 30, 2025, the notional amount of the 2025 Swap Agreement was $50.0 million and matures on February 28,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change. As such, our interest rate exposure as of November 30, 2025 is limited to the outstanding principal balance of our floating rate debt under our 2025 Credit Facilities in excess of the 2025 Swap Agreement. As of November 30, 2025, our interest rate exposure equals the Term SOFR applied to $325.0 million, our outstanding debt, net of our 2025 Swap Agreement. Assuming the principal balance of our outstanding floating rate debt, net of the 2025 Swap Agreement, remained at $325.0 million, a hypothetical 25 basis point change (up or down) in the one-month SOFR would result in an approximate $1 million change to our annual interest expense.</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and swap agreement as of November 30,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that our disclosure controls and procedures were not effective as of November 30, 2025 due to a material weakness in internal control over financial reporting. This conclusion is due to a material weakness identified in the operation of certain key IT general controls. The material weakness is described below and represents a continuation of a sub-set of the control deficiencies which gave rise to the initial material weakness identified in management’s evaluation of our control environment as of August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Continuation of Previously Reported Material Weakness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in Part II, Item 9A. “Controls and Procedures” of our Annual Report on Form 10-K for the fiscal year ended August 31, 2025, we had not yet fully remediated a material weakness, initially identified during the fiscal year ended August 31, 2024, in the design and operation of IT general controls that support our revenues, accounts receivable, and deferred revenues processes which, in the aggregate, gave rise to a material weakness in internal control over financial reporting. While we have made significant progress remediating those control deficiencies, there remains certain deficiencies related to program change management and monitoring and user access in connection with segregation of duties and restrictions to appropriate users. As a result, the automated controls and IT dependent manual business process controls that rely upon information from the affected financial applications were also deemed not effective.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identifying the material weakness, management has made significant progress in enhancing the Company’s IT general controls to remediate the IT general control material weakness, however this effort remains ongoing. With the oversight of the Audit Committee of our Board of Directors, we have implemented remediation efforts to address the material weakness and enhance our IT general controls that support our revenues, accounts receivable, and deferred revenues processes. Our remediation efforts included:</w:t>
      </w:r>
    </w:p>
    <w:p>
      <w:pPr>
        <w:spacing w:after="0" w:line="139"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the control environment by implementing controls that increase the frequency and effectiveness of user management and change management, including improved logging and segregation of duties capabilities.</w:t>
      </w: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leading third-party accounting advisory firm, with appropriate internal control expertise and experience, to help evaluate the design of our controls as well as to assist with the documentation, remediation, and related controls testing.</w:t>
      </w: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also worked with the accounting advisory firm to revise the Company’s IT Risk and Control Matrix and to re-design certain controls around manage change and manage access to address the design deficiencies identified in fiscal 2024.</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key IT compliance personnel and a global head of internal audit.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Trained relevant personnel on the design and operation of our IT general controls over financial reporting.</w:t>
      </w:r>
    </w:p>
    <w:p>
      <w:pPr>
        <w:spacing w:after="0" w:line="16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While these efforts have resulted in significant progress toward remediating the material weakness, certain deficiencies remain, which management is committed to remediating. Our remediation plans include: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precision and documentation of the change monitoring and segregation of duties review controls through additional training and formalized standard operating procedures.</w:t>
      </w: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additional testing of the change monitoring and segregation of duties review controls to demonstrate the sustainability and repeatability of control operating effectiveness.</w:t>
      </w: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technology solutions to enhance the control framework for supporting change monitoring, segregation of duties and access management review controls.</w:t>
      </w: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utilize an expert third-party accounting advisory firm to evaluate the design of our controls as well as to assist with the documentation, remediation and associated testing.</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or modified measures may also be required to remediate the material weakness. We will not be able to conclude that we have completely remediated the material weakness until the applicable controls are fully implemented and have operated for a sufficient period of time and management has concluded, through formal testing, that the remediated controls are operating effectively. We expect to complete these remediation measures as early as practicable in fiscal 2026. We will continue to monitor the design and effectiveness of these and other processes, procedures, and controls and make any further changes management deems appropriate. We regularly report to the Audit Committee on our progress and will continue to do so in fiscal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ongoing remediation plans described above, there were no changes in the Company’s internal control over financial reporting (as such term is defined in Rules 13a-15(f) and 15d-15(f) under the Exchange Act) during the three months ended November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please see Part 1, Item 1A. "Risk Factors" in our Annual Report on Form 10-K for the fiscal year ended August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98" w:lineRule="exact"/>
        <w:rPr>
          <w:sz w:val="20"/>
          <w:szCs w:val="20"/>
          <w:color w:val="auto"/>
        </w:rPr>
      </w:pPr>
    </w:p>
    <w:p>
      <w:pPr>
        <w:ind w:left="660" w:hanging="490"/>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November 30, 2025:</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4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purchased as part of publicly Approximate dollar value of shares</w:t>
            </w:r>
          </w:p>
        </w:tc>
        <w:tc>
          <w:tcPr>
            <w:tcW w:w="0" w:type="dxa"/>
            <w:vAlign w:val="bottom"/>
          </w:tcPr>
          <w:p>
            <w:pPr>
              <w:spacing w:after="0"/>
              <w:rPr>
                <w:sz w:val="1"/>
                <w:szCs w:val="1"/>
                <w:color w:val="auto"/>
              </w:rPr>
            </w:pPr>
          </w:p>
        </w:tc>
      </w:tr>
      <w:tr>
        <w:trPr>
          <w:trHeight w:val="176"/>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5"/>
                <w:szCs w:val="15"/>
                <w:color w:val="auto"/>
              </w:rPr>
            </w:pPr>
          </w:p>
        </w:tc>
        <w:tc>
          <w:tcPr>
            <w:tcW w:w="24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9"/>
              </w:rPr>
              <w:t>that may yet be purchased under</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the plans or programs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354,408</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302,915</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260,101</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499,474</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478,100</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478,100 shares purchased under the stock repurchase program, as well as 21,374 shares repurchased to satisfy withholding tax obligations due upon the vesting of stock-based awards.</w:t>
      </w:r>
    </w:p>
    <w:p>
      <w:pPr>
        <w:spacing w:after="0" w:line="16"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17, 2025, our Board of Directors authorized up to $400 million for share repurchases on or after September 1, 2025. As of November 30, 2025, $260.1 million remained available under our share repurchase program. On December 16, 2025, our Board of Directors approved an additional $600 million in share repurchase authority, which is available immediately with no expiration date. The additional authorization also removed the expiration date from the June 17, 2025 authorization.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or terminated a Rule 10b5-1 trading arrangement or a non-Rule 10b5-1 trading arrangement (each as defined in Item 408(a) and (c) of Regulation S-K) during the quarter ended November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494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7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14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2080" w:type="dxa"/>
            <w:vAlign w:val="bottom"/>
            <w:gridSpan w:val="2"/>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Exhibit No. Filing Date</w:t>
            </w:r>
          </w:p>
        </w:tc>
        <w:tc>
          <w:tcPr>
            <w:tcW w:w="10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87"/>
        </w:trPr>
        <w:tc>
          <w:tcPr>
            <w:tcW w:w="360" w:type="dxa"/>
            <w:vAlign w:val="bottom"/>
            <w:tcBorders>
              <w:left w:val="single" w:sz="8" w:color="auto"/>
            </w:tcBorders>
            <w:gridSpan w:val="3"/>
            <w:vMerge w:val="restart"/>
          </w:tcPr>
          <w:p>
            <w:pPr>
              <w:ind w:left="40"/>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3.1</w:t>
              </w:r>
            </w:hyperlink>
          </w:p>
        </w:tc>
        <w:tc>
          <w:tcPr>
            <w:tcW w:w="980" w:type="dxa"/>
            <w:vAlign w:val="bottom"/>
          </w:tcPr>
          <w:p>
            <w:pPr>
              <w:spacing w:after="0"/>
              <w:rPr>
                <w:sz w:val="16"/>
                <w:szCs w:val="16"/>
                <w:color w:val="auto"/>
              </w:rPr>
            </w:pPr>
          </w:p>
        </w:tc>
        <w:tc>
          <w:tcPr>
            <w:tcW w:w="4940" w:type="dxa"/>
            <w:vAlign w:val="bottom"/>
            <w:gridSpan w:val="11"/>
          </w:tcPr>
          <w:p>
            <w:pPr>
              <w:spacing w:after="0" w:line="187"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FactSet Research Systems Inc. Third Amended and Restated</w:t>
              </w:r>
            </w:hyperlink>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001-11869</w:t>
            </w:r>
          </w:p>
        </w:tc>
        <w:tc>
          <w:tcPr>
            <w:tcW w:w="10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12/22/2025</w:t>
            </w:r>
          </w:p>
        </w:tc>
        <w:tc>
          <w:tcPr>
            <w:tcW w:w="1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auto"/>
            </w:tcBorders>
            <w:gridSpan w:val="3"/>
            <w:vMerge w:val="continue"/>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60" w:type="dxa"/>
            <w:vAlign w:val="bottom"/>
            <w:tcBorders>
              <w:left w:val="single" w:sz="8" w:color="auto"/>
            </w:tcBorders>
            <w:gridSpan w:val="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940" w:type="dxa"/>
            <w:vAlign w:val="bottom"/>
            <w:gridSpan w:val="11"/>
            <w:vMerge w:val="restart"/>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Incorporation</w:t>
              </w:r>
            </w:hyperlink>
          </w:p>
        </w:tc>
        <w:tc>
          <w:tcPr>
            <w:tcW w:w="7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0" w:type="dxa"/>
            <w:vAlign w:val="bottom"/>
            <w:tcBorders>
              <w:left w:val="single" w:sz="8" w:color="auto"/>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940" w:type="dxa"/>
            <w:vAlign w:val="bottom"/>
            <w:gridSpan w:val="11"/>
            <w:vMerge w:val="continue"/>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340" w:type="dxa"/>
            <w:vAlign w:val="bottom"/>
            <w:tcBorders>
              <w:top w:val="single" w:sz="8" w:color="0000FF"/>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49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4"/>
            <w:vMerge w:val="continue"/>
          </w:tcPr>
          <w:p>
            <w:pPr>
              <w:spacing w:after="0"/>
              <w:rPr>
                <w:sz w:val="13"/>
                <w:szCs w:val="13"/>
                <w:color w:val="auto"/>
              </w:rPr>
            </w:pPr>
          </w:p>
        </w:tc>
        <w:tc>
          <w:tcPr>
            <w:tcW w:w="47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49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4"/>
            <w:vMerge w:val="continue"/>
          </w:tcPr>
          <w:p>
            <w:pPr>
              <w:spacing w:after="0"/>
              <w:rPr>
                <w:sz w:val="13"/>
                <w:szCs w:val="13"/>
                <w:color w:val="auto"/>
              </w:rPr>
            </w:pPr>
          </w:p>
        </w:tc>
        <w:tc>
          <w:tcPr>
            <w:tcW w:w="46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476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w:t>
            </w:r>
          </w:p>
        </w:tc>
        <w:tc>
          <w:tcPr>
            <w:tcW w:w="18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4"/>
            <w:vMerge w:val="continue"/>
          </w:tcPr>
          <w:p>
            <w:pPr>
              <w:spacing w:after="0"/>
              <w:rPr>
                <w:sz w:val="13"/>
                <w:szCs w:val="13"/>
                <w:color w:val="auto"/>
              </w:rPr>
            </w:pPr>
          </w:p>
        </w:tc>
        <w:tc>
          <w:tcPr>
            <w:tcW w:w="4940" w:type="dxa"/>
            <w:vAlign w:val="bottom"/>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w:t>
            </w: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94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4"/>
          </w:tcPr>
          <w:p>
            <w:pPr>
              <w:ind w:left="40"/>
              <w:spacing w:after="0" w:line="156" w:lineRule="exact"/>
              <w:rPr>
                <w:sz w:val="20"/>
                <w:szCs w:val="20"/>
                <w:color w:val="auto"/>
              </w:rPr>
            </w:pPr>
            <w:r>
              <w:rPr>
                <w:rFonts w:ascii="Times New Roman" w:cs="Times New Roman" w:eastAsia="Times New Roman" w:hAnsi="Times New Roman"/>
                <w:sz w:val="18"/>
                <w:szCs w:val="18"/>
                <w:color w:val="0000FF"/>
              </w:rPr>
              <w:t>32.2</w:t>
            </w:r>
          </w:p>
        </w:tc>
        <w:tc>
          <w:tcPr>
            <w:tcW w:w="47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w:t>
            </w:r>
          </w:p>
        </w:tc>
        <w:tc>
          <w:tcPr>
            <w:tcW w:w="2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84"/>
              </w:rPr>
              <w:t>Act</w:t>
            </w: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Borders>
              <w:right w:val="single" w:sz="8" w:color="auto"/>
            </w:tcBorders>
          </w:tcPr>
          <w:p>
            <w:pPr>
              <w:ind w:left="10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94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940" w:type="dxa"/>
            <w:vAlign w:val="bottom"/>
            <w:gridSpan w:val="11"/>
          </w:tcPr>
          <w:p>
            <w:pPr>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4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14"/>
                <w:szCs w:val="14"/>
                <w:color w:val="auto"/>
              </w:rPr>
            </w:pPr>
          </w:p>
        </w:tc>
        <w:tc>
          <w:tcPr>
            <w:tcW w:w="494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49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940" w:type="dxa"/>
            <w:vAlign w:val="bottom"/>
            <w:tcBorders>
              <w:bottom w:val="single" w:sz="8" w:color="auto"/>
            </w:tcBorders>
            <w:gridSpan w:val="11"/>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80" w:type="dxa"/>
            <w:vAlign w:val="bottom"/>
            <w:gridSpan w:val="6"/>
          </w:tcPr>
          <w:p>
            <w:pPr>
              <w:ind w:left="420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L. SHAN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L. Shan</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2" w:name="page53"/>
    <w:bookmarkEnd w:id="52"/>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Sanoke Viswanathan, certify that:</w:t>
      </w:r>
    </w:p>
    <w:p>
      <w:pPr>
        <w:spacing w:after="0" w:line="185"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5, 2026</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Sanoke Viswanathan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January 5,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2025, as filed with the Securities and Exchange Commission on the date hereof (the “Report”), I, Sanoke Viswanathan,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Sanoke Viswanathan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January 5, 2026</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2025, as filed with the Securities and Exchange Commission on the date hereof (the “Report”), I, Helen L. Shan,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January 5,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endash "/>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Roman"/>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0" Type="http://schemas.openxmlformats.org/officeDocument/2006/relationships/hyperlink" Target="https://www.sec.gov/Archives/edgar/data/1013237/000162828025058577/factsetresearchsystemsin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2026-01-05T06:41:26Z</dcterms:created>
  <dcterms:modified xsi:type="dcterms:W3CDTF">2026-01-05T06:41:26Z</dcterms:modified>
</cp:coreProperties>
</file>