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32"/>
          <w:szCs w:val="32"/>
          <w:b w:val="1"/>
          <w:bCs w:val="1"/>
          <w:u w:val="single" w:color="auto"/>
          <w:color w:val="auto"/>
        </w:rPr>
        <w:t>orm 10-</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-215265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9" w:lineRule="exact"/>
        <w:rPr>
          <w:sz w:val="24"/>
          <w:szCs w:val="24"/>
          <w:color w:val="auto"/>
        </w:rPr>
      </w:pPr>
    </w:p>
    <w:p>
      <w:pPr>
        <w:ind w:left="3880" w:right="1660" w:hanging="3872"/>
        <w:spacing w:after="0" w:line="501" w:lineRule="auto"/>
        <w:tabs>
          <w:tab w:leader="none" w:pos="5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November 30, 2017</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40" w:right="1660" w:hanging="3832"/>
        <w:spacing w:after="0" w:line="501" w:lineRule="auto"/>
        <w:tabs>
          <w:tab w:leader="none" w:pos="5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1-11869</w:t>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-215265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43180</wp:posOffset>
            </wp:positionV>
            <wp:extent cx="142367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216"/>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2"/>
              </w:rPr>
              <w:t>incorporation or organization)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601 Merritt 7, Norwalk, Connecticut</w:t>
            </w:r>
          </w:p>
        </w:tc>
        <w:tc>
          <w:tcPr>
            <w:tcW w:w="316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06851</w:t>
            </w:r>
          </w:p>
        </w:tc>
      </w:tr>
      <w:tr>
        <w:trPr>
          <w:trHeight w:val="230"/>
        </w:trPr>
        <w:tc>
          <w:tcPr>
            <w:tcW w:w="46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2220" w:type="dxa"/>
            <w:vAlign w:val="bottom"/>
            <w:vMerge w:val="restart"/>
          </w:tcPr>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p>
        </w:tc>
        <w:tc>
          <w:tcPr>
            <w:tcW w:w="2080" w:type="dxa"/>
            <w:vAlign w:val="bottom"/>
            <w:vMerge w:val="restart"/>
          </w:tcPr>
          <w:p>
            <w:pPr>
              <w:ind w:left="300"/>
              <w:spacing w:after="0" w:line="207" w:lineRule="exact"/>
              <w:rPr>
                <w:sz w:val="20"/>
                <w:szCs w:val="20"/>
                <w:color w:val="auto"/>
              </w:rPr>
            </w:pP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highlight w:val="black"/>
              </w:rPr>
              <w:t>☐</w:t>
            </w:r>
          </w:p>
        </w:tc>
        <w:tc>
          <w:tcPr>
            <w:tcW w:w="2480" w:type="dxa"/>
            <w:vAlign w:val="bottom"/>
            <w:vMerge w:val="restart"/>
          </w:tcPr>
          <w:p>
            <w:pPr>
              <w:ind w:left="320"/>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highlight w:val="black"/>
              </w:rPr>
              <w:t>☐</w:t>
            </w:r>
          </w:p>
        </w:tc>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Smaller reporting</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Emerging growth</w:t>
            </w:r>
          </w:p>
        </w:tc>
        <w:tc>
          <w:tcPr>
            <w:tcW w:w="0" w:type="dxa"/>
            <w:vAlign w:val="bottom"/>
          </w:tcPr>
          <w:p>
            <w:pPr>
              <w:spacing w:after="0"/>
              <w:rPr>
                <w:sz w:val="1"/>
                <w:szCs w:val="1"/>
                <w:color w:val="auto"/>
              </w:rPr>
            </w:pPr>
          </w:p>
        </w:tc>
      </w:tr>
      <w:tr>
        <w:trPr>
          <w:trHeight w:val="175"/>
        </w:trPr>
        <w:tc>
          <w:tcPr>
            <w:tcW w:w="222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2180" w:type="dxa"/>
            <w:vAlign w:val="bottom"/>
            <w:vMerge w:val="restart"/>
          </w:tcPr>
          <w:p>
            <w:pPr>
              <w:jc w:val="center"/>
              <w:ind w:right="30"/>
              <w:spacing w:after="0" w:line="207" w:lineRule="exact"/>
              <w:rPr>
                <w:sz w:val="20"/>
                <w:szCs w:val="20"/>
                <w:color w:val="auto"/>
              </w:rPr>
            </w:pPr>
            <w:r>
              <w:rPr>
                <w:rFonts w:ascii="Arial" w:cs="Arial" w:eastAsia="Arial" w:hAnsi="Arial"/>
                <w:sz w:val="18"/>
                <w:szCs w:val="18"/>
                <w:b w:val="1"/>
                <w:bCs w:val="1"/>
                <w:color w:val="auto"/>
                <w:w w:val="88"/>
              </w:rPr>
              <w:t xml:space="preserve">company </w:t>
            </w:r>
            <w:r>
              <w:rPr>
                <w:rFonts w:ascii="MS PGothic" w:cs="MS PGothic" w:eastAsia="MS PGothic" w:hAnsi="MS PGothic"/>
                <w:sz w:val="18"/>
                <w:szCs w:val="18"/>
                <w:color w:val="auto"/>
                <w:highlight w:val="black"/>
                <w:w w:val="88"/>
              </w:rPr>
              <w:t>☐</w:t>
            </w:r>
          </w:p>
        </w:tc>
        <w:tc>
          <w:tcPr>
            <w:tcW w:w="1820" w:type="dxa"/>
            <w:vAlign w:val="bottom"/>
            <w:vMerge w:val="restart"/>
          </w:tcPr>
          <w:p>
            <w:pPr>
              <w:jc w:val="center"/>
              <w:ind w:left="370"/>
              <w:spacing w:after="0" w:line="207" w:lineRule="exact"/>
              <w:rPr>
                <w:sz w:val="20"/>
                <w:szCs w:val="20"/>
                <w:color w:val="auto"/>
              </w:rPr>
            </w:pPr>
            <w:r>
              <w:rPr>
                <w:rFonts w:ascii="Arial" w:cs="Arial" w:eastAsia="Arial" w:hAnsi="Arial"/>
                <w:sz w:val="18"/>
                <w:szCs w:val="18"/>
                <w:b w:val="1"/>
                <w:bCs w:val="1"/>
                <w:color w:val="auto"/>
                <w:w w:val="90"/>
              </w:rPr>
              <w:t xml:space="preserve">company </w:t>
            </w:r>
            <w:r>
              <w:rPr>
                <w:rFonts w:ascii="MS PGothic" w:cs="MS PGothic" w:eastAsia="MS PGothic" w:hAnsi="MS PGothic"/>
                <w:sz w:val="18"/>
                <w:szCs w:val="18"/>
                <w:color w:val="auto"/>
                <w:highlight w:val="black"/>
                <w:w w:val="90"/>
              </w:rPr>
              <w:t>☐</w:t>
            </w: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December 31, 2017 was 39,023,879.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Ended November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Income for the three months ended November 30, 2017 and 2016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Comprehensive Income for the three months ended November 30, 2017 and 2016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Balance Sheets at November 30, 2017 and August 31, 2017</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Cash Flows for the three months ended November 30, 2017 and 2016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the Consolidated Financial Statements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5.</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For additional information about FactSet Research Systems Inc. and access to its Annual Reports to Stockholders and Securities and Exchange Commission filings, free of charge, please visit the website at </w:t>
      </w:r>
      <w:r>
        <w:rPr>
          <w:rFonts w:ascii="Arial" w:cs="Arial" w:eastAsia="Arial" w:hAnsi="Arial"/>
          <w:sz w:val="18"/>
          <w:szCs w:val="18"/>
          <w:u w:val="single" w:color="auto"/>
          <w:color w:val="auto"/>
        </w:rPr>
        <w:t>http://investor.factset.com</w:t>
      </w:r>
      <w:r>
        <w:rPr>
          <w:rFonts w:ascii="Arial" w:cs="Arial" w:eastAsia="Arial" w:hAnsi="Arial"/>
          <w:sz w:val="18"/>
          <w:szCs w:val="18"/>
          <w:color w:val="auto"/>
        </w:rPr>
        <w:t>. Any information on or linked from the website is not incorporated by reference into this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 Unaudited</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329,141</w:t>
            </w:r>
          </w:p>
        </w:tc>
        <w:tc>
          <w:tcPr>
            <w:tcW w:w="56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127,250</w:t>
            </w: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78,519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70,494</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197,744</w:t>
            </w:r>
          </w:p>
        </w:tc>
      </w:tr>
      <w:tr>
        <w:trPr>
          <w:trHeight w:val="216"/>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89,098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90,319</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86,179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89,820</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23,237</w:t>
            </w: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70,379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66,583</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76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1.80</w:t>
            </w:r>
          </w:p>
        </w:tc>
        <w:tc>
          <w:tcPr>
            <w:tcW w:w="5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39,827</w:t>
            </w: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39,680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40,100</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70,379</w:t>
            </w:r>
          </w:p>
        </w:tc>
        <w:tc>
          <w:tcPr>
            <w:tcW w:w="56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Net unrealized (loss) gain on cash flow hedges*</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800"/>
              <w:spacing w:after="0"/>
              <w:rPr>
                <w:sz w:val="20"/>
                <w:szCs w:val="20"/>
                <w:color w:val="auto"/>
              </w:rPr>
            </w:pPr>
            <w:r>
              <w:rPr>
                <w:rFonts w:ascii="Arial" w:cs="Arial" w:eastAsia="Arial" w:hAnsi="Arial"/>
                <w:sz w:val="18"/>
                <w:szCs w:val="18"/>
                <w:color w:val="auto"/>
              </w:rPr>
              <w:t>Other comprehensive income (loss)</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7,990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78,369</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months ended November 30, 2017, the unrealized loss on cash flow hedges was net of tax benefits of $288. For the three months ended November 30, 2016, the unrealized gain on cash flow hedges was net of tax expense of $261.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November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3"/>
              </w:rPr>
              <w:t>(Unaudited)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221,933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6"/>
              </w:rPr>
              <w:t>Accounts receivable, net of reserves of $2,920 at November 30, 2017 and $2,738 at August 31, 2017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144,848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427,012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712,476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6,975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1,430,602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67,669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20,658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21,902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574,666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36,913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812,385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Commitments and contingencies (See Note 17)</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$.01 par value, 150,000,000 shares authorized, 52,101,426 and 51,845,132 shares issued;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39,110,080 and 39,023,032 shares outstanding at November 30, 2017 and August 31, 2017,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775,509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Treasury stock, at cost: 12,991,346 and 12,822,100 shares at November 30, 2017 and August 31, 2017,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(1,638,384)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1,507,301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618,217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559,691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1,430,602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jc w:val="right"/>
              <w:ind w:right="9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November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November 30,</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70,379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Tax benefits from share-based payment arrangements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receivable, net of reserves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(40,384)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fees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Taxes payable, net of prepaid taxes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7,401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Deferred rent and other non-current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working capital accounts, net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61,143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businesses, net of cash acquired</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6"/>
              </w:rPr>
              <w:t>Purchases of property, equipment and leasehold improvements, net of proceeds from dispositions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Dividend payments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(21,682)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debt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Purchase of business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Tax benefits from share-based payment arrangements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Arial" w:cs="Arial" w:eastAsia="Arial" w:hAnsi="Arial"/>
                <w:sz w:val="18"/>
                <w:szCs w:val="18"/>
                <w:b w:val="1"/>
                <w:bCs w:val="1"/>
                <w:color w:val="auto"/>
              </w:rPr>
              <w:t>Net cash used by financing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(30,814)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194,731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228,407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221,933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 for the global investment community. The Company delivers insight and information to investment professionals through its analytics, services, content, and technology. These professionals include portfolio managers, investment research professionals, investment bankers, risk and performance analysts, and wealth advisors. From streaming real-time data to historical information, including quotes, estimates, news and commentary, FactSet offers unique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Company’s revenues are derived from subscriptions to products and services such as workstations, analytics, enterprise data, research management, and trade execution.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FactSet conducts business globally and is managed on a geographic basis. The accompanying consolidated financial statements include the accounts of the Company and its wholly owned subsidiaries. All intercompany activity and balances have been eliminated from the consolidated financial statements.</w:t>
      </w:r>
    </w:p>
    <w:p>
      <w:pPr>
        <w:spacing w:after="0" w:line="12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unaudited condensed consolidated financial statements of FactSet and the accompanying notes included in this Quarterly Report on Form 10-Q are prepared in accordance with generally accepted accounting principles in the United States ("GAAP"). In the opinion of management, the accompanying condensed consolidated financial statements include all normal recurring adjustments, transactions or events discretely impacting the interim periods considered necessary to fairly state our results of operations, financial position and cash flows. The information in this Form 10-Q should be read in conjunction with the consolidated financial statements and notes thereto included in the Company’s Annual Report on Form 10-K for the fiscal year ended August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the beginning of fiscal 2018, FactSet implemented all applicable new accounting standards and updates issued by the Financial Accounting Standards Board (“FASB”) that were in effect. There were no new standards or updates adopted during the first three months of fiscal 2018 that had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November 2015 to simplify the presentation of deferred taxes on the balance sheet. This accounting standard update requires an entity to present all deferred tax assets and deferred tax liabilities as non-current on the balance sheet. Under the previous guidance, entities were required to separately present deferred taxes as current or non-current. Netting deferred tax assets and deferred tax liabilities by tax jurisdiction will still be required under the new guidance. This accounting standard update is a change to the balance sheet presentation only. The changes have been applied prospectively as permitted by the standard and prior periods have not been restated.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March 2016, which simplifies several aspects of the accounting for employee share-based payment transactions, including the accounting for income taxes, forfeitures and statutory tax withholding requirements, as well as classification in the statement of cash flows. This accounting standard update will increase the volatility within the Company’s provision for income taxes as all excess tax benefits or deficiencies related to share-based payments, that were previously reported within equity, are now recognized in the consolidated statement of income. In addition, this standard changes the classification of excess tax benefits presented in the Company's consolidated statements of cash flows from a financing activity to an operating activity, which has be applied on a prospective basis as permitted by the standard and prior periods have not been restated. Share-based payment expense will continue to reflect estimated forfeitures of share-based payment awards. The adoption of this standard resulted in the recognition of $4.1 million of excess tax benefits to FactSet’s provision for income taxes during the first quarter of fiscal 2018. The recognition of these benefits contributed $0.09 to diluted earnings per share for the three months ended November 30, 2017. The remaining provisions of this standard did not have a material impact on the Company’s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2014 and July 2015, the FASB issued accounting standard updates, which provide clarified principles for recognizing revenue arising from contracts with clients and supersede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These accounting standard updates will be effective for FactSet beginning in the first quarter of fiscal 2019, with early adoption in fiscal 2018 permitted and allow for either full retrospective or modified retrospective adoption. The Company plans to adopt the standard on September 1, 2018 and is currently evaluating the impact of these accounting standard updates on its consolidated financial statements and the method of adoption.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2016, the FASB issued an accounting standard update to amend its current guidance on the classification and measurement of certain financial instruments. The accounting standard update significantly revises an entity’s accounting related to the presentation of certain fair value changes for financial liabilities measured at fair value. This guidance also amends certain disclosure requirements associated with the fair value of financial instruments. This guidance will be effective for FactSet beginning in the first quarter of fiscal 2019. The Company is currently evaluating the impact of this accounting standard update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U.S.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May 2017, the FASB issued an accounting standard update, which amends the scope of modification accounting for share-based payment arrangements. The guidance focuses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August 2016, the FASB issued an accounting standard update, which simplifies how certain transactions are classified in the statement of cash flows. This includes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This accounting standard update will be effective for FactSet beginning in the first quarter of fiscal 2019. The Company is currently evaluating the impact of this accounting standard update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October 2016, the FASB issued an accounting standard update, which removes the prohibition against the immediate recognition of the current and deferred income tax effects of intra-entity transfers of assets other than inventory. The guidance is intended to reduce diversity in practice related to the tax consequences of certain types of intra-entity asset transfers, particularly those involving intellectual property. This accounting standard update will be effective for FactSet beginning in the first quarter of fiscal 2019. The Company is currently evaluating the impact of this accounting standard update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FactSet beginning in the first quarter of fiscal 2021, with early adoption permitted for any impairment tests performed after January 1, 2017. The Company is currently evaluating the impact of this accounting standard update on its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August 2017, the FASB issued an accounting standard update to reduce the complexity of and simplify the application of hedging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FactSet beginning in the first quarter of fiscal 2020, with early adoption permitted. The Company is currently evaluating the impact of this accounting standard update on its consolidated financial statements.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other new accounting pronouncements issued or effective as of November 30, 2017 have had or are expected to have an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u w:val="single" w:color="auto"/>
          <w:color w:val="auto"/>
        </w:rPr>
        <w:t>Level 3</w:t>
      </w:r>
      <w:r>
        <w:rPr>
          <w:rFonts w:ascii="Arial" w:cs="Arial" w:eastAsia="Arial" w:hAnsi="Arial"/>
          <w:sz w:val="16"/>
          <w:szCs w:val="16"/>
          <w:i w:val="1"/>
          <w:iCs w:val="1"/>
          <w:color w:val="auto"/>
        </w:rPr>
        <w:t xml:space="preserve"> </w:t>
      </w:r>
      <w:r>
        <w:rPr>
          <w:rFonts w:ascii="Arial" w:cs="Arial" w:eastAsia="Arial" w:hAnsi="Arial"/>
          <w:sz w:val="16"/>
          <w:szCs w:val="16"/>
          <w:color w:val="auto"/>
        </w:rPr>
        <w:t>– applies to assets or liabilities for which there are unobservable inputs to the valuation methodology that are significant to the measurement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assets or liabilities. There were no Level 3 assets or liabilities held by the Company as of November 30, 2017 or August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shows by level within the fair value hierarchy the Company’s assets and liabilities that are measured at fair value on a 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 and August 31,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gridSpan w:val="11"/>
          </w:tcPr>
          <w:p>
            <w:pPr>
              <w:jc w:val="right"/>
              <w:ind w:right="60"/>
              <w:spacing w:after="0"/>
              <w:rPr>
                <w:sz w:val="20"/>
                <w:szCs w:val="20"/>
                <w:color w:val="auto"/>
              </w:rPr>
            </w:pPr>
            <w:r>
              <w:rPr>
                <w:rFonts w:ascii="Arial" w:cs="Arial" w:eastAsia="Arial" w:hAnsi="Arial"/>
                <w:sz w:val="18"/>
                <w:szCs w:val="18"/>
                <w:color w:val="auto"/>
              </w:rPr>
              <w:t>Fair Value Measurements at November 30, 2017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0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47,741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47,741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11,202</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47,741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37,052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gridSpan w:val="11"/>
          </w:tcPr>
          <w:p>
            <w:pPr>
              <w:jc w:val="right"/>
              <w:ind w:right="120"/>
              <w:spacing w:after="0"/>
              <w:rPr>
                <w:sz w:val="20"/>
                <w:szCs w:val="20"/>
                <w:color w:val="auto"/>
              </w:rPr>
            </w:pPr>
            <w:r>
              <w:rPr>
                <w:rFonts w:ascii="Arial" w:cs="Arial" w:eastAsia="Arial" w:hAnsi="Arial"/>
                <w:sz w:val="18"/>
                <w:szCs w:val="18"/>
                <w:color w:val="auto"/>
              </w:rPr>
              <w:t>Fair Value Measurements at August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18,364</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14,080</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38,586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40" w:hanging="215"/>
        <w:spacing w:after="0" w:line="264" w:lineRule="auto"/>
        <w:rPr>
          <w:sz w:val="20"/>
          <w:szCs w:val="20"/>
          <w:color w:val="auto"/>
        </w:rPr>
      </w:pPr>
      <w:r>
        <w:rPr>
          <w:rFonts w:ascii="Arial" w:cs="Arial" w:eastAsia="Arial" w:hAnsi="Arial"/>
          <w:sz w:val="18"/>
          <w:szCs w:val="18"/>
          <w:i w:val="1"/>
          <w:iCs w:val="1"/>
          <w:color w:val="auto"/>
        </w:rPr>
        <w:t>(1)The Company’s corporate money market funds are traded in an active market and the net asset value of each fund on the last day of the quarter is used to determine its fair value. As such, the Company’s corporate money market funds are classified as Level 1 and included in cash and cash equivalents on the Consolidated Balance Sheets.</w:t>
      </w:r>
    </w:p>
    <w:p>
      <w:pPr>
        <w:spacing w:after="0" w:line="181" w:lineRule="exact"/>
        <w:rPr>
          <w:sz w:val="20"/>
          <w:szCs w:val="20"/>
          <w:color w:val="auto"/>
        </w:rPr>
      </w:pPr>
    </w:p>
    <w:p>
      <w:pPr>
        <w:ind w:left="340" w:right="160" w:hanging="215"/>
        <w:spacing w:after="0" w:line="286" w:lineRule="auto"/>
        <w:rPr>
          <w:sz w:val="20"/>
          <w:szCs w:val="20"/>
          <w:color w:val="auto"/>
        </w:rPr>
      </w:pPr>
      <w:r>
        <w:rPr>
          <w:rFonts w:ascii="Arial" w:cs="Arial" w:eastAsia="Arial" w:hAnsi="Arial"/>
          <w:sz w:val="17"/>
          <w:szCs w:val="17"/>
          <w:i w:val="1"/>
          <w:iCs w:val="1"/>
          <w:color w:val="auto"/>
        </w:rPr>
        <w:t>(2)The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166" w:lineRule="exact"/>
        <w:rPr>
          <w:sz w:val="20"/>
          <w:szCs w:val="20"/>
          <w:color w:val="auto"/>
        </w:rPr>
      </w:pPr>
    </w:p>
    <w:p>
      <w:pPr>
        <w:jc w:val="right"/>
        <w:ind w:left="120" w:right="100"/>
        <w:spacing w:after="0" w:line="342" w:lineRule="auto"/>
        <w:rPr>
          <w:sz w:val="20"/>
          <w:szCs w:val="20"/>
          <w:color w:val="auto"/>
        </w:rPr>
      </w:pPr>
      <w:r>
        <w:rPr>
          <w:rFonts w:ascii="Arial" w:cs="Arial" w:eastAsia="Arial" w:hAnsi="Arial"/>
          <w:sz w:val="16"/>
          <w:szCs w:val="16"/>
          <w:i w:val="1"/>
          <w:iCs w:val="1"/>
          <w:color w:val="auto"/>
        </w:rPr>
        <w:t>(3)The Company’s certificates of deposit held for investment are not debt securities and are classified as Level 2. These certificates of deposit have original maturities greater than three months, but less than one year and, as such, are classified as investments (short-term) on the Consolidated Balance Sheets.</w:t>
      </w:r>
    </w:p>
    <w:p>
      <w:pPr>
        <w:spacing w:after="0" w:line="124" w:lineRule="exact"/>
        <w:rPr>
          <w:sz w:val="20"/>
          <w:szCs w:val="20"/>
          <w:color w:val="auto"/>
        </w:rPr>
      </w:pPr>
    </w:p>
    <w:p>
      <w:pPr>
        <w:ind w:left="340" w:right="180" w:hanging="215"/>
        <w:spacing w:after="0" w:line="264" w:lineRule="auto"/>
        <w:rPr>
          <w:sz w:val="20"/>
          <w:szCs w:val="20"/>
          <w:color w:val="auto"/>
        </w:rPr>
      </w:pPr>
      <w:r>
        <w:rPr>
          <w:rFonts w:ascii="Arial" w:cs="Arial" w:eastAsia="Arial" w:hAnsi="Arial"/>
          <w:sz w:val="18"/>
          <w:szCs w:val="18"/>
          <w:i w:val="1"/>
          <w:iCs w:val="1"/>
          <w:color w:val="auto"/>
        </w:rPr>
        <w:t>(4)The Company utilizes the income approach to measure fair value for its derivative instruments (foreign currency forward contracts). The income approach uses pricing models that rely on market observable inputs such as spot, forward and interest rates, as well as credit default swap spreads and therefore, are classified as Level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 1 and Level 2 fair value measurements during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comparables, and discounted cash flow projections. An impairment charge is recorded when the cost exceeds its fair value, based upon the results of such valuations. During the three months ended November 30, 2017, no fair value adjustments or material fair value measurements were required for the Company’s non-financial assets or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November 30, 2017 and August 31, 2017, the fair value of the Company’s long-term debt was $575 million, respectively, which approximated its carrying amount given its floating interest rate basis. The fair value of the Company’s long-term debt was determined based on quoted market prices for debt with a similar maturity, and thus categorized as Level 2 in the fair value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87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FactSet conducts business outside the U.S. in several currencies including the British Pound Sterling, Euro, Indian Rupee, Japanese Yen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hedged exposure affects earnings. There was no discontinuance of cash flow hedges during the first three months of fiscal 2018 and 2017, and as such, no corresponding gains or losses related to changes in the value of the Company’s contracts were reclassified into earnings prior to settlement.</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November 30, 2017, FactSet maintained the following foreign currency forward contracts to hedge approximately 75% of its Indian Rupee exposure through the third 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gridSpan w:val="6"/>
          </w:tcPr>
          <w:p>
            <w:pPr>
              <w:ind w:left="360"/>
              <w:spacing w:after="0"/>
              <w:rPr>
                <w:sz w:val="20"/>
                <w:szCs w:val="20"/>
                <w:color w:val="auto"/>
              </w:rPr>
            </w:pPr>
            <w:r>
              <w:rPr>
                <w:rFonts w:ascii="Arial" w:cs="Arial" w:eastAsia="Arial" w:hAnsi="Arial"/>
                <w:sz w:val="18"/>
                <w:szCs w:val="18"/>
                <w:color w:val="auto"/>
              </w:rPr>
              <w:t>Gross Notional Value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color w:val="auto"/>
              </w:rPr>
              <w:t>Fair Value (Liability) Asset</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Currency Hedged (in U.S. dollars)</w:t>
            </w:r>
          </w:p>
        </w:tc>
        <w:tc>
          <w:tcPr>
            <w:tcW w:w="110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November 30, 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August 31, 2017</w:t>
            </w: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November 30,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August 31, 2017</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 Rupee</w:t>
            </w: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43,860</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1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43,860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6,142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2017, the gross notional value of foreign currency forward contracts to purchase Indian Rupees with U.S. dollars was Rs. 3.3 billion.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w w:val="95"/>
              </w:rPr>
              <w:t>November 30,</w:t>
            </w:r>
          </w:p>
        </w:tc>
        <w:tc>
          <w:tcPr>
            <w:tcW w:w="3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August 31,</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4120" w:type="dxa"/>
            <w:vAlign w:val="bottom"/>
          </w:tcPr>
          <w:p>
            <w:pPr>
              <w:ind w:left="320"/>
              <w:spacing w:after="0"/>
              <w:rPr>
                <w:sz w:val="20"/>
                <w:szCs w:val="20"/>
                <w:color w:val="auto"/>
              </w:rPr>
            </w:pPr>
            <w:r>
              <w:rPr>
                <w:rFonts w:ascii="Arial" w:cs="Arial" w:eastAsia="Arial" w:hAnsi="Arial"/>
                <w:sz w:val="18"/>
                <w:szCs w:val="18"/>
                <w:color w:val="auto"/>
              </w:rPr>
              <w:t>Balance Sheet Location</w:t>
            </w:r>
          </w:p>
        </w:tc>
        <w:tc>
          <w:tcPr>
            <w:tcW w:w="48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Derivatives designated as hedging instruments</w:t>
            </w:r>
          </w:p>
        </w:tc>
        <w:tc>
          <w:tcPr>
            <w:tcW w:w="4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Assets: Foreign Currency Forward Contracts</w:t>
            </w:r>
          </w:p>
        </w:tc>
        <w:tc>
          <w:tcPr>
            <w:tcW w:w="4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3,943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Liabilities: Foreign Currency Forward Contracts</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November 30, 2017 and August 31, 2017, respectively.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November 30,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Loss Recognized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Gain (Loss)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in AOCL on Derivatives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AOCL into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c>
          <w:tcPr>
            <w:tcW w:w="0" w:type="dxa"/>
            <w:vAlign w:val="bottom"/>
          </w:tcPr>
          <w:p>
            <w:pPr>
              <w:spacing w:after="0"/>
              <w:rPr>
                <w:sz w:val="1"/>
                <w:szCs w:val="1"/>
                <w:color w:val="auto"/>
              </w:rPr>
            </w:pPr>
          </w:p>
        </w:tc>
      </w:tr>
      <w:tr>
        <w:trPr>
          <w:trHeight w:val="23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Derivatives in Cash Flow Hedging Relationships</w:t>
            </w:r>
          </w:p>
        </w:tc>
        <w:tc>
          <w:tcPr>
            <w:tcW w:w="480" w:type="dxa"/>
            <w:vAlign w:val="bottom"/>
          </w:tcPr>
          <w:p>
            <w:pPr>
              <w:spacing w:after="0"/>
              <w:rPr>
                <w:sz w:val="20"/>
                <w:szCs w:val="20"/>
                <w:color w:val="auto"/>
              </w:rPr>
            </w:pPr>
          </w:p>
        </w:tc>
        <w:tc>
          <w:tcPr>
            <w:tcW w:w="2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(Effective Portion)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(Effective Portion)</w:t>
            </w: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November 30, 2017, FactSet estimates that approximately $3.9 million of net derivative gains related to its cash flow hedges included in AOCL will be reclassified into earnings within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November 30, 2017 and August 31, 2017, there were no net settlements recorded on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COMPREHENSIVE INCOME (LOSS) AND ACCUMULATED OTHER COMPREHENSIVE LOSS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components of other comprehensive income and amounts reclassified out of AOCL into earnings during the three months ended November 30, 2017 and 2016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53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8"/>
                <w:szCs w:val="18"/>
                <w:color w:val="auto"/>
              </w:rPr>
              <w:t>November 30, 2017</w:t>
            </w:r>
          </w:p>
        </w:tc>
        <w:tc>
          <w:tcPr>
            <w:tcW w:w="180" w:type="dxa"/>
            <w:vAlign w:val="bottom"/>
          </w:tcPr>
          <w:p>
            <w:pPr>
              <w:spacing w:after="0"/>
              <w:rPr>
                <w:sz w:val="20"/>
                <w:szCs w:val="20"/>
                <w:color w:val="auto"/>
              </w:rPr>
            </w:pPr>
          </w:p>
        </w:tc>
        <w:tc>
          <w:tcPr>
            <w:tcW w:w="2520" w:type="dxa"/>
            <w:vAlign w:val="bottom"/>
            <w:gridSpan w:val="8"/>
          </w:tcPr>
          <w:p>
            <w:pPr>
              <w:jc w:val="right"/>
              <w:ind w:right="780"/>
              <w:spacing w:after="0"/>
              <w:rPr>
                <w:sz w:val="20"/>
                <w:szCs w:val="20"/>
                <w:color w:val="auto"/>
              </w:rPr>
            </w:pPr>
            <w:r>
              <w:rPr>
                <w:rFonts w:ascii="Arial" w:cs="Arial" w:eastAsia="Arial" w:hAnsi="Arial"/>
                <w:sz w:val="18"/>
                <w:szCs w:val="18"/>
                <w:color w:val="auto"/>
              </w:rPr>
              <w:t>November 30, 2016</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Pre-tax</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8"/>
              </w:rPr>
              <w:t>Net of tax</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Pre-tax</w:t>
            </w: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Net of tax</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(11,497)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360" w:type="dxa"/>
            <w:vAlign w:val="bottom"/>
          </w:tcPr>
          <w:p>
            <w:pPr>
              <w:spacing w:after="0" w:line="256" w:lineRule="exact"/>
              <w:rPr>
                <w:sz w:val="20"/>
                <w:szCs w:val="20"/>
                <w:color w:val="auto"/>
              </w:rPr>
            </w:pPr>
            <w:r>
              <w:rPr>
                <w:rFonts w:ascii="Arial" w:cs="Arial" w:eastAsia="Arial" w:hAnsi="Arial"/>
                <w:sz w:val="18"/>
                <w:szCs w:val="18"/>
                <w:color w:val="auto"/>
                <w:w w:val="98"/>
              </w:rPr>
              <w:t xml:space="preserve">Realized (gain) loss on cash flow hedges reclassified to earnings </w:t>
            </w:r>
            <w:r>
              <w:rPr>
                <w:rFonts w:ascii="Arial" w:cs="Arial" w:eastAsia="Arial" w:hAnsi="Arial"/>
                <w:sz w:val="29"/>
                <w:szCs w:val="29"/>
                <w:color w:val="auto"/>
                <w:w w:val="98"/>
                <w:vertAlign w:val="superscript"/>
              </w:rPr>
              <w:t>(1)</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flow hedges recognized in AOCL</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i w:val="1"/>
                <w:iCs w:val="1"/>
                <w:color w:val="auto"/>
              </w:rPr>
              <w:t>Other comprehensive income (loss)</w:t>
            </w:r>
          </w:p>
        </w:tc>
        <w:tc>
          <w:tcPr>
            <w:tcW w:w="5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7,702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65"/>
              <w:spacing w:after="0"/>
              <w:rPr>
                <w:sz w:val="20"/>
                <w:szCs w:val="20"/>
                <w:color w:val="auto"/>
              </w:rPr>
            </w:pPr>
            <w:r>
              <w:rPr>
                <w:rFonts w:ascii="Arial" w:cs="Arial" w:eastAsia="Arial" w:hAnsi="Arial"/>
                <w:sz w:val="18"/>
                <w:szCs w:val="18"/>
                <w:color w:val="auto"/>
              </w:rPr>
              <w:t>(10,789)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(1) Reclassified to Selling, General and Administrative Expenses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w w:val="91"/>
              </w:rPr>
              <w:t>November 30, 2017</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86"/>
              </w:rPr>
              <w:t>August 31, 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Borders>
              <w:right w:val="single" w:sz="8" w:color="CCEEFF"/>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gains on cash flow hedges, net of tax</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3,326</w:t>
            </w:r>
          </w:p>
        </w:tc>
        <w:tc>
          <w:tcPr>
            <w:tcW w:w="16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(30,056)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(38,522)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right w:val="single" w:sz="8" w:color="CCEEFF"/>
            </w:tcBorders>
          </w:tcPr>
          <w:p>
            <w:pPr>
              <w:spacing w:after="0"/>
              <w:rPr>
                <w:sz w:val="18"/>
                <w:szCs w:val="18"/>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Total accumulated other comprehensive loss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(26,730)</w:t>
            </w:r>
          </w:p>
        </w:tc>
        <w:tc>
          <w:tcPr>
            <w:tcW w:w="16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segments are defined as components of an enterprise that engage in business activities from which they may earn revenues and incur expenses, whose operating results are regularly reviewed by the enterprise’s chief operating decision maker to make decisions about resources to be allocated to the segment and assess its performance, and for which discrete financial information is available. Financial information at the operating segment level is reviewed jointly by the Chief Executive Officer (“CEO”) and senior management. Senior management consists of certain executives who directly report to the CEO, consisting of the Chief Financial Officer, Chief Operating Officer, Chief Technology and Product Officer, Global Head of Sales and Client Solutions, General Counsel and Chief Human Resources Officer. Senior management, along with the CEO, constitute FactSet’s chief operating decision making group (“CODMG”) and is responsible for making decisions about resources allocated amongst the operating segments based on actual results.</w:t>
      </w:r>
    </w:p>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FactSet’s operating segments are aligned with how the Company, including its CODMG, manages the business and the demographic markets in which FactSet serves. The Company’s internal financial reporting structure is based on three segments; the U.S., Europe and Asia Pacific. FactSet believes this alignment helps it better manage the business and view the markets the Company serves, which are centered on providing integrated global financial and economic information. Sales, consulting, data collection, product development and software engineering are the primary functional groups within the U.S., Europe and Asia Pacific segments that provide global financial and economic information to investment managers, investment banks and other financial services professionals.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ind w:right="60"/>
        <w:spacing w:after="0" w:line="293" w:lineRule="auto"/>
        <w:rPr>
          <w:sz w:val="20"/>
          <w:szCs w:val="20"/>
          <w:color w:val="auto"/>
        </w:rPr>
      </w:pPr>
      <w:r>
        <w:rPr>
          <w:rFonts w:ascii="Arial" w:cs="Arial" w:eastAsia="Arial" w:hAnsi="Arial"/>
          <w:sz w:val="16"/>
          <w:szCs w:val="16"/>
          <w:color w:val="auto"/>
        </w:rPr>
        <w:t>The U.S. segment services investment professionals including financial institutions throughout the Americas. The European and Asia Pacific segments service investment professionals located throughout Europe and the Asia Pacific region, respectively. The European segment maintains office locations in England, Bulgaria, Dubai, France, Germany, Italy, Latvia, the Netherlands, Spain, and Switzerland. The Asia Pacific segment has office locations in Australia, Hong Kong, India, Japan, the Philippines, Singapore and South Africa. Segment revenues reflect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6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Expenditures associated with the Company’s data centers, third party data costs and corporate charges are recorded by the U.S. segment and are not allocated to the other segments. The content collection centers located in India and the Philippines benefit all of the Company’s operating segments and thus the expenses incurred at these locations are allocated to each segment based on a percentage of revenues. Of the total $712.5 million of goodwill reported by the Company at November 30, 2017, 54% was recorded in the U.S. segment, 45% in the European segment and the remaining 1% in the Asia Pacific segment.</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system. These results are used by management, both in evaluating the performance of, and in allocating resources to, each of the segments.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November 30, 2017</w:t>
            </w:r>
          </w:p>
        </w:tc>
        <w:tc>
          <w:tcPr>
            <w:tcW w:w="1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208,768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329,141</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6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40,771</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32,970</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15,357</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89,098</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719,491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603,848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107,263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1,430,602</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3,545</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5,912</w:t>
            </w:r>
          </w:p>
        </w:tc>
      </w:tr>
      <w:tr>
        <w:trPr>
          <w:trHeight w:val="44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November 30, 2016</w:t>
            </w:r>
          </w:p>
        </w:tc>
        <w:tc>
          <w:tcPr>
            <w:tcW w:w="1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190,627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288,063</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6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40,005</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36,584</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13,730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90,319</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698,328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262,523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85,314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1,046,165</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11,125</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12,537</w:t>
            </w:r>
          </w:p>
        </w:tc>
      </w:tr>
    </w:tbl>
    <w:p>
      <w:pPr>
        <w:spacing w:after="0" w:line="183" w:lineRule="exact"/>
        <w:rPr>
          <w:sz w:val="20"/>
          <w:szCs w:val="20"/>
          <w:color w:val="auto"/>
        </w:rPr>
      </w:pPr>
    </w:p>
    <w:p>
      <w:pPr>
        <w:ind w:right="88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BISAM</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17, 2017, FactSet acquired BI-SAM Technologies (“BISAM”) for a total purchase price of $217.6 million. BISAM is a global provider of portfolio performance and attribution, multi-asset risk, GIPS composites management and reporting. BISAM’s product offerings include B-One, BISAM’s cross-asset solution, which will serve as a complement to both FactSet’s portfolio analytics suite and client reporting solutions, and Cognity, which enhances FactSet’s risk analysis for derivatives and quantitative portfolio construction. These factors contributed to a purchase price in excess of fair value of BISAM’s net tangible and intangible assets, leading to the recognition of goodwill. At the time of acquisition, BISAM employed over 160 employees based primarily in its New York, Boston, Paris, London and Sofia offices. Total transaction costs related to the acquisition were $3.2 million in fiscal 2017 and were recorded within Selling, General and Administrative (“SG&amp;A”) expenses in the Consolidated Statements of Income.</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Allocation of the purchase price to the assets acquired and liabilities assumed was finalized during the fourth quarter of fiscal 2017. There were no significant adjustments between the preliminary and final allocation. The total purchase price was allocated to BISAM’s net tangible and intangible assets based upon their estimated fair value as of the date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644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Software technology</w:t>
            </w:r>
          </w:p>
        </w:tc>
        <w:tc>
          <w:tcPr>
            <w:tcW w:w="5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w:t>
            </w:r>
          </w:p>
        </w:tc>
      </w:tr>
      <w:tr>
        <w:trPr>
          <w:trHeight w:val="216"/>
        </w:trPr>
        <w:tc>
          <w:tcPr>
            <w:tcW w:w="3880" w:type="dxa"/>
            <w:vAlign w:val="bottom"/>
          </w:tcPr>
          <w:p>
            <w:pPr>
              <w:ind w:left="500"/>
              <w:spacing w:after="0"/>
              <w:rPr>
                <w:sz w:val="20"/>
                <w:szCs w:val="20"/>
                <w:color w:val="auto"/>
              </w:rPr>
            </w:pPr>
            <w:r>
              <w:rPr>
                <w:rFonts w:ascii="Arial" w:cs="Arial" w:eastAsia="Arial" w:hAnsi="Arial"/>
                <w:sz w:val="18"/>
                <w:szCs w:val="18"/>
                <w:color w:val="auto"/>
              </w:rPr>
              <w:t>Client relationships</w:t>
            </w:r>
          </w:p>
        </w:tc>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37,597</w:t>
            </w:r>
          </w:p>
        </w:tc>
      </w:tr>
      <w:tr>
        <w:trPr>
          <w:trHeight w:val="216"/>
        </w:trPr>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name</w:t>
            </w:r>
          </w:p>
        </w:tc>
        <w:tc>
          <w:tcPr>
            <w:tcW w:w="5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173,898</w:t>
            </w:r>
          </w:p>
        </w:tc>
        <w:tc>
          <w:tcPr>
            <w:tcW w:w="100" w:type="dxa"/>
            <w:vAlign w:val="bottom"/>
          </w:tcPr>
          <w:p>
            <w:pPr>
              <w:spacing w:after="0"/>
              <w:rPr>
                <w:sz w:val="18"/>
                <w:szCs w:val="18"/>
                <w:color w:val="auto"/>
              </w:rPr>
            </w:pPr>
          </w:p>
        </w:tc>
      </w:tr>
      <w:tr>
        <w:trPr>
          <w:trHeight w:val="210"/>
        </w:trPr>
        <w:tc>
          <w:tcPr>
            <w:tcW w:w="38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Total assets acquired</w:t>
            </w:r>
          </w:p>
        </w:tc>
        <w:tc>
          <w:tcPr>
            <w:tcW w:w="6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258,080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Liabilities assumed</w:t>
            </w:r>
          </w:p>
        </w:tc>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(40,443)</w:t>
            </w:r>
          </w:p>
        </w:tc>
      </w:tr>
      <w:tr>
        <w:trPr>
          <w:trHeight w:val="20"/>
        </w:trPr>
        <w:tc>
          <w:tcPr>
            <w:tcW w:w="3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Net assets acquired</w:t>
            </w:r>
          </w:p>
        </w:tc>
        <w:tc>
          <w:tcPr>
            <w:tcW w:w="6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217,637</w:t>
            </w:r>
          </w:p>
        </w:tc>
      </w:tr>
      <w:tr>
        <w:trPr>
          <w:trHeight w:val="432"/>
        </w:trPr>
        <w:tc>
          <w:tcPr>
            <w:tcW w:w="3880" w:type="dxa"/>
            <w:vAlign w:val="bottom"/>
          </w:tcPr>
          <w:p>
            <w:pPr>
              <w:spacing w:after="0"/>
              <w:rPr>
                <w:sz w:val="24"/>
                <w:szCs w:val="24"/>
                <w:color w:val="auto"/>
              </w:rPr>
            </w:pPr>
          </w:p>
        </w:tc>
        <w:tc>
          <w:tcPr>
            <w:tcW w:w="5960" w:type="dxa"/>
            <w:vAlign w:val="bottom"/>
          </w:tcPr>
          <w:p>
            <w:pPr>
              <w:jc w:val="right"/>
              <w:ind w:right="395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59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Intangible assets of $56.6 million have been allocated to amortizable intangible assets consisting of client relationships, amortized over 16 years using an accelerated amortization method; software technology, amortized over five years using a straight-line amortization method; and a trade name, amortized over four years using a straight-line amortization method.</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Goodwill totaling $173.9 million represents the excess of the purchase price over the fair value of the net tangible and intangible assets acquired. Goodwill generated from the BISAM acquisition is included in the US and European segments and is not deductible for income tax purposes. The results of operations of BISAM have been included in the Company’s Consolidated Statements of Income since the completion of the acquisition on March 17, 2017. Pro forma information has not been presented because the effect of the BISAM acquisition is not material to the Company’s consolidated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Vermilion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8, 2016, FactSet acquired Vermilion Holdings Limited (“Vermilion”) for a total purchase price of $67.9 million. Vermilion is a global provider of client reporting and communications software and services to the financial services industry. Client reporting is a growing area of the market as regulatory requirements rise; and with the acquisition of Vermilion and its Vermilion Reporting Suite (“VRS”), FactSet now offers a workflow around all elements of the client reporting process, which it expects will expand as investors grow increasingly sophisticated. This factor contributed to a purchase price in excess of fair value of Vermilion’s net tangible and intangible assets, leading to the recognition of goodwill. At the time of acquisition, Vermilion employed 59 individuals in its London, Boston and Singapore offices. Total transaction costs related to the acquisition were $0.7 million and recorded within SG&amp;A expenses in the Consolidated Statements of Income.</w:t>
      </w:r>
    </w:p>
    <w:p>
      <w:pPr>
        <w:spacing w:after="0" w:line="18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Allocation of the purchase price to the assets acquired and liabilities assumed was finalized during the third quarter of fiscal 2017. There were no significant adjustments between the preliminary and final allocation. The total purchase price was allocated to Vermilion’s net tangible and intangible assets based upon their estimated fair value as of the date of acquisition. Based upon the purchase price and the valuation, the allocation is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430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Software technology</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Client relationships</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Trade name</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80" w:type="dxa"/>
            <w:vAlign w:val="bottom"/>
          </w:tcPr>
          <w:p>
            <w:pPr>
              <w:ind w:left="500"/>
              <w:spacing w:after="0"/>
              <w:rPr>
                <w:sz w:val="20"/>
                <w:szCs w:val="20"/>
                <w:color w:val="auto"/>
              </w:rPr>
            </w:pPr>
            <w:r>
              <w:rPr>
                <w:rFonts w:ascii="Arial" w:cs="Arial" w:eastAsia="Arial" w:hAnsi="Arial"/>
                <w:sz w:val="18"/>
                <w:szCs w:val="18"/>
                <w:i w:val="1"/>
                <w:iCs w:val="1"/>
                <w:color w:val="auto"/>
              </w:rPr>
              <w:t>Total assets acquired</w:t>
            </w:r>
          </w:p>
        </w:tc>
        <w:tc>
          <w:tcPr>
            <w:tcW w:w="4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77,320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(9,434)</w:t>
            </w:r>
          </w:p>
        </w:tc>
      </w:tr>
      <w:tr>
        <w:trPr>
          <w:trHeight w:val="20"/>
        </w:trPr>
        <w:tc>
          <w:tcPr>
            <w:tcW w:w="60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6080" w:type="dxa"/>
            <w:vAlign w:val="bottom"/>
          </w:tcPr>
          <w:p>
            <w:pPr>
              <w:ind w:left="500"/>
              <w:spacing w:after="0"/>
              <w:rPr>
                <w:sz w:val="20"/>
                <w:szCs w:val="20"/>
                <w:color w:val="auto"/>
              </w:rPr>
            </w:pPr>
            <w:r>
              <w:rPr>
                <w:rFonts w:ascii="Arial" w:cs="Arial" w:eastAsia="Arial" w:hAnsi="Arial"/>
                <w:sz w:val="18"/>
                <w:szCs w:val="18"/>
                <w:i w:val="1"/>
                <w:iCs w:val="1"/>
                <w:color w:val="auto"/>
              </w:rPr>
              <w:t>Net assets acquired</w:t>
            </w:r>
          </w:p>
        </w:tc>
        <w:tc>
          <w:tcPr>
            <w:tcW w:w="4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67,886</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Intangible assets of $18.2 million have been allocated to amortizable intangible assets consisting of client relationships, amortized over 15 years using an accelerated amortization method; software technology, amortized over six years using a straight-line amortization method; non-compete agreements, amortized over three years using a straight-line amortization method; and a trade name, amortized over four years using a straight-line amortization method.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Goodwill totaling $51.2 million represents the excess of the purchase price over the fair value of the net tangible and intangible assets acquired. Goodwill generated from the Vermilion acquisition is included in the European segment and is not deductible for income tax purposes. The results of operations of Vermilion have been included in the Company’s Consolidated Statements of Income since the completion of the acquisition on November 8, 2016. Pro forma information has not been presented because the effect of the Vermilion acquisition is not material to the Company’s consolidated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three months ended November 30,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386,835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707,560</w:t>
            </w:r>
          </w:p>
        </w:tc>
      </w:tr>
      <w:tr>
        <w:trPr>
          <w:trHeight w:val="216"/>
        </w:trPr>
        <w:tc>
          <w:tcPr>
            <w:tcW w:w="12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Foreign currency translations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5,390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5,341</w:t>
            </w:r>
          </w:p>
        </w:tc>
      </w:tr>
      <w:tr>
        <w:trPr>
          <w:trHeight w:val="216"/>
        </w:trPr>
        <w:tc>
          <w:tcPr>
            <w:tcW w:w="12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adjustments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r>
      <w:tr>
        <w:trPr>
          <w:trHeight w:val="224"/>
        </w:trPr>
        <w:tc>
          <w:tcPr>
            <w:tcW w:w="120" w:type="dxa"/>
            <w:vAlign w:val="bottom"/>
          </w:tcPr>
          <w:p>
            <w:pPr>
              <w:spacing w:after="0"/>
              <w:rPr>
                <w:sz w:val="19"/>
                <w:szCs w:val="19"/>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November 30, 2017</w:t>
            </w: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386,728</w:t>
            </w:r>
          </w:p>
        </w:tc>
        <w:tc>
          <w:tcPr>
            <w:tcW w:w="2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322,831</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712,476</w:t>
            </w:r>
          </w:p>
        </w:tc>
        <w:tc>
          <w:tcPr>
            <w:tcW w:w="100" w:type="dxa"/>
            <w:vAlign w:val="bottom"/>
            <w:tcBorders>
              <w:top w:val="single" w:sz="8" w:color="CCEEFF"/>
            </w:tcBorders>
          </w:tcPr>
          <w:p>
            <w:pPr>
              <w:spacing w:after="0"/>
              <w:rPr>
                <w:sz w:val="19"/>
                <w:szCs w:val="19"/>
                <w:color w:val="auto"/>
              </w:rPr>
            </w:pPr>
          </w:p>
        </w:tc>
      </w:tr>
      <w:tr>
        <w:trPr>
          <w:trHeight w:val="418"/>
        </w:trPr>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2017, consistent with the timing of previous years, at which time it was determined that there was no impairment, with the fair value of each of the Company’s reporting units significantly exceeding carrying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November 30, 2017 was 11.5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three months of fiscal 2018. Amortizable intangible assets are tested for impairment, if indicators of impairment are present, based on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At November 30, 2017</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1"/>
              </w:rPr>
              <w:t>Gross Carrying Amount</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Net Carrying Amount</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Data content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100,375</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24,341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76,034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106,610</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4,875</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4,113</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0"/>
        </w:trPr>
        <w:tc>
          <w:tcPr>
            <w:tcW w:w="34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420" w:type="dxa"/>
            <w:vAlign w:val="bottom"/>
          </w:tcPr>
          <w:p>
            <w:pPr>
              <w:ind w:left="340"/>
              <w:spacing w:after="0"/>
              <w:rPr>
                <w:sz w:val="20"/>
                <w:szCs w:val="20"/>
                <w:color w:val="auto"/>
              </w:rPr>
            </w:pPr>
            <w:r>
              <w:rPr>
                <w:rFonts w:ascii="Arial" w:cs="Arial" w:eastAsia="Arial" w:hAnsi="Arial"/>
                <w:sz w:val="18"/>
                <w:szCs w:val="18"/>
                <w:i w:val="1"/>
                <w:iCs w:val="1"/>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251,012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82,138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168,874</w:t>
            </w:r>
          </w:p>
        </w:tc>
      </w:tr>
      <w:tr>
        <w:trPr>
          <w:trHeight w:val="404"/>
        </w:trPr>
        <w:tc>
          <w:tcPr>
            <w:tcW w:w="3420" w:type="dxa"/>
            <w:vAlign w:val="bottom"/>
          </w:tcPr>
          <w:p>
            <w:pPr>
              <w:spacing w:after="0"/>
              <w:rPr>
                <w:sz w:val="20"/>
                <w:szCs w:val="20"/>
                <w:color w:val="auto"/>
              </w:rPr>
            </w:pPr>
            <w:r>
              <w:rPr>
                <w:rFonts w:ascii="Arial" w:cs="Arial" w:eastAsia="Arial" w:hAnsi="Arial"/>
                <w:sz w:val="18"/>
                <w:szCs w:val="18"/>
                <w:color w:val="auto"/>
              </w:rPr>
              <w:t>At August 31, 2017</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1"/>
              </w:rPr>
              <w:t>Gross Carrying Amount</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Net Carrying Amount</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Data content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99,779</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22,339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77,440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105,963</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4,833</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3,315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4,080</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r>
      <w:tr>
        <w:trPr>
          <w:trHeight w:val="20"/>
        </w:trPr>
        <w:tc>
          <w:tcPr>
            <w:tcW w:w="34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3420" w:type="dxa"/>
            <w:vAlign w:val="bottom"/>
          </w:tcPr>
          <w:p>
            <w:pPr>
              <w:ind w:left="340"/>
              <w:spacing w:after="0"/>
              <w:rPr>
                <w:sz w:val="20"/>
                <w:szCs w:val="20"/>
                <w:color w:val="auto"/>
              </w:rPr>
            </w:pPr>
            <w:r>
              <w:rPr>
                <w:rFonts w:ascii="Arial" w:cs="Arial" w:eastAsia="Arial" w:hAnsi="Arial"/>
                <w:sz w:val="18"/>
                <w:szCs w:val="18"/>
                <w:i w:val="1"/>
                <w:iCs w:val="1"/>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248,771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75,228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173,543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recorded for intangible assets was $6.2 million and $3.8 million for the three months ended November 30,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2017, estimated intangible asset amortization expense for each of the next five years and thereafter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Estimated Amortization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Expense</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nine months)</w:t>
            </w:r>
          </w:p>
        </w:tc>
        <w:tc>
          <w:tcPr>
            <w:tcW w:w="582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2019</w:t>
            </w: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23,838</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23,120</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21,589</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19,259</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Thereafter</w:t>
            </w:r>
          </w:p>
        </w:tc>
        <w:tc>
          <w:tcPr>
            <w:tcW w:w="5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5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168,874</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80" w:type="dxa"/>
            <w:vAlign w:val="bottom"/>
          </w:tcPr>
          <w:p>
            <w:pPr>
              <w:jc w:val="right"/>
              <w:ind w:right="349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COMMON STOCK AND EARNINGS PER SHARE</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On November 8, 2017, FactSet’s Board of Directors approved a regular quarterly dividend of $0.56 per share, or $2.24 per share per annum. The cash dividend of $21.9 million was paid on December 19, 2017 to common stockholders of record at the close of business on November 30,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16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November 30,</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September 1</w:t>
            </w:r>
          </w:p>
        </w:tc>
        <w:tc>
          <w:tcPr>
            <w:tcW w:w="16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39,023</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29"/>
                <w:szCs w:val="29"/>
                <w:color w:val="auto"/>
                <w:vertAlign w:val="superscript"/>
              </w:rPr>
              <w:t>(1)</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under accelerated share repurchase agreement</w:t>
            </w:r>
          </w:p>
        </w:tc>
        <w:tc>
          <w:tcPr>
            <w:tcW w:w="2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(103)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Balance at November 30, 2017 and 2016, respectively</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39,110</w:t>
            </w:r>
          </w:p>
        </w:tc>
        <w:tc>
          <w:tcPr>
            <w:tcW w:w="4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39,704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8"/>
        <w:spacing w:after="0" w:line="274"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For the three months ended November 30, 2017 and 2016, the Company repurchased 4,220 and 34,639 shares, or $0.8 million and $5.3 million, of common stock, respectively, in settlement of employee tax withholding obligations due upon the vesting of restricted stock.</w:t>
      </w: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On July 1, 2016, FactSet entered into an accelerated share repurchase agreement (the “ASR Agreement”) to purchase FactSet common stock. The final settlement of the ASR Agreement occurred in the first quarter of fiscal 2017, with FactSet receiving an additional 102,916 shares of its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3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Per Share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Amount</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November 30, 2017</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70,379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70,379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39,680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November 30, 2016</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66,583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66,583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40,100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Dilutive potential common shares consist of stock options and unvested restricted stock awards. The number of stock options excluded from the calculation of diluted earnings per share for the three months ended November 30, 2017 and November 30, 2016 was 552,389 and 621,503, respectively, because their inclusion would have been anti-dilutive.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November 30, 2017, the number of performance-based stock option grants excluded from the calculation of diluted EPS was 332,338</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three months ended November 30, 2016, the number of performance-based stock option grants excluded from the calculation of diluted earnings per share was 756,994. Performance-based stock options are omitted from the calculation of diluted EPS until the performance criteria are probable of being achieved.</w:t>
      </w:r>
    </w:p>
    <w:p>
      <w:pPr>
        <w:spacing w:after="0" w:line="183" w:lineRule="exact"/>
        <w:rPr>
          <w:sz w:val="20"/>
          <w:szCs w:val="20"/>
          <w:color w:val="auto"/>
        </w:rPr>
      </w:pPr>
    </w:p>
    <w:p>
      <w:pPr>
        <w:ind w:right="8820" w:firstLine="8"/>
        <w:spacing w:after="0" w:line="503"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At November 30, 2017 and August 31, 2017,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November 30, 2017 and August 31, 2017, there were 150,000,000 shares of common stock ($.01 par value per share) authorized, of which 52,101,426 and 51,845,132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At November 30, 2017 and August 31, 2017, there were 12,991,346 and 12,822,100 shares of treasury stock (at cost) outstanding, respectively. As a result, 39,110,080 and 39,023,032 shares of FactSet common stock were outstanding at November 30, 2017 and August 31,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During the first three months of fiscal 2018, the Company repurchased 164,920 shares for $30.9 million compared to 505,000 shares for $79.3 million in the prior year comparable period. As of November 30, 2017, $213.2 million remains authorized for future share repurchases. No minimum number of shares to be repurchased has been fixed. There is no timeframe to complete the repurchase program and it is expected that share repurchases will be paid using existing and future cash generated by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Vesting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Restricted stock awards entitle the holder to shares of common stock as the awards vest over time. During the first three months of fiscal 2018, 11,278 of previously granted restricted stock awards vested and were included in common stock outstanding as of November 30, 2017 (less 4,220 shares repurchased from employees to cover their cost of taxes upon vesting of the restricted stock). During the same period a year ago, 94,877 of previously granted restricted stock awards vested and were included in common stock outstanding as of November 30, 2016 (less 34,639 shares repurchased from employees to cover their cost of taxes upon vesting of the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historical dividends: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color w:val="auto"/>
                <w:w w:val="91"/>
              </w:rPr>
              <w:t>Dividends Per</w:t>
            </w:r>
          </w:p>
        </w:tc>
        <w:tc>
          <w:tcPr>
            <w:tcW w:w="1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88"/>
              </w:rPr>
              <w:t>Share of</w:t>
            </w:r>
          </w:p>
        </w:tc>
        <w:tc>
          <w:tcPr>
            <w:tcW w:w="1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w w:val="94"/>
              </w:rPr>
              <w:t>Total $ Amount</w:t>
            </w:r>
          </w:p>
        </w:tc>
        <w:tc>
          <w:tcPr>
            <w:tcW w:w="1940" w:type="dxa"/>
            <w:vAlign w:val="bottom"/>
            <w:vMerge w:val="restart"/>
          </w:tcPr>
          <w:p>
            <w:pPr>
              <w:ind w:left="52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Declaration Date</w:t>
            </w:r>
          </w:p>
        </w:tc>
        <w:tc>
          <w:tcPr>
            <w:tcW w:w="80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90"/>
              </w:rPr>
              <w:t>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1820" w:type="dxa"/>
            <w:vAlign w:val="bottom"/>
          </w:tcPr>
          <w:p>
            <w:pPr>
              <w:ind w:left="140"/>
              <w:spacing w:after="0"/>
              <w:rPr>
                <w:sz w:val="20"/>
                <w:szCs w:val="20"/>
                <w:color w:val="auto"/>
              </w:rPr>
            </w:pPr>
            <w:r>
              <w:rPr>
                <w:rFonts w:ascii="Arial" w:cs="Arial" w:eastAsia="Arial" w:hAnsi="Arial"/>
                <w:sz w:val="18"/>
                <w:szCs w:val="18"/>
                <w:color w:val="auto"/>
              </w:rPr>
              <w:t>Record Date</w:t>
            </w:r>
          </w:p>
        </w:tc>
        <w:tc>
          <w:tcPr>
            <w:tcW w:w="38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i w:val="1"/>
                <w:iCs w:val="1"/>
                <w:color w:val="auto"/>
                <w:w w:val="96"/>
              </w:rPr>
              <w:t>(in thousands)</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November 30, 2017</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21,902</w:t>
            </w:r>
          </w:p>
        </w:tc>
        <w:tc>
          <w:tcPr>
            <w:tcW w:w="19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August 10, 2017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0.56</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tcPr>
          <w:p>
            <w:pPr>
              <w:ind w:left="140"/>
              <w:spacing w:after="0"/>
              <w:rPr>
                <w:sz w:val="20"/>
                <w:szCs w:val="20"/>
                <w:color w:val="auto"/>
              </w:rPr>
            </w:pPr>
            <w:r>
              <w:rPr>
                <w:rFonts w:ascii="Arial" w:cs="Arial" w:eastAsia="Arial" w:hAnsi="Arial"/>
                <w:sz w:val="18"/>
                <w:szCs w:val="18"/>
                <w:color w:val="auto"/>
              </w:rPr>
              <w:t>August 31, 2017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21,853</w:t>
            </w:r>
          </w:p>
        </w:tc>
        <w:tc>
          <w:tcPr>
            <w:tcW w:w="1940" w:type="dxa"/>
            <w:vAlign w:val="bottom"/>
          </w:tcPr>
          <w:p>
            <w:pPr>
              <w:ind w:left="120"/>
              <w:spacing w:after="0"/>
              <w:rPr>
                <w:sz w:val="20"/>
                <w:szCs w:val="20"/>
                <w:color w:val="auto"/>
              </w:rPr>
            </w:pPr>
            <w:r>
              <w:rPr>
                <w:rFonts w:ascii="Arial" w:cs="Arial" w:eastAsia="Arial" w:hAnsi="Arial"/>
                <w:sz w:val="18"/>
                <w:szCs w:val="18"/>
                <w:color w:val="auto"/>
              </w:rPr>
              <w:t>September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May 5,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May 31, 2017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February 6, 2017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tcPr>
          <w:p>
            <w:pPr>
              <w:ind w:left="140"/>
              <w:spacing w:after="0"/>
              <w:rPr>
                <w:sz w:val="20"/>
                <w:szCs w:val="20"/>
                <w:color w:val="auto"/>
              </w:rPr>
            </w:pPr>
            <w:r>
              <w:rPr>
                <w:rFonts w:ascii="Arial" w:cs="Arial" w:eastAsia="Arial" w:hAnsi="Arial"/>
                <w:sz w:val="18"/>
                <w:szCs w:val="18"/>
                <w:color w:val="auto"/>
              </w:rPr>
              <w:t>February 28, 2017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19,709</w:t>
            </w:r>
          </w:p>
        </w:tc>
        <w:tc>
          <w:tcPr>
            <w:tcW w:w="1940" w:type="dxa"/>
            <w:vAlign w:val="bottom"/>
          </w:tcPr>
          <w:p>
            <w:pPr>
              <w:ind w:left="120"/>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November 10,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November 30, 2016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19,852</w:t>
            </w: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August 5, 2016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Regular (cash)</w:t>
            </w:r>
          </w:p>
        </w:tc>
        <w:tc>
          <w:tcPr>
            <w:tcW w:w="1820" w:type="dxa"/>
            <w:vAlign w:val="bottom"/>
          </w:tcPr>
          <w:p>
            <w:pPr>
              <w:ind w:left="140"/>
              <w:spacing w:after="0"/>
              <w:rPr>
                <w:sz w:val="20"/>
                <w:szCs w:val="20"/>
                <w:color w:val="auto"/>
              </w:rPr>
            </w:pPr>
            <w:r>
              <w:rPr>
                <w:rFonts w:ascii="Arial" w:cs="Arial" w:eastAsia="Arial" w:hAnsi="Arial"/>
                <w:sz w:val="18"/>
                <w:szCs w:val="18"/>
                <w:color w:val="auto"/>
              </w:rPr>
              <w:t>August 31, 2016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20,019</w:t>
            </w:r>
          </w:p>
        </w:tc>
        <w:tc>
          <w:tcPr>
            <w:tcW w:w="1940" w:type="dxa"/>
            <w:vAlign w:val="bottom"/>
          </w:tcPr>
          <w:p>
            <w:pPr>
              <w:ind w:left="120"/>
              <w:spacing w:after="0"/>
              <w:rPr>
                <w:sz w:val="20"/>
                <w:szCs w:val="20"/>
                <w:color w:val="auto"/>
              </w:rPr>
            </w:pPr>
            <w:r>
              <w:rPr>
                <w:rFonts w:ascii="Arial" w:cs="Arial" w:eastAsia="Arial" w:hAnsi="Arial"/>
                <w:sz w:val="18"/>
                <w:szCs w:val="18"/>
                <w:color w:val="auto"/>
              </w:rPr>
              <w:t>September 20, 2016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All of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177" w:lineRule="exact"/>
        <w:rPr>
          <w:sz w:val="20"/>
          <w:szCs w:val="20"/>
          <w:color w:val="auto"/>
        </w:rPr>
      </w:pPr>
    </w:p>
    <w:p>
      <w:pPr>
        <w:ind w:right="6340" w:firstLine="8"/>
        <w:spacing w:after="0" w:line="503"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OPTION AND RETIREMENT PLANS Stock Option Awards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FactSet Research Systems Inc. 2004 Stock Option and Award Plan, as Amended and Restated (the “Option Plan”) provides for the grant of share-based awards, including stock options and restricted stock awards to employees of FactSet. The expiration date of the Option Plan is December 14, 2020. Stock options granted under the Option Plan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first three months of fiscal 2018, FactSet granted 553,942 stock options at a weighted average exercise price of $189.98 to existing employees of the Company. As of November 30, 2017, a total of 3,669,181 stock options were outstanding at a weighted average exercise price of $149.09. Unamortized stock-based compensation of $75.1 million is expected to be recognized as stock-based compensation expense over the remaining weighted average vesting period of 3.8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0"/>
              </w:rPr>
              <w:t>Weighted 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Number</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Exercise Price Per</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16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Granted – nonperformance-based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total number of in-the-money options exercisable as of November 30, 2017 was 1.3 million with a weighted average exercise price of $121.40. The aggregate intrinsic value of in-the-money stock options exercisable at November 30, 2017 and August 31, 2017 was $102.3 million and $49.7 million, respectively. Aggregate intrinsic value represents the difference between the Company’s closing stock prices of $199.88 and $157.18 on November 30, 2017 and August 31, 2017, respectively, and the exercise price multiplied by the number of options exercisable as of that date. The total pre-tax intrinsic value of stock options exercised during the three months ended November 30, 2017 and 2016 was $18.0 million and $16.4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Performance-based stock options require management to make assumptions regarding the likelihood of achieving Company performance targets. The number of performance-based options that vest will be predicated on the Company achieving performance levels during the measurement period subsequent to the date of grant. Dependent on the financial performance levels attained by FactSet, a percentage of the performance-based stock options will vest to the grantees of those stock options. However, there is no current guarantee that such options will vest in whole or in 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2015 Performance-based Option Grant Review</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acquisition of Code Red, FactSet granted 137,522 performance-based stock options during the second quarter of fiscal 2015. Of the total amount granted, 68,761 performance-based options were eligible to vest if certain Code Red ASV and operating margin targets were achieved over a two-year measurement period ending February 28, 2017. At the conclusion of the measurement period, 70% of the options were deemed eligible to vest, with the remaining options being forfeited. The option holders must remain employed by FactSet through February 28, 2019 in order for the options to vest. As of November 30, 2017, total unamortized stock-based compensation of $0.6 million will be recognized as expense over the remaining vesting period of 1.2 years.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remaining 68,761 options granted in February 2015 are eligible to cliff vest based on a four-year measurement period ending February 28, 2019. As of November 30, 2017, total unamortized stock-based compensation of $0.4 million will be recognized as expense over the remaining vesting period of 1.2 years. A change, up or down, in the actual financial performance levels achieved by Code Red in future fiscal years could result in the following changes to the current estimate of the vesting percentage and related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Cumulative</w:t>
            </w:r>
          </w:p>
        </w:tc>
        <w:tc>
          <w:tcPr>
            <w:tcW w:w="24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Remaining Expense</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25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color w:val="auto"/>
                <w:w w:val="93"/>
              </w:rPr>
              <w:t>Catch-up Adjustment*</w:t>
            </w:r>
          </w:p>
        </w:tc>
        <w:tc>
          <w:tcPr>
            <w:tcW w:w="24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be Recognized</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10%</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40% (current expectation)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70%</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633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bl>
    <w:p>
      <w:pPr>
        <w:spacing w:after="0" w:line="202" w:lineRule="exact"/>
        <w:rPr>
          <w:sz w:val="20"/>
          <w:szCs w:val="20"/>
          <w:color w:val="auto"/>
        </w:rPr>
      </w:pPr>
    </w:p>
    <w:p>
      <w:pPr>
        <w:ind w:left="5620" w:right="920" w:hanging="5612"/>
        <w:spacing w:after="0" w:line="528" w:lineRule="auto"/>
        <w:tabs>
          <w:tab w:leader="none" w:pos="13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Amounts represent the cumulative catch-up adjustment to be recorded if there was a change in the vesting percentage as of November 30, 2017. </w:t>
      </w: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January 2017 Performance-based Option Grant Review</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the acquisition of Vermilion, FactSet granted 61,744 performance-based stock options in January 2017. These performance-based options will vest 40% on the second anniversary date of the grant and 20% on each subsequent anniversary date if certain Vermilion revenue and operating income targets are achieved by November 30, 2017. The option holders must also remain employed by FactSet for the options to be eligible to vest. As of November 30, 2017, FactSet does not believe these growth targets are probable of being achieved, and as such, no stock-based compensation expense is expected to be recognized in connection with these performance-based options. A change in the actual financial performance levels achieved by Vermilion in future fiscal years could result in the following changes to the current estimate of the vesting percentage and related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Cumulative</w:t>
            </w:r>
          </w:p>
        </w:tc>
        <w:tc>
          <w:tcPr>
            <w:tcW w:w="2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Remaining Expense</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250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color w:val="auto"/>
                <w:w w:val="93"/>
              </w:rPr>
              <w:t>Catch-up Adjustment*</w:t>
            </w:r>
          </w:p>
        </w:tc>
        <w:tc>
          <w:tcPr>
            <w:tcW w:w="2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be Recognized</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100%</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r>
    </w:tbl>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Amounts represent the cumulative catch-up adjustment to be recorded if there was a change in the vesting percentage as of November 30,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Performance-based Option Grant Review</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November 30, 2017,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Cumulative</w:t>
            </w:r>
          </w:p>
        </w:tc>
        <w:tc>
          <w:tcPr>
            <w:tcW w:w="2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Remaining Expense</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250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color w:val="auto"/>
                <w:w w:val="93"/>
              </w:rPr>
              <w:t>Catch-up Adjustment*</w:t>
            </w:r>
          </w:p>
        </w:tc>
        <w:tc>
          <w:tcPr>
            <w:tcW w:w="2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be Recognized</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80%</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6,515</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100%</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8,144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Amounts represent the cumulative catch-up adjustment to be recorded if there was a change in the vesting percentage as of November 30,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Stock Unit Awards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Option Plan permits the issuance of restricted stock and restricted stock units. Restricted stock awards are subject to continued employment over a specified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Stock Unit Awards Activity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three months of fiscal 2018, FactSet granted 961 restricted stock awards to employees of the Company at a weighted average grant date fair value of $182.17. These restricted stock awards vest over a weighted average period of 5.0 years from grant date.</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November 30, 2017, a total of 161,527 shares of restricted stock and restricted stock units were unvested and outstanding, which results in unamortized stock-based compensation of $17.5 million to be recognized as stock-based compensation expense over the remaining weighted average vesting period of 3.3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Grant Date Fair Value Per</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Number Outstanding</w:t>
            </w:r>
          </w:p>
        </w:tc>
        <w:tc>
          <w:tcPr>
            <w:tcW w:w="28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160"/>
              <w:spacing w:after="0" w:line="243" w:lineRule="exact"/>
              <w:rPr>
                <w:sz w:val="20"/>
                <w:szCs w:val="20"/>
                <w:color w:val="auto"/>
              </w:rPr>
            </w:pPr>
            <w:r>
              <w:rPr>
                <w:rFonts w:ascii="Arial" w:cs="Arial" w:eastAsia="Arial" w:hAnsi="Arial"/>
                <w:sz w:val="17"/>
                <w:szCs w:val="17"/>
                <w:color w:val="auto"/>
              </w:rPr>
              <w:t>Vested</w:t>
            </w:r>
            <w:r>
              <w:rPr>
                <w:rFonts w:ascii="Arial" w:cs="Arial" w:eastAsia="Arial" w:hAnsi="Arial"/>
                <w:sz w:val="28"/>
                <w:szCs w:val="28"/>
                <w:color w:val="auto"/>
                <w:vertAlign w:val="superscript"/>
              </w:rPr>
              <w:t>(1)</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0" w:hanging="330"/>
        <w:spacing w:after="0" w:line="264" w:lineRule="auto"/>
        <w:tabs>
          <w:tab w:leader="none" w:pos="5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Of the 11,278 restricted stock awards that vested during the first quarter of fiscal 2018, 9,765 related to the second tranche (20%) of awards granted on October 16, 2015. These awards vest 20% per year on the anniversary date of the award. The remaining 1,513 awards vested related to other grants.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Share-based Awards</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86"/>
              </w:rPr>
              <w:t>Share-based Awards</w:t>
            </w: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Available for Grant under</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92"/>
              </w:rPr>
              <w:t>Available for Grant under</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the Non-Employee Directors</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90"/>
              </w:rPr>
              <w:t>the Employee Option Plan</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Plan</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897</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performance-based options</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740" w:type="dxa"/>
            <w:vAlign w:val="bottom"/>
          </w:tcPr>
          <w:p>
            <w:pPr>
              <w:ind w:left="160"/>
              <w:spacing w:after="0" w:line="256" w:lineRule="exact"/>
              <w:rPr>
                <w:sz w:val="20"/>
                <w:szCs w:val="20"/>
                <w:color w:val="auto"/>
              </w:rPr>
            </w:pPr>
            <w:r>
              <w:rPr>
                <w:rFonts w:ascii="Arial" w:cs="Arial" w:eastAsia="Arial" w:hAnsi="Arial"/>
                <w:sz w:val="18"/>
                <w:szCs w:val="18"/>
                <w:color w:val="auto"/>
              </w:rPr>
              <w:t>Granted – restricted stock awards</w:t>
            </w:r>
            <w:r>
              <w:rPr>
                <w:rFonts w:ascii="Arial" w:cs="Arial" w:eastAsia="Arial" w:hAnsi="Arial"/>
                <w:sz w:val="29"/>
                <w:szCs w:val="29"/>
                <w:color w:val="auto"/>
                <w:vertAlign w:val="superscript"/>
              </w:rPr>
              <w:t>(1)</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Balance at November 30, 2017</w:t>
            </w: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392</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bl>
    <w:p>
      <w:pPr>
        <w:spacing w:after="0" w:line="187"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Each restricted stock award granted is equivalent to 2.5 shares granted under the Company’s Option Plan.</w:t>
      </w:r>
    </w:p>
    <w:p>
      <w:pPr>
        <w:spacing w:after="0" w:line="225" w:lineRule="exact"/>
        <w:rPr>
          <w:rFonts w:ascii="Arial" w:cs="Arial" w:eastAsia="Arial" w:hAnsi="Arial"/>
          <w:sz w:val="18"/>
          <w:szCs w:val="18"/>
          <w:i w:val="1"/>
          <w:iCs w:val="1"/>
          <w:color w:val="auto"/>
        </w:rPr>
      </w:pPr>
    </w:p>
    <w:p>
      <w:pPr>
        <w:ind w:left="500" w:right="40" w:hanging="330"/>
        <w:spacing w:after="0" w:line="277" w:lineRule="auto"/>
        <w:tabs>
          <w:tab w:leader="none" w:pos="5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Company’s Option Plan, for each restricted stock award canceled/forfeited, an equivalent of 2.5 shares is added back to the available share-based awards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Amended and Restated FactSet Research Systems Inc. 2008 Employee Stock Purchase Plan (the “ESPP”) in three-month intervals at a purchase price equal to at least 85% of the lesser of the fair market value of the Company’s common stock on either the first day or the last day of each three-month offering period. Employee purchases may not exceed 10% of their gross compensation or a $25,000 contribution limit during an offering period.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months ended November 30, 2017, employees purchased 19,589 shares at a weighted average price of $134.39 as compared to 16,496 shares at a weighted average price of $136.14 for the three months ended November 30, 2016. At November 30, 2017, 313,583 shares were reserved for future issuance under the ESPP.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established it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 year graduated vesting schedule. All full-time, U.S. employees are eligible for the matching contribution by the Company. The Company contributed $2.8 million and $1.9 million in matching contributions to employee 401(k) accounts during the three months ended November 30, 2017 and 2016,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recognized total stock-based compensation expense of $7.5 million and $6.4 million during the three months ended November 30, 2017 and 2016, respectively. As of November 30, 2017, $92.5 million of total unrecognized compensation expense related to non-vested equity awards is expected to be recognized over a weighted average period of 3.6 years. There was no stock-based compensation capitalized as of November 30, 2017 or August 31,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Fair Value Determinations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Q1 2018</w:t>
            </w:r>
          </w:p>
        </w:tc>
        <w:tc>
          <w:tcPr>
            <w:tcW w:w="103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553,942 nonperformance-based employee stock options were granted at a weighted average exercise price of $189.98 and a weighted</w:t>
            </w: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average estimated fair value of $48.27 per share.</w:t>
            </w:r>
          </w:p>
        </w:tc>
      </w:tr>
      <w:tr>
        <w:trPr>
          <w:trHeight w:val="195"/>
        </w:trPr>
        <w:tc>
          <w:tcPr>
            <w:tcW w:w="120" w:type="dxa"/>
            <w:vAlign w:val="bottom"/>
          </w:tcPr>
          <w:p>
            <w:pPr>
              <w:spacing w:after="0"/>
              <w:rPr>
                <w:sz w:val="16"/>
                <w:szCs w:val="16"/>
                <w:color w:val="auto"/>
              </w:rPr>
            </w:pPr>
          </w:p>
        </w:tc>
        <w:tc>
          <w:tcPr>
            <w:tcW w:w="940" w:type="dxa"/>
            <w:vAlign w:val="bottom"/>
          </w:tcPr>
          <w:p>
            <w:pPr>
              <w:spacing w:after="0" w:line="195" w:lineRule="exact"/>
              <w:rPr>
                <w:sz w:val="20"/>
                <w:szCs w:val="20"/>
                <w:color w:val="auto"/>
              </w:rPr>
            </w:pPr>
            <w:r>
              <w:rPr>
                <w:rFonts w:ascii="Arial" w:cs="Arial" w:eastAsia="Arial" w:hAnsi="Arial"/>
                <w:sz w:val="18"/>
                <w:szCs w:val="18"/>
                <w:color w:val="auto"/>
              </w:rPr>
              <w:t>Q1 2017</w:t>
            </w:r>
          </w:p>
        </w:tc>
        <w:tc>
          <w:tcPr>
            <w:tcW w:w="10360" w:type="dxa"/>
            <w:vAlign w:val="bottom"/>
          </w:tcPr>
          <w:p>
            <w:pPr>
              <w:ind w:left="320"/>
              <w:spacing w:after="0" w:line="195" w:lineRule="exact"/>
              <w:rPr>
                <w:sz w:val="20"/>
                <w:szCs w:val="20"/>
                <w:color w:val="auto"/>
              </w:rPr>
            </w:pPr>
            <w:r>
              <w:rPr>
                <w:rFonts w:ascii="Arial" w:cs="Arial" w:eastAsia="Arial" w:hAnsi="Arial"/>
                <w:sz w:val="18"/>
                <w:szCs w:val="18"/>
                <w:color w:val="auto"/>
                <w:w w:val="89"/>
              </w:rPr>
              <w:t>671,263 nonperformance-based employee stock options and 22,460 performance-based employee stock options were granted at a weighted</w:t>
            </w:r>
          </w:p>
        </w:tc>
      </w:tr>
      <w:tr>
        <w:trPr>
          <w:trHeight w:val="230"/>
        </w:trPr>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360" w:type="dxa"/>
            <w:vAlign w:val="bottom"/>
          </w:tcPr>
          <w:p>
            <w:pPr>
              <w:ind w:left="320"/>
              <w:spacing w:after="0"/>
              <w:rPr>
                <w:sz w:val="20"/>
                <w:szCs w:val="20"/>
                <w:color w:val="auto"/>
              </w:rPr>
            </w:pPr>
            <w:r>
              <w:rPr>
                <w:rFonts w:ascii="Arial" w:cs="Arial" w:eastAsia="Arial" w:hAnsi="Arial"/>
                <w:sz w:val="18"/>
                <w:szCs w:val="18"/>
                <w:color w:val="auto"/>
              </w:rPr>
              <w:t>average exercise price of $152.51 and a weighted average estimated fair value of $39.60 per share.</w:t>
            </w:r>
          </w:p>
        </w:tc>
      </w:tr>
      <w:tr>
        <w:trPr>
          <w:trHeight w:val="432"/>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360" w:type="dxa"/>
            <w:vAlign w:val="bottom"/>
          </w:tcPr>
          <w:p>
            <w:pPr>
              <w:ind w:left="4560"/>
              <w:spacing w:after="0"/>
              <w:rPr>
                <w:sz w:val="20"/>
                <w:szCs w:val="20"/>
                <w:color w:val="auto"/>
              </w:rPr>
            </w:pPr>
            <w:r>
              <w:rPr>
                <w:rFonts w:ascii="Arial" w:cs="Arial" w:eastAsia="Arial" w:hAnsi="Arial"/>
                <w:sz w:val="18"/>
                <w:szCs w:val="18"/>
                <w:color w:val="auto"/>
              </w:rPr>
              <w:t>20</w:t>
            </w:r>
          </w:p>
        </w:tc>
      </w:tr>
      <w:tr>
        <w:trPr>
          <w:trHeight w:val="115"/>
        </w:trPr>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was determined using the binomial model with the following weighted average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November 30,</w:t>
            </w:r>
          </w:p>
        </w:tc>
        <w:tc>
          <w:tcPr>
            <w:tcW w:w="27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5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(years)</w:t>
            </w:r>
          </w:p>
        </w:tc>
        <w:tc>
          <w:tcPr>
            <w:tcW w:w="27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7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1.18%</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$48.27</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$39.60</w:t>
            </w: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27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$189.98</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$152.51</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26.0%</w:t>
            </w:r>
          </w:p>
        </w:tc>
        <w:tc>
          <w:tcPr>
            <w:tcW w:w="5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Fair Value Determinations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2008 Non-Employee Directors’ Stock Option Plan (the “Directors’ Plan”) provides for the grant of share-based awards, including stock options, to non-employee directors of FactSet. An initial 250,000 shares of FactSet common stock were reserved for issuance under the Directors’ Plan, of which 42,185 remain available for future grant as of November 30, 2017. The expiration date of the Directors’ Plan is December 1, 2018.</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non-employee Director stock option grants. The Company’s determination of fair value of share-based payment awards on the date of grant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to the Company’s non-employee Directors during the first quarter of fiscal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There were no stock options granted to the Company’s non-employee Directors during the first quarter of fiscal 2017. However, on January 13, 2017, FactSet granted 23,846 stock options to the Company’s non-employee Directors, including one-time new Director grants of 2,104 stock options each for Malcolm Frank and Sheila B. Jordan, who were elected to FactSet’s Board of Directors on December 20, 2016. All of the options granted on January 13, 2017 have a weighted average estimated fair value of $35.65 per share, using the Black-Scholes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life (years)</w:t>
            </w:r>
          </w:p>
        </w:tc>
        <w:tc>
          <w:tcPr>
            <w:tcW w:w="7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78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418"/>
        </w:trPr>
        <w:tc>
          <w:tcPr>
            <w:tcW w:w="3600" w:type="dxa"/>
            <w:vAlign w:val="bottom"/>
          </w:tcPr>
          <w:p>
            <w:pPr>
              <w:spacing w:after="0"/>
              <w:rPr>
                <w:sz w:val="24"/>
                <w:szCs w:val="24"/>
                <w:color w:val="auto"/>
              </w:rPr>
            </w:pPr>
          </w:p>
        </w:tc>
        <w:tc>
          <w:tcPr>
            <w:tcW w:w="7660" w:type="dxa"/>
            <w:vAlign w:val="bottom"/>
          </w:tcPr>
          <w:p>
            <w:pPr>
              <w:jc w:val="right"/>
              <w:ind w:right="537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Restricted Stock Fair Value Determinations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the first three months of fiscal 2018, there were 961 restricted stock awards granted with a weighted average grant date fair value of $182.17. During the first three months of fiscal 2017, FactSet granted 5,084 restricted stock awards at a weighted average grant date fair value of $151.63.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Fair Value Determinations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months ended November 30, 2017, employees purchased 19,589 shares at a weighted average price of $134.39 as compared to 16,496 shares at a weighted average price of $136.14 a year ago. Stock-based compensation expense recorded for each of the three months ended November 30, 2017 and 2016, relating to the ESPP was $0.5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estimated fair value for the ESPP was calculated using the Black-Scholes model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November 30,</w:t>
            </w:r>
          </w:p>
        </w:tc>
        <w:tc>
          <w:tcPr>
            <w:tcW w:w="2960" w:type="dxa"/>
            <w:vAlign w:val="bottom"/>
          </w:tcPr>
          <w:p>
            <w:pPr>
              <w:spacing w:after="0"/>
              <w:rPr>
                <w:sz w:val="20"/>
                <w:szCs w:val="20"/>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29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Fair Value Estimates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4"/>
          </w:tcPr>
          <w:p>
            <w:pPr>
              <w:jc w:val="right"/>
              <w:ind w:right="10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November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67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8"/>
                <w:szCs w:val="18"/>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86,179</w:t>
            </w:r>
          </w:p>
        </w:tc>
        <w:tc>
          <w:tcPr>
            <w:tcW w:w="5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2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15,800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Effective tax rate</w:t>
            </w: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The effective tax rate was lower than the U.S. federal rate of 35.0% in both periods presented above primarily due to foreign income taxed at lower statutory tax rates than in the U.S., R&amp;D tax benefits, foreign tax credits, the recognition of $4.1 million of excess tax benefits associated with the new shared-based payment accounting standard update and $1.5 million of income tax benefits from settlements with tax authorities. These tax benefits were partially offset by additional state and local income taxes.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and Liabilities</w:t>
            </w: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60" w:type="dxa"/>
            <w:vAlign w:val="bottom"/>
            <w:gridSpan w:val="4"/>
          </w:tcPr>
          <w:p>
            <w:pPr>
              <w:spacing w:after="0"/>
              <w:rPr>
                <w:sz w:val="20"/>
                <w:szCs w:val="20"/>
                <w:color w:val="auto"/>
              </w:rPr>
            </w:pPr>
            <w:r>
              <w:rPr>
                <w:rFonts w:ascii="Arial" w:cs="Arial" w:eastAsia="Arial" w:hAnsi="Arial"/>
                <w:sz w:val="18"/>
                <w:szCs w:val="18"/>
                <w:color w:val="auto"/>
                <w:w w:val="91"/>
              </w:rPr>
              <w:t>The significant components of deferred tax assets that are recorded in the Consolidated Balance Sheets were as follows: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4"/>
                <w:szCs w:val="2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30, 2017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2017</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Receivable reserve</w:t>
            </w:r>
          </w:p>
        </w:tc>
        <w:tc>
          <w:tcPr>
            <w:tcW w:w="21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11,452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11,615</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20,117</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(33,376)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(32,742)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tcPr>
          <w:p>
            <w:pPr>
              <w:ind w:left="640"/>
              <w:spacing w:after="0"/>
              <w:rPr>
                <w:sz w:val="20"/>
                <w:szCs w:val="20"/>
                <w:color w:val="auto"/>
              </w:rPr>
            </w:pPr>
            <w:r>
              <w:rPr>
                <w:rFonts w:ascii="Arial" w:cs="Arial" w:eastAsia="Arial" w:hAnsi="Arial"/>
                <w:sz w:val="18"/>
                <w:szCs w:val="18"/>
                <w:i w:val="1"/>
                <w:iCs w:val="1"/>
                <w:color w:val="auto"/>
              </w:rPr>
              <w:t>Total deferred tax assets</w:t>
            </w:r>
          </w:p>
        </w:tc>
        <w:tc>
          <w:tcPr>
            <w:tcW w:w="14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6,975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10,080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liabilities that are recorded 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30,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2017</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20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26,231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tcPr>
          <w:p>
            <w:pPr>
              <w:ind w:left="640"/>
              <w:spacing w:after="0"/>
              <w:rPr>
                <w:sz w:val="20"/>
                <w:szCs w:val="20"/>
                <w:color w:val="auto"/>
              </w:rPr>
            </w:pPr>
            <w:r>
              <w:rPr>
                <w:rFonts w:ascii="Arial" w:cs="Arial" w:eastAsia="Arial" w:hAnsi="Arial"/>
                <w:sz w:val="18"/>
                <w:szCs w:val="18"/>
                <w:i w:val="1"/>
                <w:iCs w:val="1"/>
                <w:color w:val="auto"/>
              </w:rPr>
              <w:t>Total deferred tax liabilities</w:t>
            </w:r>
          </w:p>
        </w:tc>
        <w:tc>
          <w:tcPr>
            <w:tcW w:w="14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25,028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27,274</w:t>
            </w:r>
          </w:p>
        </w:tc>
      </w:tr>
    </w:tbl>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U.S. income taxes have been provided on undistributed foreign earnings and profits as of November 30, 2017, as FactSet plans to permanently reinvest these amounts and use the earnings to fund non-U.S. operations and working capital needs as well as facilities overseas. This includes, but is not limited to, capital expenditures and acquisitions intended to further FactSet’s global growth strategy. At each reporting period, FactSet assesses its position with regard to the undistributed foreign earnings of its subsidiaries. To the extent that earnings can no longer be indefinitely reinvested, the Company will accrue the tax impact, if any, attributable to those earnings, including the impact of foreign tax credits, at such time. If such earnings are repatriated, additional tax expense may result, although the flexibility inherent in the U.S. Internal Revenue Code may permit the ultimate distribution to be tax-free depending on the nature of the distribution. Therefore, the Company does not believe it is practicable to estimate, with reasonable accuracy, the hypothetical amount of the unrecognized deferred tax liability on its undistributed foreign earnings given the many factors and assumptions necessary to estimate the amount of the federal income tax that may be payable in the future on the undistributed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 of November 30, 2017, the Company had gross unrecognized tax benefits totaling $9.5 million, including $1.4 million of accrued interest, recorded as </w:t>
      </w:r>
      <w:r>
        <w:rPr>
          <w:rFonts w:ascii="Arial" w:cs="Arial" w:eastAsia="Arial" w:hAnsi="Arial"/>
          <w:sz w:val="17"/>
          <w:szCs w:val="17"/>
          <w:i w:val="1"/>
          <w:iCs w:val="1"/>
          <w:color w:val="auto"/>
        </w:rPr>
        <w:t xml:space="preserve">Non-current taxes payable </w:t>
      </w:r>
      <w:r>
        <w:rPr>
          <w:rFonts w:ascii="Arial" w:cs="Arial" w:eastAsia="Arial" w:hAnsi="Arial"/>
          <w:sz w:val="17"/>
          <w:szCs w:val="17"/>
          <w:color w:val="auto"/>
        </w:rPr>
        <w:t>within the Consolidated Balance Sheet. Unrecognized tax benefits represent tax positions taken on tax returns but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 during the first three months of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2017</w:t>
            </w:r>
          </w:p>
        </w:tc>
        <w:tc>
          <w:tcPr>
            <w:tcW w:w="31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Reductions from settlements with taxing authorities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(2,601)</w:t>
            </w:r>
          </w:p>
        </w:tc>
      </w:tr>
      <w:tr>
        <w:trPr>
          <w:trHeight w:val="20"/>
        </w:trPr>
        <w:tc>
          <w:tcPr>
            <w:tcW w:w="7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Unrecognized income tax benefits at November 30, 2017</w:t>
            </w:r>
          </w:p>
        </w:tc>
        <w:tc>
          <w:tcPr>
            <w:tcW w:w="3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the Company’s tax filings are subject to audit by federal, state and foreign tax authorities. At November 30, 2017,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remained subject to examination in the following major tax jurisdictions: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Open Tax Years</w:t>
            </w: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Federal</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2014 through 2018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(various)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2014 through 2018</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Europe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2014 through 2018</w:t>
            </w: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2016 through 2018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2017 through 2018</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16. LONG-TERM DEBT</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Revolving Credit Facility</w:t>
            </w:r>
          </w:p>
        </w:tc>
        <w:tc>
          <w:tcPr>
            <w:tcW w:w="2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574,666</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Outstanding Debt</w:t>
            </w:r>
          </w:p>
        </w:tc>
        <w:tc>
          <w:tcPr>
            <w:tcW w:w="2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574,666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r>
    </w:tbl>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7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conjunction with FactSet’s entrance into the 2017 Credit Agreement, the Company borrowed $575.0 million in the form of a LIBOR rate loan under the 2017 Revolving Credit Facility. Proceeds from the 2017 Revolving Credit Facility were also used to fund FactSet’s acquisition of BISAM.</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and net of related amortized loan origination fees at November 30, 2017. The loan origination fees are amortized into interest expense over the term of the loan using the effective interest method. During the three months ended November 30, 2017 and 2016, the Company paid approximately $3.4 million and $1.1 million in interest on its outstanding debt amounts, respectively. As of November 30, 2017, no commitment fee was owed by FactSet since it borrowed the full amount under the 2017 Credit Agreement.</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 In addition, the 2017 Credit Agreement required that FactSet maintain a consolidated leverage ratio, as measured by total funded debt/EBITDA below a specified level as of the end of each fiscal quarter. The Company was in material compliance with all of the covenants of the 2017 Credit Agreement as of November 30,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At November 30, 2017, the Company leased approximately 202,000 square feet of office space at its headquarters in Norwalk, Connecticut. Including new lease agreements executed during fiscal 2018, the Company’s worldwide leased office space increased to approximately 1,612,100 square feet at November 30, 2017, up 469,100 square feet, or 41.0%, from August 31, 2017. This increase was primarily due to new leases for additional office space in the Philippines. The Company’s significant locations are listed under Item 2, </w:t>
      </w:r>
      <w:r>
        <w:rPr>
          <w:rFonts w:ascii="Arial" w:cs="Arial" w:eastAsia="Arial" w:hAnsi="Arial"/>
          <w:sz w:val="17"/>
          <w:szCs w:val="17"/>
          <w:i w:val="1"/>
          <w:iCs w:val="1"/>
          <w:color w:val="auto"/>
        </w:rPr>
        <w:t>Properties</w:t>
      </w:r>
      <w:r>
        <w:rPr>
          <w:rFonts w:ascii="Arial" w:cs="Arial" w:eastAsia="Arial" w:hAnsi="Arial"/>
          <w:sz w:val="17"/>
          <w:szCs w:val="17"/>
          <w:color w:val="auto"/>
        </w:rPr>
        <w:t>, within the Annual Report on Form 10-K for the fiscal year ended August 31, 2017. The non-cancelable operating leases expire on various dates through 2031. The Company believes the amount of leased office space as of November 30, 2017 is adequate for its current needs and that additional space is available for lease to meet any future needs.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Total minimum rental payments associated with the leases are recorded as rent expense (a component of </w:t>
      </w:r>
      <w:r>
        <w:rPr>
          <w:rFonts w:ascii="Arial" w:cs="Arial" w:eastAsia="Arial" w:hAnsi="Arial"/>
          <w:sz w:val="18"/>
          <w:szCs w:val="18"/>
          <w:i w:val="1"/>
          <w:iCs w:val="1"/>
          <w:color w:val="auto"/>
        </w:rPr>
        <w:t>SG&amp;A</w:t>
      </w:r>
      <w:r>
        <w:rPr>
          <w:rFonts w:ascii="Arial" w:cs="Arial" w:eastAsia="Arial" w:hAnsi="Arial"/>
          <w:sz w:val="18"/>
          <w:szCs w:val="18"/>
          <w:color w:val="auto"/>
        </w:rPr>
        <w:t xml:space="preserve"> expense) on a straight-line basis over the periods of the respective non-cancelable lease terms. Future minimum commitments for the Company’s operating leases in place as of November 30, 2017 are as follows: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Minimum Lease</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Years ended August 31, </w:t>
            </w:r>
            <w:r>
              <w:rPr>
                <w:rFonts w:ascii="Arial" w:cs="Arial" w:eastAsia="Arial" w:hAnsi="Arial"/>
                <w:sz w:val="18"/>
                <w:szCs w:val="18"/>
                <w:i w:val="1"/>
                <w:iCs w:val="1"/>
                <w:color w:val="auto"/>
              </w:rPr>
              <w:t>(in thousands)</w:t>
            </w:r>
          </w:p>
        </w:tc>
        <w:tc>
          <w:tcPr>
            <w:tcW w:w="25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Payments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nine months)</w:t>
            </w:r>
          </w:p>
        </w:tc>
        <w:tc>
          <w:tcPr>
            <w:tcW w:w="2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144,761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Rent expense (including operating costs) for all operating leases amounted to $13.0 million and $11.4 million during the three months ended November 30, 2017 and 2016, respectively. At November 30, 2017 and August 31, 2017, deferred rent reported within the Consolidated Balance Sheets totaled $37.3 million and $37.4 million, of which $33.2 million and $33.5 million, respectively, was reported as a non-current liability within the line item Deferred Rent and Other Non-Current Liabilities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$1.9 million of standby letters of credit have been issued during the ordinary course of business in connection with the Company’s current leased office space as of November 30, 2017. These standby letters of credit contain covenants that, among other things, require FactSet to maintain minimum levels of consolidated net worth and certain leverage and fixed charge ratios. As of November 30, 2017, FactSet was in material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that specify all significant terms, including: fixed or minimum quantities to be purchased; fixed, minimum or variable price provisions; and the approximate timing of the transaction. As of August 31, 2017, the Company had total purchase commitments with suppliers of $81.0 million. There were no material changes in the Company’s purchase commitments during the first three months of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Uncertain income tax positions are accounted for in accordance with applicable accounting guidance (see Note 15).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FactSet accrues non income-tax liabilities for contingencies when management believes that a loss is probable and the amounts can be reasonably estimated, while contingent gains are recognized only when realized. The Company is subject to legal proceedings, claims and litigation arising in the ordinary course of business, including intellectual property litigation. Based on information available at November 30, 2017, FactSet’s management does not believe that the ultimate outcome of these unresolved matters against the Company, individually or in the aggregate, is likely to have a material adverse effect on the Company's consolidated financial position, its results of operations or its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Accounts receivable are unsecured and derived from revenues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revenues in any period presented. At November 30, 2017, the Company’s largest individual client accounted for 7% of total annual subscriptions and subscriptions from the ten largest clients did not surpass 20% of total annual subscriptions, slightly higher than the percentages as of August 31, 2017. As of November 30, 2017, the receivable reserve was $2.9 million compared to a reserve of $2.7 million as of August 31, 2017</w:t>
      </w:r>
      <w:r>
        <w:rPr>
          <w:rFonts w:ascii="Arial" w:cs="Arial" w:eastAsia="Arial" w:hAnsi="Arial"/>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CDS as quoted by publicly available information. Counterparty risk is represented by CDS spreads related to the senior secured debt of the respective bank with whom FactSet has executed these derivative transactions. Because CDS spread information is not available for FactSet, the Company’s credit risk is determined based on using a simple average of CDS spreads for peer companies as determined by FactSet. To mitigate counterparty credit risk, FactSet enters into contracts with large financial institutions and regularly reviews credit exposure balances as well as the creditworthiness of the counterparties.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Executive Vice President, Chief Operating Officer</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November 14, 2017, the Company announced that Mark J. Hale would separate from his position as Executive Vice President, Chief Operating Officer. The separation was effective on December 31, 2017. Under the terms of the separation of employment and general release agreement with Mark J. Hale (the “Agreement”), Mr. Hale was scheduled to receive: (i) a payment of $427,500 on or before January 11, 2018; (ii) the acceleration of the vesting of certain outstanding restricted shares on December 31, 2017; and (iii) the acceleration of the vesting of certain outstanding stock options on December 31, 2017. In addition, the Agreement provides for a release of claims by Mr. Hale and the Company and other terms and conditions customary for agreements of this nature. The foregoing description of the Separation Agreement is a summary only and is qualified in its entirety by reference to the full text of the Separation Agreement which is attached hereto as Exhibit 10.1 to this Quarterly Report on Form 10-Q and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Tax Reform Bill</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December 22, 2017, the Tax Cuts and Jobs Act (the “Tax Act”) was signed into U.S. law and included numerous provisions that significantly revise existing tax law. The Tax Act introduces changes, including the reduction of the corporate income statutory tax rate from 35% to 21% effective January 1, 2018 as well as a variety of other changes including the limitation of the tax deductibility of interest expense, acceleration of expensing of certain business assets, the transition of U.S. international taxation from a worldwide tax system to a territorial tax system, and reductions in the amount of executive pay that could qualify as a tax deduction. The Company is currently evaluating the impact of the Tax Act on its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2"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 for the global investment community. The Company delivers insight and information to investment professionals through its analytics, services, content, and technology. These professionals include portfolio managers, investment research professionals, investment bankers, risk and performance analysts, and wealth advisors. From streaming real-time data to historical information, including quotes, estimates, news and commentary, FactSet offers unique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Company’s revenues are derived from subscriptions to products and services such as workstations, analytics, enterprise data, research management, and trade execution.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First Quarter in Review</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Revenues in the first quarter were $329.1 million, an increase of 14.3% from the prior year comparable period. Excluding the effects of acquisitions and dispositions completed in the last 12 months and foreign currency, organic revenues grew 5.8% over the previous year. Annual subscription value (“ASV”) during the quarter grew 5.1% organically and totaled $1.32 billion as of November 30, 2017. In the last three months, we saw an increase in add-on sales and an addition of new clients, with strong performance from our analytics and content and technology solutions (“CTS”) offerings. Both of these products have demonstrated consistent growth over the last few years.</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this growth represented positive results in the current period, our organic ASV and revenue growth rates were below the growth experienced in the previous year. These metrics were impacted primarily by a shift in our clients from active to passive investing, a focus on total cost of ownership, and ongoing consolidation in the industry. Operating income decreased 1.4%, while diluted earnings per share (“EPS”) increased 6.6% compared to the prior year period. The decrease in operating income was due primarily to higher costs associated with our recent acquisitions, as well as restructuring actions initiated by the Company.</w:t>
      </w:r>
    </w:p>
    <w:p>
      <w:pPr>
        <w:spacing w:after="0" w:line="18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of November 30, 2017, employee count was 9,421, up 8.1% in the past 12 months. Excluding workforces acquired in fiscal 2017, headcount increased 2.9% from a year ago. Of our total employees, 2,474 were located in the U.S., 1,236 in Europe and 5,711 in the Asia Pacific region.</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Additionally, FactSet won numerous awards including Excellence in Asset Management and Servicing, Data and Technology at the CIO Industry Innovation Awards, Best Overall Technology Provider at the Buy-Side Technology Awards from Waters Technology and Data Vendor of the Year at the Risk.Net Market Technology Awards.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As of and for the</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client and user counts)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Three months ended November 30,</w:t>
            </w:r>
          </w:p>
        </w:tc>
        <w:tc>
          <w:tcPr>
            <w:tcW w:w="1380" w:type="dxa"/>
            <w:vAlign w:val="bottom"/>
            <w:vMerge w:val="restart"/>
          </w:tcPr>
          <w:p>
            <w:pPr>
              <w:jc w:val="right"/>
              <w:ind w:right="470"/>
              <w:spacing w:after="0"/>
              <w:rPr>
                <w:sz w:val="20"/>
                <w:szCs w:val="20"/>
                <w:color w:val="auto"/>
              </w:rPr>
            </w:pPr>
            <w:r>
              <w:rPr>
                <w:rFonts w:ascii="Arial" w:cs="Arial" w:eastAsia="Arial" w:hAnsi="Arial"/>
                <w:sz w:val="18"/>
                <w:szCs w:val="18"/>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EPS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80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Free cash flow</w:t>
            </w:r>
            <w:r>
              <w:rPr>
                <w:rFonts w:ascii="Arial" w:cs="Arial" w:eastAsia="Arial" w:hAnsi="Arial"/>
                <w:sz w:val="29"/>
                <w:szCs w:val="29"/>
                <w:color w:val="auto"/>
                <w:vertAlign w:val="superscript"/>
              </w:rPr>
              <w:t>(1)</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ASV</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1,319.9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1,170.4</w:t>
            </w: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Clients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4,809</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Users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88,593</w:t>
            </w: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84,285</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hanging="350"/>
        <w:spacing w:after="0" w:line="293" w:lineRule="auto"/>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We define free cash flow as cash provided by operating activities, which includes the cash cost for taxes and changes in working capital, less capital expenditures. The presentation of free cash flow is not intended to be considered in isolation or as a substitute for the financial information prepared and presented in accordance with GAAP. We use free cash flow, a non-GAAP measure, both in presenting our results to stockholders and the investment community, and in our internal evaluation and management of the business. Management believes that this financial measure and the information we provide are useful to investors because they permit investors to view our performance using the same metric that we use to gauge progress in achieving our goals. Free cash flow is also an indication of cash flow that may be available to fund further investments in future growth initiatives.</w:t>
      </w:r>
    </w:p>
    <w:p>
      <w:pPr>
        <w:spacing w:after="0" w:line="164" w:lineRule="exact"/>
        <w:rPr>
          <w:rFonts w:ascii="Arial" w:cs="Arial" w:eastAsia="Arial" w:hAnsi="Arial"/>
          <w:sz w:val="16"/>
          <w:szCs w:val="16"/>
          <w:i w:val="1"/>
          <w:iCs w:val="1"/>
          <w:color w:val="auto"/>
        </w:rPr>
      </w:pPr>
    </w:p>
    <w:p>
      <w:pPr>
        <w:ind w:left="480" w:hanging="350"/>
        <w:spacing w:after="0"/>
        <w:tabs>
          <w:tab w:leader="none" w:pos="4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ASV grew 5.1% organically year over year.</w:t>
      </w:r>
    </w:p>
    <w:p>
      <w:pPr>
        <w:spacing w:after="0" w:line="225" w:lineRule="exact"/>
        <w:rPr>
          <w:rFonts w:ascii="Arial" w:cs="Arial" w:eastAsia="Arial" w:hAnsi="Arial"/>
          <w:sz w:val="18"/>
          <w:szCs w:val="18"/>
          <w:i w:val="1"/>
          <w:iCs w:val="1"/>
          <w:color w:val="auto"/>
        </w:rPr>
      </w:pPr>
    </w:p>
    <w:p>
      <w:pPr>
        <w:ind w:left="480" w:hanging="350"/>
        <w:spacing w:after="0"/>
        <w:tabs>
          <w:tab w:leader="none" w:pos="48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In the third quarter of fiscal 2017, FactSet changed its ASV definition to exclude professional services as these fees are not subscription based.</w:t>
      </w:r>
    </w:p>
    <w:p>
      <w:pPr>
        <w:spacing w:after="0" w:line="236" w:lineRule="exact"/>
        <w:rPr>
          <w:rFonts w:ascii="Arial" w:cs="Arial" w:eastAsia="Arial" w:hAnsi="Arial"/>
          <w:sz w:val="17"/>
          <w:szCs w:val="17"/>
          <w:i w:val="1"/>
          <w:iCs w:val="1"/>
          <w:color w:val="auto"/>
        </w:rPr>
      </w:pPr>
    </w:p>
    <w:p>
      <w:pPr>
        <w:ind w:left="480" w:right="240" w:hanging="350"/>
        <w:spacing w:after="0" w:line="342" w:lineRule="auto"/>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 the second quarter of fiscal 2017, FactSet changed its client count definition to capture clients with ASV greater than $10,000 versus the previous metric of clients with ASV greater than $24,000. The prior year client count was restated to reflect this change for comparison purposes.</w:t>
      </w:r>
    </w:p>
    <w:p>
      <w:pPr>
        <w:spacing w:after="0" w:line="123" w:lineRule="exact"/>
        <w:rPr>
          <w:rFonts w:ascii="Arial" w:cs="Arial" w:eastAsia="Arial" w:hAnsi="Arial"/>
          <w:sz w:val="16"/>
          <w:szCs w:val="16"/>
          <w:i w:val="1"/>
          <w:iCs w:val="1"/>
          <w:color w:val="auto"/>
        </w:rPr>
      </w:pPr>
    </w:p>
    <w:p>
      <w:pPr>
        <w:ind w:left="480" w:right="40" w:hanging="350"/>
        <w:spacing w:after="0" w:line="264" w:lineRule="auto"/>
        <w:tabs>
          <w:tab w:leader="none" w:pos="4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 the second quarter of fiscal 2017, FactSet changed its user count definition to account for users from workstations previously not captured due to certain product bundling and also users of the StreetAccount web product. The prior year user count was restated to reflect this change for comparison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Subscription Value</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Annual subscription value at any given point in time represents the forward-looking revenues for the next twelve months from all subscription services currently being supplied to clients. With proper notice to us, our clients are able to add to, delete portions of, or terminate service at any time, subject to certain contractual limitations. ASV totaled $1.32 billion at November 30, 2017. ASV excludes professional services fees billed in the last 12 months, which are not subscription-based. We have achieved organic ASV growth of $59.3 million, or 5.1%, over the last 12 months. Organic ASV excludes ASV from acquisitions and dispositions completed within the past 12 months and the effects of foreign currency.</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Buy-side and sell-side ASV growth rates for the first quarter of fiscal 2018 were 5.3% and 3.9%, respectively. Buy-side clients account for 84.2% of ASV, while the remainder is derived from sell-side firms that perform mergers and acquisitions advisory work, capital markets services and equity research. The increase in ASV was driven primarily by an increase in add-on sales and the addition of new clients, partially offset by cancellations. The first quarter of fiscal 2018 growth rates for both buy and sell-side were a decrease from prior year growth rates, which is primarily attributed to a decrease in trading volumes from our Portware Executive Management System (“EMS”) product and an increase in client cancellations, partially offset by the addition of new clients.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ASV from U.S. operations was $824.9 million, increasing 7.8% over prior year and 3.9% organically. ASV from international operations was $495.0 million, increasing 22.2% over prior year and 7.3% organically. International ASV now represents 37.5% of total ASV, up from 34.6% a year ago. This substantial shift in ASV to international operations was due primarily to acquisitions completed in the last 12 months and increased growth in analytics and workstation sales to asset managers in Asia Pacific compared to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total client count was 4,809 as of November 30, 2017, representing a net increase of 65 clients in the past three months. In the second quarter of fiscal 2017, FactSet changed its client count definition to capture clients with ASV greater than $10,000 versus the previous metric of clients with ASV greater than $24,000. The prior year client count was restated to reflect this change for comparison purposes. Client count has increased by 12.9% in the last 12 months. We continue to focus on expanding our current client base as it is essential to our long-term growth strategy and encourages incremental sales growth of workstations, applications and content at our existing clients.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right="60"/>
        <w:spacing w:after="0" w:line="302" w:lineRule="auto"/>
        <w:rPr>
          <w:sz w:val="20"/>
          <w:szCs w:val="20"/>
          <w:color w:val="auto"/>
        </w:rPr>
      </w:pPr>
      <w:r>
        <w:rPr>
          <w:rFonts w:ascii="Arial" w:cs="Arial" w:eastAsia="Arial" w:hAnsi="Arial"/>
          <w:sz w:val="16"/>
          <w:szCs w:val="16"/>
          <w:color w:val="auto"/>
        </w:rPr>
        <w:t>As of November 30, 2017, there were 88,593 professionals using FactSet. In the second quarter of fiscal 2017, FactSet also changed its user count definition to account for users from workstations previously not captured due to certain product bundling and also StreetAccount web product users. The prior year user count was restated to reflect this change for comparison purposes. User count decreased 253 in the past three months primarily due to StreetAccount user cancellations. However, over the last 12 months, user count grew by 5.1% primarily due to expansion at existing clients and new client acquisition.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 client retention as of November 30, 2017 was greater than 95% of ASV and 90% when expressed as a percentage of clients. Our retention success, demonstrating that a majority of our clients maintain their subscriptions to FactSet year over year, highlights the strength of our business model. At November 30, 2017, our largest individual client accounted for 7% of total subscriptions and annual subscriptions from our ten largest clients did not surpass 20% of total client subscriptions.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November 8, 2017, FactSet’s Board of Directors approved a regular quarterly dividend of $0.56 per share, or $2.24 per share per annum. The cash dividend of $21.9 million was paid on December 19, 2017 to common stockholders of record at the close of business on November 30, 2017. We repurchased 164,920 shares for $30.9 million during the first quarter of fiscal 2018 under our existing share repurchase program. Over the last 12 months, we have returned $290.5 million to stockholders in the form of share repurchases and dividends, funded by cash generated from operations. On March 27, 2017, the Board of Directors of FactSet approved a $300.0 million expansion of the existing share repurchase program. Including this expansion, $213.2 million is available for future share repurchases as of November 30,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Capital expenditures in the first quarter of fiscal 2018 were $5.9 million, compared with $12.5 million a year ago. Approximately $3.5 million, or 59%, of our capital expenditures was primarily for purchases of new computer equipment for our recent acquisitions, additional servers in our existing data centers and new laptop computers and peripherals for our growing employee base. The remainder of our capital expenditures was primarily for the build out of office space including $1.0 million in the Netherlands and $0.6 million in New York.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an understanding of the significant factors that influenced our performance for the three months ended November 30, 2017 and 2016, respectively, the following discussion should be read in conjunction with the Consolidated Financial Statements and the Notes to Consolidated Financial Statements presented in this Quarterly Report on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November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8"/>
                <w:szCs w:val="18"/>
                <w:color w:val="auto"/>
              </w:rPr>
            </w:pPr>
          </w:p>
        </w:tc>
        <w:tc>
          <w:tcPr>
            <w:tcW w:w="1740" w:type="dxa"/>
            <w:vAlign w:val="bottom"/>
          </w:tcPr>
          <w:p>
            <w:pPr>
              <w:jc w:val="right"/>
              <w:ind w:right="1050"/>
              <w:spacing w:after="0"/>
              <w:rPr>
                <w:sz w:val="20"/>
                <w:szCs w:val="20"/>
                <w:color w:val="auto"/>
              </w:rPr>
            </w:pPr>
            <w:r>
              <w:rPr>
                <w:rFonts w:ascii="Arial" w:cs="Arial" w:eastAsia="Arial" w:hAnsi="Arial"/>
                <w:sz w:val="18"/>
                <w:szCs w:val="18"/>
                <w:color w:val="auto"/>
              </w:rPr>
              <w:t>2016</w:t>
            </w:r>
          </w:p>
        </w:tc>
        <w:tc>
          <w:tcPr>
            <w:tcW w:w="1100" w:type="dxa"/>
            <w:vAlign w:val="bottom"/>
          </w:tcPr>
          <w:p>
            <w:pPr>
              <w:ind w:left="1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329,141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288,063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services</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161,524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127,250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78,519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70,494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89,098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90,319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70,379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66,583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1.66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39,680</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40,100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Revenues for the three months ended November 30, 2017 were $329.1 million, up 14.3% compared to the prior year. The increase in revenue was driven by new revenue from acquisitions and organic ASV growth of 5.1%, primarily from our analytics and CTS products, along with a solid performance from our wealth product. Within analytics we saw strong contribution from Risk, Portfolio Reporting, Portfolio Services and Fixed. CTS had a strong quarter with continued momentum around our expanding suite of standard data feeds. Offsetting the positive factors associated with our revenue growth, we experienced cancellations due to a shift from active to passive investing, focus placed on total cost ownership and firm consolidations. Excluding the effects of acquisitions and dispositions completed in the last 12 months and foreign currency, our organic revenue growth rate for the quarter was 5.8%.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 by Geographic Region</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Three months ended November 30,</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620" w:type="dxa"/>
            <w:vAlign w:val="bottom"/>
          </w:tcPr>
          <w:p>
            <w:pPr>
              <w:spacing w:after="0"/>
              <w:rPr>
                <w:sz w:val="18"/>
                <w:szCs w:val="18"/>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208,768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190,627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i w:val="1"/>
                <w:iCs w:val="1"/>
                <w:color w:val="auto"/>
              </w:rPr>
              <w:t>% of revenues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63.4%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66.2%</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91,727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71,863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Asia Pacific</w:t>
            </w:r>
          </w:p>
        </w:tc>
        <w:tc>
          <w:tcPr>
            <w:tcW w:w="1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w:t>
            </w:r>
          </w:p>
        </w:tc>
        <w:tc>
          <w:tcPr>
            <w:tcW w:w="6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120,373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97,436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i w:val="1"/>
                <w:iCs w:val="1"/>
                <w:color w:val="auto"/>
              </w:rPr>
              <w:t>% of revenues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36.6%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33.8%</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329,141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288,063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Revenues from our U.S. segment increased 9.5% to $208.8 million during the three months ended November 30, 2017 compared to the same period a year ago, primarily a result of strong performance from the analytics suite and data feed products. Excluding the effects of acquisitions and dispositions completed in the last 12 months, organic revenues in the U.S. were up 4.8% compared to the year ago first quarter. Revenues from our U.S. operations accounted for</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63.4% of our consolidated revenues during the first quarter of fiscal 2018, a decrease from the prior year, as U.S. sales growth was outpaced by international growth.</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European revenues grew 27.6% due primarily to recent acquisitions, which have significant operations in the European markets. Organic revenues in the European segment were up 5.9% compared to the year ago first quarter. Growth rates in Europe have been negatively impacted by the regulatory environment and political events, resulting in delayed purchasing decisions. Foreign currency exchange rate fluctuations increased our European growth rate by 140 basis points.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Asia Pacific revenue growth of 12.0% was primarily due to an increase in the analytics suite and workstation sales to asset managers. Foreign currency exchange rate fluctuations reduced our Asia Pacific growth rate by 20 basis points.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color w:val="auto"/>
                <w:w w:val="89"/>
              </w:rPr>
              <w:t>Three months ended November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64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161,524</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127,250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SG&amp;A</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70,494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197,744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2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89,098</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90,319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Operating Margin</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27.1%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31.4%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three months ended November 30, 2017, cost of services increased 26.9% to $161.5 million compared to $127.3 million in the same period a year ago. Cost of services, expressed as a percentage of revenues, was 49.1% during the first quarter of fiscal 2018, an increase of 490 basis points over the prior year period due to higher employee compensation, amortization of intangible assets, and data costs.</w:t>
      </w:r>
    </w:p>
    <w:p>
      <w:pPr>
        <w:spacing w:after="0" w:line="1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Employee compensation, when expressed as a percentage of revenues increased 200 basis points in the first quarter of fiscal 2018 compared to the same period a year ago. The increase is primarily due to an increase in net new employees of 708 over the last 12 months, with the majority of their compensation included in cost of services, as well as base salary changes and incremental hires in our centers of excellence located in India and the Philippines and a non-recurring pre-tax charge of approximately $3.2 million related to restructuring actions initiated by the Company. As of November 30, 2017, approximately 72% of our employee base performed operational roles.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line="276" w:lineRule="auto"/>
        <w:rPr>
          <w:sz w:val="20"/>
          <w:szCs w:val="20"/>
          <w:color w:val="auto"/>
        </w:rPr>
      </w:pPr>
      <w:r>
        <w:rPr>
          <w:rFonts w:ascii="Arial" w:cs="Arial" w:eastAsia="Arial" w:hAnsi="Arial"/>
          <w:sz w:val="17"/>
          <w:szCs w:val="17"/>
          <w:color w:val="auto"/>
        </w:rPr>
        <w:t>Amortization of acquired intangible assets, when expressed as a percentage of revenues, increased 60 basis points in the first quarter of fiscal 2018 compared to the same period a year ago primarily due to our fiscal 2017 acquisitions, which added approximately $93.2 million of intangible assets to be amortized over a weighted-average life of 11.5 years. These intangible assets were amortized for the full first quarter of fiscal 2018, however, the first quarter of fiscal 2017 did not include a similar amount of acquisition amortization due to the dates of each acquisition. Data costs increased 80 basis points when expressed as a percentage of revenues due primarily to our recently acquired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For the three months ended November 30, 2017, SG&amp;A expenses increased to $78.5 million, up 11.4%, from $70.5 million in the same period a year ago. SG&amp;A expenses, expressed as a percentage of revenues, were 23.9% during the first quarter of fiscal 2018, a decrease of 70 basis points over the prior year period as a result of foreign exchange hedges, partially offset by an increase of 40 basis points in compensation expense.</w:t>
      </w:r>
    </w:p>
    <w:p>
      <w:pPr>
        <w:spacing w:after="0" w:line="1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increase to employee compensation as a percentage of revenue compared to the same period a year ago was due primarily to the current year non-recurring pre-tax charge of approximately $3.3 million related to restructuring actions initiated by the Company and an increase in headcount year over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Operating income decreased 1.4% to $89.1 million for the three months ended November 30, 2017 compared to the prior year period. Our operating margin during the first quarter of fiscal 2018 was 27.1%, down from 31.4% a year ago. The lower operating margin was primarily due to increases in employee compensation costs, including non-recurring restructuring actions initiated by the Company, as well as data costs, and amortization of intangible assets, partially offset by a gain on foreign exchange hedges.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color w:val="auto"/>
                <w:w w:val="91"/>
              </w:rPr>
              <w:t>Three months ended November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40,771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40,005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Europe</w:t>
            </w: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32,970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36,584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13,730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0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89,098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90,319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operating segments are aligned with how we manage the business and the demographic markets in which we serve and how the chief operating decision maker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 party data costs and corporate headquarters charges are recorded by the U.S. segment and are not allocated to the other segments. The content collection centers located in India and the Philippines benefit all of our segments, so the expenses incurred at these locations are allocated to each segment based on a percentage of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U.S. operating income increased 1.9% to $40.8 million during the three months ended November 30, 2017 compared to $40.0 million in the same period a year ago. The increase in U.S. operating income is primarily from revenue growth of 9.5% partially offset by higher employee compensation and data costs. U.S. revenue growth was driven by U.S. organic ASV growth of 3.9% and strong performance in our analytics suite and data feed products. Excluding the effect of acquisitions and dispositions in the last 12 months, U.S. employee headcount grew 2.1% year over year, leading to an increase in compensation expense and related benefits. Data costs increased due primarily to higher third-party data costs from our recent acquisitions and additional users of FactSet, along with increased data fees from certain vendors.</w:t>
      </w:r>
    </w:p>
    <w:p>
      <w:pPr>
        <w:spacing w:after="0" w:line="1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European operating income decreased 9.9% to $33.0 million during the three months ended November 30, 2017 compared to $36.6 million in the same period a year ago. The decrease in European operating income was due to higher employee compensation, amortization of intangible assets, and data cost partially offset by revenue growth of 27.6%. The impact of foreign currency decreased operating income by $0.3 million year over year. Employee compensation was higher year over year as a result of 333 net new employees in our European offices in the last 12 months. These employees are primarily from our recent acquisitions. Amortization of intangible assets increased due to intangible assets acquired from the recent acquisitions, the majority of which reside in our European segment. Data costs increased due primarily to higher third-party data costs related to our recently acquired businesses.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t>Asia Pacific operating income increased 11.8% to $15.4 million during the three months ended November 30, 2017 compared to $13.7 million in the same period a year ago. The increase in the Asia Pacific operating income was due to revenue growth of 12.0%, partially offset by increases in employee compensation. The impact of foreign currency increased Asia Pacific operating income by $0.5 million year over year. Asia Pacific revenue growth was due primarily to an increase in analytics and workstation sales to asset managers. Employee compensation was higher year over year as a result of a 6.0% increase in our Asia Pacific workforce in the last 12 months.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Taxes, Net Income and Diluted Earnings per Share</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 November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jc w:val="right"/>
              <w:ind w:right="1050"/>
              <w:spacing w:after="0"/>
              <w:rPr>
                <w:sz w:val="20"/>
                <w:szCs w:val="20"/>
                <w:color w:val="auto"/>
              </w:rPr>
            </w:pPr>
            <w:r>
              <w:rPr>
                <w:rFonts w:ascii="Arial" w:cs="Arial" w:eastAsia="Arial" w:hAnsi="Arial"/>
                <w:sz w:val="18"/>
                <w:szCs w:val="18"/>
                <w:color w:val="auto"/>
              </w:rPr>
              <w:t>2016</w:t>
            </w:r>
          </w:p>
        </w:tc>
        <w:tc>
          <w:tcPr>
            <w:tcW w:w="1100" w:type="dxa"/>
            <w:vAlign w:val="bottom"/>
          </w:tcPr>
          <w:p>
            <w:pPr>
              <w:ind w:left="1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15,800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23,237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70,379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66,583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9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three months ended November 30, 2017, the provision for income taxes was $15.8 million, down 32.0% from the same period a year ago. The provision for income taxes decreased year over year primarily due to the recognition of $4.1 million of excess tax benefits associated with an employee share-based payment accounting standard update adopted in first quarter of fiscal 2018. Additionally, we recognized $1.5 million of income tax benefits from settlements with tax authorities during the first quarter of fiscal 2018. As a result of these tax benefits, our effective tax rate declined to 18.3% in the first quarter of fiscal 2018 from 25.9% in the first quarter of fiscal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2017 compared to three months ended November 30, 2016</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income increased 5.7% to $70.4 million and diluted earnings per share increased 6.6% to $1.77 for the three months ended November 30, 2017, compared to the three months ended November 30, 2016. Net income and earnings per share increased during the first quarter of fiscal 2018 due to a lower provision for income taxes, partially offset by slightly lower operating income and an increase in interest expense associated with our outstanding debt. The provision for income taxes decreased year over year due primarily to the recognition of excess tax benefits associated with an employee share-based payment accounting standard update adopted in first quarter of fiscal 2018. The increase in diluted earnings per share was also driven by a decrease in diluted shares outstanding as a result of share repurchases.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 (non-GAAP)</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Financial measures in accordance with U.S. GAAP including operating income and margin, net income and diluted EPS have been adjusted below. These adjusted financial measures are used both in presenting our results to stockholders and the investment community, and also in our internal evaluation and management of the business. We believe that these adjusted financial measures and the information they provide are useful to investors because they permit investors to view the Company’s performance using the same tools that we uses to gauge progress in achieving our goals. Adjusted measures may also facilitate comparisons to FactSet’s historical performance.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net income for the three months ended November 30, 2017 was $80.9 million, an increase of 15.4% from the prior year period. As presented in the table below, adjusted net income for the quarter ended November 30, 2017 excludes $4.6 million (after-tax) of intangible asset amortization, $2.0 million (after-tax) related to deferred revenue fair value adjustments from purchase accounting, $5.4 million (after-tax) of non-recurring restructuring actions and $1.5 million of income tax benefits primarily from settlements with taxing authorities. Adjusted net income for the three months ended November 30, 2016 was $70.1 million, which excludes $2.8 million of after-tax intangible asset amortization and $0.7 million of after-tax non-recurring items primarily related to legal matters.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Fiscal 2018 first quarter adjusted diluted EPS of $2.04 excludes the net effect of the $0.12 detriment from the intangible asset amortization, $0.05 detriment from the deferred revenue fair value adjustments, $0.14 detriment from non-recurring restructuring actions and $0.04 benefit from income tax benefits primarily from settlements with taxing authorities. Fiscal 2017 first quarter adjusted diluted EPS of $1.75 excludes a $0.09 detriment from the intangible asset amortization and non-recurring acquisition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jc w:val="right"/>
              <w:ind w:right="520"/>
              <w:spacing w:after="0"/>
              <w:rPr>
                <w:sz w:val="20"/>
                <w:szCs w:val="20"/>
                <w:color w:val="auto"/>
              </w:rPr>
            </w:pPr>
            <w:r>
              <w:rPr>
                <w:rFonts w:ascii="Arial" w:cs="Arial" w:eastAsia="Arial" w:hAnsi="Arial"/>
                <w:sz w:val="18"/>
                <w:szCs w:val="18"/>
                <w:color w:val="auto"/>
                <w:w w:val="92"/>
              </w:rPr>
              <w:t>Three months ended November 30,</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66,583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non-recurring items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benefits</w:t>
            </w: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Adjusted net income</w:t>
            </w:r>
          </w:p>
        </w:tc>
        <w:tc>
          <w:tcPr>
            <w:tcW w:w="1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80,866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70,073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GAAP diluted earnings per common share</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revenue fair value adjustment</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non-recurring items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tax benefits</w:t>
            </w: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73"/>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940" w:type="dxa"/>
            <w:vAlign w:val="bottom"/>
            <w:gridSpan w:val="2"/>
            <w:vMerge w:val="continue"/>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diluted earnings per common share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common shares (diluted)</w:t>
            </w:r>
          </w:p>
        </w:tc>
        <w:tc>
          <w:tcPr>
            <w:tcW w:w="1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39,680</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40,100</w:t>
            </w:r>
          </w:p>
        </w:tc>
        <w:tc>
          <w:tcPr>
            <w:tcW w:w="1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The presentation of the financial information above is not intended to be considered in isolation or as a substitute for the financial information prepared and presented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420"/>
              <w:spacing w:after="0"/>
              <w:rPr>
                <w:sz w:val="20"/>
                <w:szCs w:val="20"/>
                <w:color w:val="auto"/>
              </w:rPr>
            </w:pPr>
            <w:r>
              <w:rPr>
                <w:rFonts w:ascii="Arial" w:cs="Arial" w:eastAsia="Arial" w:hAnsi="Arial"/>
                <w:sz w:val="18"/>
                <w:szCs w:val="18"/>
                <w:color w:val="auto"/>
                <w:w w:val="92"/>
              </w:rPr>
              <w:t>Three months ended November 30,</w:t>
            </w:r>
          </w:p>
        </w:tc>
        <w:tc>
          <w:tcPr>
            <w:tcW w:w="0" w:type="dxa"/>
            <w:vAlign w:val="bottom"/>
          </w:tcPr>
          <w:p>
            <w:pPr>
              <w:spacing w:after="0"/>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61,143</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spacing w:after="0" w:line="243" w:lineRule="exact"/>
              <w:rPr>
                <w:sz w:val="20"/>
                <w:szCs w:val="20"/>
                <w:color w:val="auto"/>
              </w:rPr>
            </w:pPr>
            <w:r>
              <w:rPr>
                <w:rFonts w:ascii="Arial" w:cs="Arial" w:eastAsia="Arial" w:hAnsi="Arial"/>
                <w:sz w:val="17"/>
                <w:szCs w:val="17"/>
                <w:color w:val="auto"/>
              </w:rPr>
              <w:t xml:space="preserve">Capital expenditures </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0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8"/>
                <w:szCs w:val="28"/>
                <w:color w:val="auto"/>
                <w:vertAlign w:val="superscript"/>
              </w:rPr>
              <w:t>(2)</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55,231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(5,445)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(30,814)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221,933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net cash used in investing activities during each fiscal year reported.</w:t>
      </w:r>
    </w:p>
    <w:p>
      <w:pPr>
        <w:spacing w:after="0" w:line="225" w:lineRule="exact"/>
        <w:rPr>
          <w:rFonts w:ascii="Arial" w:cs="Arial" w:eastAsia="Arial" w:hAnsi="Arial"/>
          <w:sz w:val="18"/>
          <w:szCs w:val="18"/>
          <w:i w:val="1"/>
          <w:iCs w:val="1"/>
          <w:color w:val="auto"/>
        </w:rPr>
      </w:pPr>
    </w:p>
    <w:p>
      <w:pPr>
        <w:ind w:left="500" w:right="240" w:hanging="330"/>
        <w:spacing w:after="0" w:line="277"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define free cash flow as cash provided by operating activities, which includes the cash cost for taxes and changes in working capital, less capital expenditures.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and cash equivalents aggregated to $221.9 million, or 15.5% of our total assets at November 30, 2017, compared with $194.7 million, or 13.8% of our total assets at August 31, 2017. Our cash and cash equivalents increased $27.2 million during the first three months of fiscal 2018 due to cash provided by operations of $61.1 million, $22.1 million in proceeds from the exercise of employee stock options and $2.3 million from the effects of foreign currency fluctuation. These cash inflows were partially offset by $21.7 million in dividend payments, $5.9 million of capital expenditures and $31.7 million in share repurchases, which included $30.9 million under the existing share repurchase program and $0.8 million in shares repurchased from employees to cover their cost of taxes upon vesting of restricted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line="271" w:lineRule="auto"/>
        <w:rPr>
          <w:sz w:val="20"/>
          <w:szCs w:val="20"/>
          <w:color w:val="auto"/>
        </w:rPr>
      </w:pPr>
      <w:r>
        <w:rPr>
          <w:rFonts w:ascii="Arial" w:cs="Arial" w:eastAsia="Arial" w:hAnsi="Arial"/>
          <w:sz w:val="17"/>
          <w:szCs w:val="17"/>
          <w:color w:val="auto"/>
        </w:rPr>
        <w:t>Free cash flow generated in the three months ended November 30, 2017 was $55.2 million, an increase of 43.2% compared to a year ago. The free cash flow was attributable to $70.4 million of net income, increased by $22.7 million of non-cash items, less $31.9 million of negative working capital changes and $5.9 million in capital expenditures. The year over year free cash flow increase was driven primarily by an increase in non-cash items of $6.7 million, an increase in net income of $3.8 million and lower capital expenditures of $6.6 million. The increase in non-cash items was attributable to an increase in intangible asset amortization associated with our recent acquisitions, partially offset by the impact from the adoption of the accounting standard update for share-based payments resulting in a decrease in the deferred income taxes and tax benefits from share-based payment arrangements compared to prior year. Free cash flow generated over the last twelve months was $300.3 million. Included in the twelve-month calculation of free cash flow was $330.6 million of net cash provided by operations less $30.2 million of capital expenditures.</w:t>
      </w:r>
    </w:p>
    <w:p>
      <w:pPr>
        <w:spacing w:after="0" w:line="17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Net cash used in investing activities was $5.4 million in the first three months of fiscal 2018, representing a $76.0 million decrease from the same period a year ago. This decrease was due primarily to a net cash outflow of $71.7 million in the first quarter of fiscal 2017 for the acquisitions of CYMBA and Vermilion. Additionally, cash used in investing activities decreased year over year due to lower capital expenditures of $6.6 million, offset by a decrease in proceeds from the sales of investments (net of purchases) of $2.3 million year over year.</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first three months of fiscal 2018, net cash used in financing activities was $30.8 million, representing a $13.3 million increase in cash used in financing activities. The year over year increase in cash used in financing activities was due primarily to lower proceeds from long-term debt of $65.0 million and a reduction of tax benefits from share-based payment arrangements due to the adoption of the accounting standard update of $5.5 million. This was offset by a decrease in share repurchases of $53.2 million and a decrease in proceeds from employee stock plans of $5.4 million.</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our cash. As of November 30, 2017, our total cash and cash equivalents worldwide was $221.9 million with $574.7 million in outstanding borrowings (net of $0.3 million of unamortized debt issuance costs). Approximately $44.8 million of our total available cash and cash equivalents is held in bank accounts located within the U.S., $137.2 million in Europe (predominantly within the UK, France, and Germany) and the remaining $39.9 million is held in the Asia Pacific region.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Capital expenditures in the first quarter of fiscal 2018 were $5.9 million, compared with $12.5 million a year ago. Approximately $3.5 million, or 59%, of our capital expenditures was primarily for purchases of new computer equipment for our recent acquisitions, additional servers in our existing data centers and new laptop computers and peripherals for our growing employee base. The remainder of our capital expenditures was primarily for the build out of office space including $1.0 million in the Netherlands and $0.6 million in New York.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March 17, 2017, we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8"/>
          <w:szCs w:val="18"/>
          <w:color w:val="auto"/>
        </w:rPr>
        <w:t>In conjunction with our entrance into the 2017 Credit Agreement, we borrowed $575.0 million in the form of a LIBOR rate loan under the 2017 Revolving Credit Facility. Proceeds from the 2017 Revolving Credit Facility were also used to fund our acquisition of BISAM.</w:t>
      </w:r>
    </w:p>
    <w:p>
      <w:pPr>
        <w:spacing w:after="0" w:line="17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presented net of related loan origination fees at November 30, 2017. The loan origination fees are amortized into interest expense over the term of the loan using the effective interest method. During the three months ended November 30, 2017 and 2016, we paid approximately $3.4 million and $1.1 million in interest on our outstanding debt amounts, respectively. As of November 30, 2017, no commitment fee was owed by us since we borrowed the full amount under the 2017 Credit Agreement.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2017 Credit Agreement contained covenants restricting certain FactSet activities, which are usual and customary for this type of loan. In addition, the 2017 Credit Agreement required that we maintain a consolidated leverage ratio, as measured by total funded debt/EBITDA below a specified level as of the end of each fiscal quarter. We were in material compliance with all of the covenants of the 2017 Credit Agreement as of November 30, 2017.</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November 30, 2017, the fair value of our long-term debt was $575 million, which we believe approximated the carrying amount as the terms and interest rates approximate market rates given its floating interest rate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From time to time, we are required to obtain letters of credit in the ordinary course of business. Approximately $1.9 million of standby letters of credit have been issued in connection with our current leased office space as of November 30, 2017. These standby letters of credit contain covenants that, among other things, require us to maintain minimum levels of consolidated net worth and certain leverage and fixed charge ratios. As of November 30, 2017 and August 31, 2017, we were in material compliance with all covenants contained in the standby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loss as a component of stockholders’ equity.</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November 30, 2017, our annualized non-U.S. dollar denominated revenues are estimated to be $82.8 million while our non-U.S. dollar denominated expenses are estimated to be $316.4 million, which translates into a net foreign currency exposure of $233.7 million. Our foreign currency exchange exposure is related to our operating expense base in countries outside the U.S., where 74% of our employees were located as of November 30, 2017. During the first three months of fiscal 2018, foreign currency movements increased operating income by $0.1 million, compared to $1.8 million a year ago.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Hedges</w:t>
      </w:r>
    </w:p>
    <w:p>
      <w:pPr>
        <w:spacing w:after="0" w:line="23"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As of November 30, 2017, we maintained foreign currency forward contracts to hedge approximately 75% of our Indian Rupee exposure through the third quarter of fiscal 2019. The gross notional value of foreign currency forward contracts to purchase Indian Rupees with U.S. dollars was Rs. 3.3 billion.</w:t>
      </w:r>
    </w:p>
    <w:p>
      <w:pPr>
        <w:spacing w:after="0" w:line="13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other outstanding foreign currency forward contracts as of November 30, 2017. A gain on derivatives of $0.8 million was recorded into operating income during the first quarter of fiscal 2018, compared to a loss of $1.4 million in the year ago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At November 30, 2017 and August 31, 2017,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During the first quarter of fiscal 2018, FactSet repurchased 164,920 shares for $30.9 million under the Company’s existing share repurchase program. Over the last 12 months, FactSet has returned $290.5 million to stockholders in the form of share repurchases and dividends. As of November 30, 2017, $213.2 million is available for future share repurchases under the existing share repurchase program.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2017, we had total purchase commitments of $81.0 million. There were no material changes in our purchase commitments during the first three months of fiscal 2018.</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November 30, 2017, we leased approximately 1,612,100 square feet of office space, which we believe is adequate for our current needs and that additional space is available for lease to meet any future needs. Including new lease agreements executed during fiscal 2018, our worldwide-leased office space increased by approximately 469,100 square feet, or 41.0%, from August 31, 2017. This increase was primarily due to new leases for expanded office space in the Philippines. Future minimum commitments for our operating leases in place as of November 30, 2017 totaled $282.3 million, which is comparable to $281.7 million as of August 31, 2017.</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As disclosed in the </w:t>
      </w:r>
      <w:r>
        <w:rPr>
          <w:rFonts w:ascii="Arial" w:cs="Arial" w:eastAsia="Arial" w:hAnsi="Arial"/>
          <w:sz w:val="18"/>
          <w:szCs w:val="18"/>
          <w:i w:val="1"/>
          <w:iCs w:val="1"/>
          <w:color w:val="auto"/>
        </w:rPr>
        <w:t>Capital Resources</w:t>
      </w:r>
      <w:r>
        <w:rPr>
          <w:rFonts w:ascii="Arial" w:cs="Arial" w:eastAsia="Arial" w:hAnsi="Arial"/>
          <w:sz w:val="18"/>
          <w:szCs w:val="18"/>
          <w:color w:val="auto"/>
        </w:rPr>
        <w:t xml:space="preserve"> section of the MD&amp;A, FactSet entered into the 2017 Credit Agreement on March 17, 2017 and borrowed $575.0 million.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With the exception of the new leases entered into in the ordinary course of business, there were no other significant changes to our contractual obligations during the first three months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2017, our Board of Directors approved a quarterly cash dividend of $0.56 per share, or $2.24 per share per annum. The cash dividend of</w:t>
      </w:r>
    </w:p>
    <w:p>
      <w:pPr>
        <w:spacing w:after="0" w:line="4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$21.9 million was paid on December 19, 2017, to common stockholders of record on November 30, 2017. Future cash dividends will depend on our earnings, capital requirements, financial condition and other factors considered relevant by us and is subject to final determination by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describe our significant accounting policies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included in our Annual Report on Form 10-K for the fiscal year ended August 31,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2017. There were no significant changes in our accounting policies or critical accounting estimates during the first three months of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in the Notes to the Consolidated Financial Statements for a full description of recent accounting pronouncements, including the expected dates of adoption, which we include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Approximately 84.2%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15.8% of our ASV. A significant portion of these revenues relate to services deployed by large, bulge bracket banks. Credit continues to impact many of the large banking clients due to the amount of leverage deployed in past operations. Our clients could also encounter similar problems.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revenues may decline if banks, including those involved in recent merger activity, significantly reduce headcount in the areas of corporate M&amp;A, capital markets and equity research to compensate for the issues created by other departments.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Foreign Currency Volatility</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Due to the global nature of our operations, we conduct business outside the U.S. in several currencies including the British Pound Sterling, Euro, Indian Rupee, Japanese Yen and Philippine Peso. To the extent that our international activities increase in the future, our exposure to fluctuations in currency exchange rates will correspondingly increase. To manage this exposure,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associated with changes in foreign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Volatility is expected to continue in the short term as the UK negotiates its exit from the European Union. As the negotiation process continues and the timeframe from the initial vote increases, the UK economic performance has been stronger than originally expected. Increased European confidence and UK consumer spending has contributed to the recovery of the economic outlook. In the longer term, as negotiations continue, any impact from Brexit on us will depend, in part, on the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 II</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Markets in Financial Instruments Directive ("the Directive") is the European Union's regulation of financial markets. On January 3, 2018, the Directive will apply "MiFID II" to ensure fairer, safer and more efficient markets and facilitate greater transparency for all participants. Research is one area where both buy-side and sell-side clients that have seen and will continue to see significant change requirements as a result of the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unbundling solutions, which is part of the opportunity for us, but more importantly, allows our clients to leverage our technology solutions for MiFID II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regarding future events and our future results that are based on management’s current expectations, estimates, forecast and projections about the industries in which we operate and the beliefs and assumptions of our management. All statements, other than statements of historical facts, are statements that could be deemed to be forward-looking statements. These include statements about our strategy for growth, product development, market position, subscriptions and expected expenditures and financial results. Forward-looking statements may be identified by words like “expects,” “anticipates,” “plans,” “intends,” “projects,” “should,” “indicates,” “continues,” “ASV,” “subscriptions,” “believes,” “estimates,” “may” and similar expressions. In addition, any statements that refer to projections of our future financial performance, our anticipated growth, trends in our business and other characterizations of future events or circumstances are forward-looking statements. Readers are cautioned that these forward-looking statements are only predictions and not guarantees of future performance and involve a number of risks, uncertainties and assumptions. Therefore, actual results may differ materially from what is expressed or forecasted in such forward-looking statements. We will publicly update forward-looking statements as a result of new information or future events in accordance with applicable Securities and Exchange Commission regulations.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below. We do not intend, and undertake no obligation, to update any of our forward-looking statements after the date of this Quarterly Report to reflect actual results or future events or circumstances.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Starting with the first quarter of fiscal 2018, the Company will provide annual guidance and discontinue quarterly guidance. The following forward-looking statements reflect our expectations as of December 19, 2017. Given the risk factors, uncertainties and assumptions discussed above, actual results may differ materially. We do not intend to update our forward-looking statements until our next quarterly results announcement, other than in publicly available statements. Both GAAP operating margin and GAAP diluted EPS guidance do not include the effects of any non-recurring benefits or charges that may arise in the next three quarters of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Expectations:</w:t>
      </w:r>
    </w:p>
    <w:p>
      <w:pPr>
        <w:spacing w:after="0" w:line="225" w:lineRule="exact"/>
        <w:rPr>
          <w:sz w:val="20"/>
          <w:szCs w:val="20"/>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ASV is expected to increase in the range of $65 million and $85 million over fiscal 2017 implying a growth rate in the range of 4.9% to 6.5%.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GAAP Revenues are expected to be in the range of $1.34 billion and $1.36 billion.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GAAP operating margin is expected to be in the range of 28.5% and 30.0%. Adjusted operating margin is expected to be in the range of 31.0% and 32.5%.</w:t>
      </w:r>
    </w:p>
    <w:p>
      <w:pPr>
        <w:spacing w:after="0" w:line="17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annual effective tax rate is expected to be in the range of 21.0% and 22.5%. This guidance incorporates the impact from an accounting standard update, which affects the accounting for employee share-based payment transactions, including income taxes and classification of excess tax benefits in the statement of cash flows. The projected tax rate range does not incorporate any impact from the recently signed U.S. corporate tax reform bill.</w:t>
      </w:r>
    </w:p>
    <w:p>
      <w:pPr>
        <w:spacing w:after="0" w:line="146"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GAAP diluted EPS is expected to be in the range of $7.60 and $7.80. Adjusted diluted EPS is expected to be in the range of $8.25 and $8.45. The midpoint of the adjusted EPS range represents 14% growth over the prior year. Adjusted diluted EPS for the fiscal 2018 includes an estimated $0.26 impact from the aforementioned accounting standard update.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conduct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Over the next 12 months, our non-U.S. dollar denominated revenues expected to be recognized are estimated to be $82.8 million while our non-U.S. dollar denominated expenses are estimated to be $316.4 million, which translates into a net foreign currency exposure of $233.7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November 30, 2017, we maintained the following foreign currency forward contracts to approximately 75% of our Indian Rupee exposure through the third quarter of fiscal 2019. The gross notional value of foreign currency forward contracts to purchase Indian Rupees with U.S. dollars was Rs. 3.3 billion.</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gain on derivatives of $0.8 million was recorded into operating income during the first quarter of fiscal 2018, compared to a loss on derivatives of $1.4 million in the year ago first quarter.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of our derivative activities are reflected as cash flows from operating activities.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ind w:right="140"/>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November 30, 2017. If the U.S. dollar had been 10% weaker, the fair value of outstanding foreign currency forward contracts would have increased by $4.7 million, which would have had an immaterial impact on our Consolidated Balance Sheet. Such a change in fair value of our financial instruments would be substantially offset by changes in our expense base. Had we not had any hedges in place as of November 30, 2017, a hypothetical 10% weaker U.S. dollar against all foreign currencies from the quoted foreign currency exchange rates at November 30, 2017, would result in a decrease in operating income by $22.8 million over the next 12 months. A hypothetical 10% weaker U.S. dollar against all foreign currencies at November 30, 2017 would increase the fair value of total assets by $71.3 million and equity by $64.5 million.</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on will depend, in part, on the outcome of tariff, trade, regulatory and other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Cash and Cash Equivalents - </w:t>
      </w:r>
      <w:r>
        <w:rPr>
          <w:rFonts w:ascii="Arial" w:cs="Arial" w:eastAsia="Arial" w:hAnsi="Arial"/>
          <w:sz w:val="17"/>
          <w:szCs w:val="17"/>
          <w:color w:val="auto"/>
        </w:rPr>
        <w:t>The fair market value of our cash and investments at November 30, 2017 was $253.6 million. Our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 of demand deposits and money market funds with original maturities of three months or less and are reported at fair value. Our investments consist of both mutual funds and certificates of deposit as both are part of the Company’s investment strategy. These mutual funds and certificates of deposit are included as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(short-term) on our Consolidated Balance Sheets as the certificates of deposit have original maturities greater than three months, but less than one year and the mutual funds can be liquidated at that Company’s discretion. The mutual funds and certificates of deposit are held for investment and are not considered debt securities. It is anticipated that the fair market value of our cash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investments have been significantly impacted by current market events.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Debt - </w:t>
      </w:r>
      <w:r>
        <w:rPr>
          <w:rFonts w:ascii="Arial" w:cs="Arial" w:eastAsia="Arial" w:hAnsi="Arial"/>
          <w:sz w:val="18"/>
          <w:szCs w:val="18"/>
          <w:color w:val="auto"/>
        </w:rPr>
        <w:t>As of November 30, 2017, the fair value of our long-term debt was $575 million, which approximated its carrying amount and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quoted 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1.00%. During the three months ended November 30, 2017 and 2016, we paid approximately $3.4 million and $1.1 million in interest on our outstanding debt amounts, respectively. Assuming all terms of our outstanding long-term debt remained the same, a hypothetical 25 basis point change (up or down) in the one-month LIBOR rate would result in a $1.4 million change in our annual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Company’s first quarter of fiscal 2018 that has materially affected, or is reasonably likely to materially affect, the Company’s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information set forth under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during the first three months of fiscal 2018 to the risk factors identified in the Company’s fiscal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per share data)</w:t>
      </w:r>
    </w:p>
    <w:p>
      <w:pPr>
        <w:spacing w:after="0" w:line="225" w:lineRule="exact"/>
        <w:rPr>
          <w:rFonts w:ascii="Arial" w:cs="Arial" w:eastAsia="Arial" w:hAnsi="Arial"/>
          <w:sz w:val="18"/>
          <w:szCs w:val="18"/>
          <w:color w:val="auto"/>
        </w:rPr>
      </w:pPr>
    </w:p>
    <w:p>
      <w:pPr>
        <w:ind w:left="340" w:right="2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provides a month-to-month summary of the share repurchase activity under the current stock repurchase program during the three months ended November 30, 2017:</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93"/>
              </w:rPr>
              <w:t>Maximum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85"/>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92"/>
              </w:rPr>
              <w:t>(or 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number of</w:t>
            </w: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93"/>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 purchased as</w:t>
            </w: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89"/>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w:t>
            </w:r>
          </w:p>
        </w:tc>
        <w:tc>
          <w:tcPr>
            <w:tcW w:w="300" w:type="dxa"/>
            <w:vAlign w:val="bottom"/>
          </w:tcPr>
          <w:p>
            <w:pPr>
              <w:spacing w:after="0"/>
              <w:rPr>
                <w:sz w:val="18"/>
                <w:szCs w:val="18"/>
                <w:color w:val="auto"/>
              </w:rPr>
            </w:pPr>
          </w:p>
        </w:tc>
        <w:tc>
          <w:tcPr>
            <w:tcW w:w="1540" w:type="dxa"/>
            <w:vAlign w:val="bottom"/>
          </w:tcPr>
          <w:p>
            <w:pPr>
              <w:jc w:val="center"/>
              <w:ind w:right="290"/>
              <w:spacing w:after="0"/>
              <w:rPr>
                <w:sz w:val="20"/>
                <w:szCs w:val="20"/>
                <w:color w:val="auto"/>
              </w:rPr>
            </w:pPr>
            <w:r>
              <w:rPr>
                <w:rFonts w:ascii="Arial" w:cs="Arial" w:eastAsia="Arial" w:hAnsi="Arial"/>
                <w:sz w:val="18"/>
                <w:szCs w:val="18"/>
                <w:color w:val="auto"/>
                <w:w w:val="89"/>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part of publicly</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8"/>
              </w:rPr>
              <w:t>purchased 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of shares</w:t>
            </w:r>
          </w:p>
        </w:tc>
        <w:tc>
          <w:tcPr>
            <w:tcW w:w="30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color w:val="auto"/>
                <w:w w:val="89"/>
              </w:rPr>
              <w:t>price paid per</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announced plans or</w:t>
            </w:r>
          </w:p>
        </w:tc>
        <w:tc>
          <w:tcPr>
            <w:tcW w:w="22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20"/>
              <w:spacing w:after="0"/>
              <w:rPr>
                <w:sz w:val="20"/>
                <w:szCs w:val="20"/>
                <w:color w:val="auto"/>
              </w:rPr>
            </w:pPr>
            <w:r>
              <w:rPr>
                <w:rFonts w:ascii="Arial" w:cs="Arial" w:eastAsia="Arial" w:hAnsi="Arial"/>
                <w:sz w:val="18"/>
                <w:szCs w:val="18"/>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300" w:type="dxa"/>
            <w:vAlign w:val="bottom"/>
          </w:tcPr>
          <w:p>
            <w:pPr>
              <w:spacing w:after="0"/>
              <w:rPr>
                <w:sz w:val="20"/>
                <w:szCs w:val="20"/>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color w:val="auto"/>
                <w:w w:val="84"/>
              </w:rPr>
              <w:t>share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programs</w:t>
            </w:r>
          </w:p>
        </w:tc>
        <w:tc>
          <w:tcPr>
            <w:tcW w:w="220" w:type="dxa"/>
            <w:vAlign w:val="bottom"/>
          </w:tcPr>
          <w:p>
            <w:pPr>
              <w:spacing w:after="0"/>
              <w:rPr>
                <w:sz w:val="20"/>
                <w:szCs w:val="20"/>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color w:val="auto"/>
                <w:w w:val="91"/>
              </w:rPr>
              <w:t>programs (in 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180.34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October 2017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177.79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193.44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164,920</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164,920</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(a) EXHIBITS: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Arial" w:cs="Arial" w:eastAsia="Arial" w:hAnsi="Arial"/>
                <w:sz w:val="18"/>
                <w:szCs w:val="18"/>
                <w:b w:val="1"/>
                <w:bCs w:val="1"/>
                <w:color w:val="auto"/>
              </w:rPr>
              <w:t>EXBHIT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4"/>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Separation Agreement and General Release of Claims, dated November 13, 2017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1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January 9, 2018</w:t>
            </w:r>
          </w:p>
        </w:tc>
        <w:tc>
          <w:tcPr>
            <w:tcW w:w="26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MAURIZIO NICOLELLI</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Maurizio Nicolelli</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MCNULTY</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Matthew J. McNulty</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Controller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3600" w:type="dxa"/>
            <w:vAlign w:val="bottom"/>
          </w:tcPr>
          <w:p>
            <w:pPr>
              <w:spacing w:after="0"/>
              <w:rPr>
                <w:sz w:val="24"/>
                <w:szCs w:val="24"/>
                <w:color w:val="auto"/>
              </w:rPr>
            </w:pPr>
          </w:p>
        </w:tc>
        <w:tc>
          <w:tcPr>
            <w:tcW w:w="268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514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EXBHIT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34"/>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Separation Agreement and General Release of Claims, dated November 13, 2017</w:t>
              </w:r>
            </w:hyperlink>
          </w:p>
        </w:tc>
        <w:tc>
          <w:tcPr>
            <w:tcW w:w="4180" w:type="dxa"/>
            <w:vAlign w:val="bottom"/>
          </w:tcPr>
          <w:p>
            <w:pPr>
              <w:spacing w:after="0"/>
              <w:rPr>
                <w:sz w:val="24"/>
                <w:szCs w:val="24"/>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Section 302</w:t>
              </w:r>
            </w:hyperlink>
          </w:p>
        </w:tc>
        <w:tc>
          <w:tcPr>
            <w:tcW w:w="31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Principal Executive Officer</w:t>
              </w:r>
            </w:hyperlink>
          </w:p>
        </w:tc>
        <w:tc>
          <w:tcPr>
            <w:tcW w:w="600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Section 302</w:t>
              </w:r>
            </w:hyperlink>
          </w:p>
        </w:tc>
        <w:tc>
          <w:tcPr>
            <w:tcW w:w="31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Certification of Principal Financial Officer</w:t>
              </w:r>
            </w:hyperlink>
          </w:p>
        </w:tc>
        <w:tc>
          <w:tcPr>
            <w:tcW w:w="604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Section 906</w:t>
              </w:r>
            </w:hyperlink>
          </w:p>
        </w:tc>
        <w:tc>
          <w:tcPr>
            <w:tcW w:w="31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Certification of Principal Executive Officer</w:t>
              </w:r>
            </w:hyperlink>
          </w:p>
        </w:tc>
        <w:tc>
          <w:tcPr>
            <w:tcW w:w="600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88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Section 906</w:t>
              </w:r>
            </w:hyperlink>
          </w:p>
        </w:tc>
        <w:tc>
          <w:tcPr>
            <w:tcW w:w="9160" w:type="dxa"/>
            <w:vAlign w:val="bottom"/>
            <w:gridSpan w:val="5"/>
          </w:tcPr>
          <w:p>
            <w:pPr>
              <w:ind w:lef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Certification of Principal Financial Officer</w:t>
              </w:r>
            </w:hyperlink>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39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060" w:type="dxa"/>
            <w:vAlign w:val="bottom"/>
            <w:gridSpan w:val="4"/>
          </w:tcPr>
          <w:p>
            <w:pPr>
              <w:spacing w:after="0"/>
              <w:rPr>
                <w:sz w:val="19"/>
                <w:szCs w:val="19"/>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gridSpan w:val="4"/>
          </w:tcPr>
          <w:p>
            <w:pPr>
              <w:ind w:left="3360"/>
              <w:spacing w:after="0"/>
              <w:rPr>
                <w:sz w:val="20"/>
                <w:szCs w:val="20"/>
                <w:color w:val="auto"/>
              </w:rPr>
            </w:pPr>
            <w:r>
              <w:rPr>
                <w:rFonts w:ascii="Arial" w:cs="Arial" w:eastAsia="Arial" w:hAnsi="Arial"/>
                <w:sz w:val="18"/>
                <w:szCs w:val="18"/>
                <w:color w:val="auto"/>
              </w:rPr>
              <w:t>42</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 OF CLAIMS</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FactSet Research Systems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 Mark Hale (“</w:t>
      </w:r>
      <w:r>
        <w:rPr>
          <w:rFonts w:ascii="Arial" w:cs="Arial" w:eastAsia="Arial" w:hAnsi="Arial"/>
          <w:sz w:val="18"/>
          <w:szCs w:val="18"/>
          <w:u w:val="single" w:color="auto"/>
          <w:color w:val="auto"/>
        </w:rPr>
        <w:t>Employee</w:t>
      </w:r>
      <w:r>
        <w:rPr>
          <w:rFonts w:ascii="Arial" w:cs="Arial" w:eastAsia="Arial" w:hAnsi="Arial"/>
          <w:sz w:val="18"/>
          <w:szCs w:val="18"/>
          <w:color w:val="auto"/>
        </w:rPr>
        <w:t>”), have entered into this Separation Agreement and General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to settle all known and unknown claims I might have against Company and all related parties. Except to the extent governed by federal law, this Agreement shall be governed by the statutes and common law of Connecticut, excluding any that mandate the use of another jurisdiction’s laws.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I agree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1 -- </w:t>
      </w:r>
      <w:r>
        <w:rPr>
          <w:rFonts w:ascii="Arial" w:cs="Arial" w:eastAsia="Arial" w:hAnsi="Arial"/>
          <w:sz w:val="18"/>
          <w:szCs w:val="18"/>
          <w:b w:val="1"/>
          <w:bCs w:val="1"/>
          <w:u w:val="single" w:color="auto"/>
          <w:color w:val="auto"/>
        </w:rPr>
        <w:t>Benefits</w:t>
      </w:r>
    </w:p>
    <w:p>
      <w:pPr>
        <w:spacing w:after="0" w:line="225" w:lineRule="exact"/>
        <w:rPr>
          <w:sz w:val="20"/>
          <w:szCs w:val="20"/>
          <w:color w:val="auto"/>
        </w:rPr>
      </w:pPr>
    </w:p>
    <w:p>
      <w:pPr>
        <w:jc w:val="both"/>
        <w:ind w:firstLine="1305"/>
        <w:spacing w:after="0" w:line="261" w:lineRule="auto"/>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The Company promises that I will receive the benefits set forth in this section that are conditioned on my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 understand and agree that I am not otherwise entitled to receive the benefits provided to me under this Agreement. I understand that I may revoke this Agreement within 7 days after I sign it, in which case I will not receive the amounts or benefits that are being paid to me under it, and this Agreement will never go into effect.</w:t>
      </w:r>
    </w:p>
    <w:p>
      <w:pPr>
        <w:spacing w:after="0" w:line="180" w:lineRule="exact"/>
        <w:rPr>
          <w:rFonts w:ascii="Arial" w:cs="Arial" w:eastAsia="Arial" w:hAnsi="Arial"/>
          <w:sz w:val="18"/>
          <w:szCs w:val="18"/>
          <w:color w:val="auto"/>
        </w:rPr>
      </w:pPr>
    </w:p>
    <w:p>
      <w:pPr>
        <w:jc w:val="both"/>
        <w:ind w:firstLine="1305"/>
        <w:spacing w:after="0" w:line="258" w:lineRule="auto"/>
        <w:tabs>
          <w:tab w:leader="none" w:pos="1914"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Salary Continuation</w:t>
      </w:r>
      <w:r>
        <w:rPr>
          <w:rFonts w:ascii="Arial" w:cs="Arial" w:eastAsia="Arial" w:hAnsi="Arial"/>
          <w:sz w:val="18"/>
          <w:szCs w:val="18"/>
          <w:color w:val="auto"/>
        </w:rPr>
        <w:t>: Whether I sign this Agreement or not, I will continue to receive my regular pay, less all applicable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local taxes and withholdings, for the period from now through the effective date of my termination on December 31, 2017 (“Termination Date”). During this period, I will remain on active payroll and retain all salary, compensation and employment benefits that I previously enjoyed, including Company medical benefits. I will be required to report to work at the Company as usual during this period, and will be required to perform regular work assignments.</w:t>
      </w:r>
    </w:p>
    <w:p>
      <w:pPr>
        <w:spacing w:after="0" w:line="183" w:lineRule="exact"/>
        <w:rPr>
          <w:rFonts w:ascii="Arial" w:cs="Arial" w:eastAsia="Arial" w:hAnsi="Arial"/>
          <w:sz w:val="18"/>
          <w:szCs w:val="18"/>
          <w:color w:val="auto"/>
        </w:rPr>
      </w:pPr>
    </w:p>
    <w:p>
      <w:pPr>
        <w:jc w:val="both"/>
        <w:ind w:firstLine="1305"/>
        <w:spacing w:after="0" w:line="289" w:lineRule="auto"/>
        <w:tabs>
          <w:tab w:leader="none" w:pos="193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Separation Payment</w:t>
      </w:r>
      <w:r>
        <w:rPr>
          <w:rFonts w:ascii="Arial" w:cs="Arial" w:eastAsia="Arial" w:hAnsi="Arial"/>
          <w:sz w:val="17"/>
          <w:szCs w:val="17"/>
          <w:color w:val="auto"/>
        </w:rPr>
        <w:t>: In exchange for signing this Agreement, I will receive a lump sum separation payment of $427,500 (Four</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Twenty-Seven Thousand Five Hundred Dollars and Zero Cents), less all applicable federal, state and local taxes and withholdings. Payment will be made on the first payroll date following the Termination Date, provided the revocation period described in Section 5 below has expired.</w:t>
      </w:r>
    </w:p>
    <w:p>
      <w:pPr>
        <w:spacing w:after="0" w:line="158" w:lineRule="exact"/>
        <w:rPr>
          <w:rFonts w:ascii="Arial" w:cs="Arial" w:eastAsia="Arial" w:hAnsi="Arial"/>
          <w:sz w:val="17"/>
          <w:szCs w:val="17"/>
          <w:color w:val="auto"/>
        </w:rPr>
      </w:pPr>
    </w:p>
    <w:p>
      <w:pPr>
        <w:jc w:val="both"/>
        <w:ind w:right="20" w:firstLine="1305"/>
        <w:spacing w:after="0" w:line="266" w:lineRule="auto"/>
        <w:tabs>
          <w:tab w:leader="none" w:pos="186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The Company will accelerate the vesting of the following outstanding equity awards such that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awards as specified here shall be deemed vested and exercisable as of the first business day following the Termination Date, subject to the standard terms of the Company’s option agreement:</w:t>
      </w:r>
    </w:p>
    <w:p>
      <w:pPr>
        <w:spacing w:after="0" w:line="180" w:lineRule="exact"/>
        <w:rPr>
          <w:rFonts w:ascii="Arial" w:cs="Arial" w:eastAsia="Arial" w:hAnsi="Arial"/>
          <w:sz w:val="18"/>
          <w:szCs w:val="18"/>
          <w:color w:val="auto"/>
        </w:rPr>
      </w:pPr>
    </w:p>
    <w:p>
      <w:pPr>
        <w:ind w:left="2280" w:hanging="327"/>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accelerated vesting of 1,370 restricted shares granted on November 1, 2013;</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accelerated vesting of 2,018 options granted on November 3, 2014;</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accelerated vesting of 5,099 options granted on November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left="2280" w:hanging="327"/>
        <w:spacing w:after="0"/>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accelerated vesting of 1,700 options granted on November 2, 2015;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accelerated vesting of 1,774 options granted on November 1, 2016.</w:t>
      </w:r>
    </w:p>
    <w:p>
      <w:pPr>
        <w:spacing w:after="0" w:line="221" w:lineRule="exact"/>
        <w:rPr>
          <w:rFonts w:ascii="Arial" w:cs="Arial" w:eastAsia="Arial" w:hAnsi="Arial"/>
          <w:sz w:val="18"/>
          <w:szCs w:val="18"/>
          <w:color w:val="auto"/>
        </w:rPr>
      </w:pPr>
    </w:p>
    <w:p>
      <w:pPr>
        <w:jc w:val="both"/>
        <w:ind w:firstLine="1305"/>
        <w:spacing w:after="0" w:line="255"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Compensation and Benefit Programs</w:t>
      </w:r>
      <w:r>
        <w:rPr>
          <w:rFonts w:ascii="Arial" w:cs="Arial" w:eastAsia="Arial" w:hAnsi="Arial"/>
          <w:sz w:val="18"/>
          <w:szCs w:val="18"/>
          <w:color w:val="auto"/>
        </w:rPr>
        <w:t>: I waive coverage and benefits under all Company disability programs, but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affect my eligibility for other Company stock option, bonus, incentive compensation, commission, medical, dental, life insurance, retirement and other compensation or benefit plans of the Company or any affiliate. Whether I sign this Agreement or not, I understand that my rights and continued participation in those plans will be governed by their existing terms. After my Termination Date, the Company shall make monthly premium payments of $2,541.51 to be made on my behalf for continuation of health coverage under the Consolidated Omnibus Budget Reconciliation Act of 1986, as amended (COBRA) through December 31, 2018, totaling $30,498.12. Thereafter, I may be able to purchase continued health plan coverage under the normal COBRA health care continuation rules. I understand and acknowledge that it is my responsibility to enroll in COBRA coverage if I elect to do so, and I shall be responsible for all premium payments.</w:t>
      </w:r>
    </w:p>
    <w:p>
      <w:pPr>
        <w:spacing w:after="0" w:line="189" w:lineRule="exact"/>
        <w:rPr>
          <w:sz w:val="20"/>
          <w:szCs w:val="20"/>
          <w:color w:val="auto"/>
        </w:rPr>
      </w:pPr>
    </w:p>
    <w:p>
      <w:pPr>
        <w:ind w:firstLine="2917"/>
        <w:spacing w:after="0" w:line="277" w:lineRule="auto"/>
        <w:rPr>
          <w:sz w:val="20"/>
          <w:szCs w:val="20"/>
          <w:color w:val="auto"/>
        </w:rPr>
      </w:pPr>
      <w:r>
        <w:rPr>
          <w:rFonts w:ascii="Arial" w:cs="Arial" w:eastAsia="Arial" w:hAnsi="Arial"/>
          <w:sz w:val="18"/>
          <w:szCs w:val="18"/>
          <w:color w:val="auto"/>
        </w:rPr>
        <w:t>Payments made under this Agreement will not be included in my compensation for purposes of calculating the benefits to which I am entitled under any employee benefit program, notwithstanding anything in it to the contrary.</w:t>
      </w:r>
    </w:p>
    <w:p>
      <w:pPr>
        <w:spacing w:after="0" w:line="166" w:lineRule="exact"/>
        <w:rPr>
          <w:sz w:val="20"/>
          <w:szCs w:val="20"/>
          <w:color w:val="auto"/>
        </w:rPr>
      </w:pPr>
    </w:p>
    <w:p>
      <w:pPr>
        <w:ind w:firstLine="1305"/>
        <w:spacing w:after="0" w:line="282" w:lineRule="auto"/>
        <w:tabs>
          <w:tab w:leader="none" w:pos="195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Car</w:t>
      </w:r>
      <w:r>
        <w:rPr>
          <w:rFonts w:ascii="Arial" w:cs="Arial" w:eastAsia="Arial" w:hAnsi="Arial"/>
          <w:sz w:val="18"/>
          <w:szCs w:val="18"/>
          <w:color w:val="auto"/>
        </w:rPr>
        <w:t>. The Company will transfer to me title to the 2007 Mercedes purchased for my use during my employment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business day following the Termination Date.</w:t>
      </w:r>
    </w:p>
    <w:p>
      <w:pPr>
        <w:spacing w:after="0" w:line="161" w:lineRule="exact"/>
        <w:rPr>
          <w:rFonts w:ascii="Arial" w:cs="Arial" w:eastAsia="Arial" w:hAnsi="Arial"/>
          <w:sz w:val="18"/>
          <w:szCs w:val="18"/>
          <w:color w:val="auto"/>
        </w:rPr>
      </w:pPr>
    </w:p>
    <w:p>
      <w:pPr>
        <w:ind w:firstLine="1305"/>
        <w:spacing w:after="0" w:line="313" w:lineRule="auto"/>
        <w:tabs>
          <w:tab w:leader="none" w:pos="213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Outplacement Assistance</w:t>
      </w:r>
      <w:r>
        <w:rPr>
          <w:rFonts w:ascii="Arial" w:cs="Arial" w:eastAsia="Arial" w:hAnsi="Arial"/>
          <w:sz w:val="17"/>
          <w:szCs w:val="17"/>
          <w:color w:val="auto"/>
        </w:rPr>
        <w:t>: I will receive outplacement assistance services provided by the vendor mutually selected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me, provided that I utilize such services within one year following the Termination Date and the cost does not exceed $25,000.</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2 -- </w:t>
      </w:r>
      <w:r>
        <w:rPr>
          <w:rFonts w:ascii="Arial" w:cs="Arial" w:eastAsia="Arial" w:hAnsi="Arial"/>
          <w:sz w:val="18"/>
          <w:szCs w:val="18"/>
          <w:b w:val="1"/>
          <w:bCs w:val="1"/>
          <w:u w:val="single" w:color="auto"/>
          <w:color w:val="auto"/>
        </w:rPr>
        <w:t>Complete General Release of Claims</w:t>
      </w:r>
    </w:p>
    <w:p>
      <w:pPr>
        <w:spacing w:after="0" w:line="225" w:lineRule="exact"/>
        <w:rPr>
          <w:sz w:val="20"/>
          <w:szCs w:val="20"/>
          <w:color w:val="auto"/>
        </w:rPr>
      </w:pPr>
    </w:p>
    <w:p>
      <w:pPr>
        <w:jc w:val="both"/>
        <w:ind w:firstLine="1305"/>
        <w:spacing w:after="0" w:line="258" w:lineRule="auto"/>
        <w:tabs>
          <w:tab w:leader="none" w:pos="185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Claims Released</w:t>
      </w:r>
      <w:r>
        <w:rPr>
          <w:rFonts w:ascii="Arial" w:cs="Arial" w:eastAsia="Arial" w:hAnsi="Arial"/>
          <w:sz w:val="18"/>
          <w:szCs w:val="18"/>
          <w:color w:val="auto"/>
        </w:rPr>
        <w:t>: Except for the claims identified in Section 2(b), I irrevocably and unconditionally release (i.e., give up) all known</w:t>
      </w:r>
      <w:r>
        <w:rPr>
          <w:rFonts w:ascii="Arial" w:cs="Arial" w:eastAsia="Arial" w:hAnsi="Arial"/>
          <w:sz w:val="18"/>
          <w:szCs w:val="18"/>
          <w:b w:val="1"/>
          <w:bCs w:val="1"/>
          <w:color w:val="auto"/>
        </w:rPr>
        <w:t xml:space="preserve"> </w:t>
      </w:r>
      <w:r>
        <w:rPr>
          <w:rFonts w:ascii="Arial" w:cs="Arial" w:eastAsia="Arial" w:hAnsi="Arial"/>
          <w:sz w:val="18"/>
          <w:szCs w:val="18"/>
          <w:color w:val="auto"/>
        </w:rPr>
        <w:t>and unknown claims, promises, causes of action, or similar rights of any type that I currently may have (“</w:t>
      </w:r>
      <w:r>
        <w:rPr>
          <w:rFonts w:ascii="Arial" w:cs="Arial" w:eastAsia="Arial" w:hAnsi="Arial"/>
          <w:sz w:val="18"/>
          <w:szCs w:val="18"/>
          <w:u w:val="single" w:color="auto"/>
          <w:color w:val="auto"/>
        </w:rPr>
        <w:t>Claims</w:t>
      </w:r>
      <w:r>
        <w:rPr>
          <w:rFonts w:ascii="Arial" w:cs="Arial" w:eastAsia="Arial" w:hAnsi="Arial"/>
          <w:sz w:val="18"/>
          <w:szCs w:val="18"/>
          <w:color w:val="auto"/>
        </w:rPr>
        <w:t>”) with respect to any Released Party listed in Section 2(c). I understand that I am not releasing future rights or claims, meaning rights or claims that arise after the date I execute this Agreement. I understand that the Claims I am releasing might arise under many different foreign, domestic, national, state, or local laws (including statutes, regulations, other administrative guidance, and common law doctrines), such as the following:</w:t>
      </w:r>
    </w:p>
    <w:p>
      <w:pPr>
        <w:spacing w:after="0" w:line="188"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u w:val="single" w:color="auto"/>
          <w:color w:val="auto"/>
        </w:rPr>
        <w:t>Anti-discrimination statutes</w:t>
      </w:r>
      <w:r>
        <w:rPr>
          <w:rFonts w:ascii="Arial" w:cs="Arial" w:eastAsia="Arial" w:hAnsi="Arial"/>
          <w:sz w:val="17"/>
          <w:szCs w:val="17"/>
          <w:color w:val="auto"/>
        </w:rPr>
        <w:t>, such as Title VII of the Civil Rights Act of 1964, Sections 1981 and 1983 of the Civil Rights Act of 1866, and Executive Order 11,246, which prohibit discrimination based on race, color, national origin, religion, or sex; the Age Discrimination in Employment Act (“ADEA”) and Executive Order 11,141, which prohibit age discrimination in employment; the Equal Pay Act, which prohibits paying men and women unequal pay for equal work; the Americans With Disabilities Act (“ADA”) and Sections 503 and 504 of the Rehabilitation Act of 1973, which prohibit discrimination based on disability; the Genetic Information Nondiscrimination Act of 2008 (“GINA”), which prohibits discrimination based on genetic information; and any other federal, state, or local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ind w:left="1300"/>
        <w:spacing w:after="0" w:line="312" w:lineRule="auto"/>
        <w:rPr>
          <w:sz w:val="20"/>
          <w:szCs w:val="20"/>
          <w:color w:val="auto"/>
        </w:rPr>
      </w:pPr>
      <w:r>
        <w:rPr>
          <w:rFonts w:ascii="Arial" w:cs="Arial" w:eastAsia="Arial" w:hAnsi="Arial"/>
          <w:sz w:val="16"/>
          <w:szCs w:val="16"/>
          <w:u w:val="single" w:color="auto"/>
          <w:color w:val="auto"/>
        </w:rPr>
        <w:t>Federal employment statutes</w:t>
      </w:r>
      <w:r>
        <w:rPr>
          <w:rFonts w:ascii="Arial" w:cs="Arial" w:eastAsia="Arial" w:hAnsi="Arial"/>
          <w:sz w:val="16"/>
          <w:szCs w:val="16"/>
          <w:color w:val="auto"/>
        </w:rPr>
        <w:t>, such as the Worker Adjustment and Retraining Notification Act (“WARN Act”), which requires that advance notice be given of certain work force reductions; the Employee Retirement Income Security Act of 1974 (“ERISA”), which, among other things, protects employee benefits; and any other federal laws relating to employment, such as veterans’ reemployment rights laws.</w:t>
      </w:r>
    </w:p>
    <w:p>
      <w:pPr>
        <w:spacing w:after="0" w:line="147"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u w:val="single" w:color="auto"/>
          <w:color w:val="auto"/>
        </w:rPr>
        <w:t>Other laws</w:t>
      </w:r>
      <w:r>
        <w:rPr>
          <w:rFonts w:ascii="Arial" w:cs="Arial" w:eastAsia="Arial" w:hAnsi="Arial"/>
          <w:sz w:val="16"/>
          <w:szCs w:val="16"/>
          <w:color w:val="auto"/>
        </w:rPr>
        <w:t>, such as any federal, state, or local laws mandating leaves of absence,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8"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u w:val="single" w:color="auto"/>
          <w:color w:val="auto"/>
        </w:rPr>
        <w:t>Examples of released Claims</w:t>
      </w:r>
      <w:r>
        <w:rPr>
          <w:rFonts w:ascii="Arial" w:cs="Arial" w:eastAsia="Arial" w:hAnsi="Arial"/>
          <w:sz w:val="17"/>
          <w:szCs w:val="17"/>
          <w:color w:val="auto"/>
        </w:rPr>
        <w:t xml:space="preserve"> include, but are not limited to the following (except to the extent explicitly preserved by Section 1 or 2(b)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despite this Agreement, I sue or bring an arbitration action asserting any Claim that I have released, I will be liable to the Released Party (as defined below) for its attorneys’ fees, other defense costs, and any other damages that my suit or arbitration causes, except those attributable to ADEA claims. I promise not to accept any relief or remedies not set forth in this Agreement as to any Claim I have released by signing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ind w:left="-1200" w:firstLine="1305"/>
        <w:spacing w:after="0" w:line="258" w:lineRule="auto"/>
        <w:tabs>
          <w:tab w:leader="none" w:pos="788"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Claims Not Released</w:t>
      </w:r>
      <w:r>
        <w:rPr>
          <w:rFonts w:ascii="Arial" w:cs="Arial" w:eastAsia="Arial" w:hAnsi="Arial"/>
          <w:sz w:val="18"/>
          <w:szCs w:val="18"/>
          <w:color w:val="auto"/>
        </w:rPr>
        <w:t>: This Agreement does not release any claims that the law does not permit me to release. Nothing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my rights to indemnification for acts or omissions taken by me as an officer and employee of the Company under the Company’s Certificate of Incorporation, bylaws and other governing documents and under any insurance policies providing such coverage, reimbursement for business expenses incurred through the Termination Date in accordance with Company policy, payment for accrued but unused vacation in accordance with Company policy, and vested benefits under the Company’s 401(k) plan, subject to the terms of such plan.</w:t>
      </w:r>
    </w:p>
    <w:p>
      <w:pPr>
        <w:spacing w:after="0" w:line="183" w:lineRule="exact"/>
        <w:rPr>
          <w:rFonts w:ascii="Arial" w:cs="Arial" w:eastAsia="Arial" w:hAnsi="Arial"/>
          <w:sz w:val="18"/>
          <w:szCs w:val="18"/>
          <w:color w:val="auto"/>
        </w:rPr>
      </w:pPr>
    </w:p>
    <w:p>
      <w:pPr>
        <w:jc w:val="both"/>
        <w:ind w:left="-1200" w:firstLine="1305"/>
        <w:spacing w:after="0" w:line="258" w:lineRule="auto"/>
        <w:tabs>
          <w:tab w:leader="none" w:pos="9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Released Parties</w:t>
      </w:r>
      <w:r>
        <w:rPr>
          <w:rFonts w:ascii="Arial" w:cs="Arial" w:eastAsia="Arial" w:hAnsi="Arial"/>
          <w:sz w:val="18"/>
          <w:szCs w:val="18"/>
          <w:color w:val="auto"/>
        </w:rPr>
        <w:t>: The Released Parties are the Company, all current and former parents, subsidiaries, related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Section 3 -- </w:t>
      </w:r>
      <w:r>
        <w:rPr>
          <w:rFonts w:ascii="Arial" w:cs="Arial" w:eastAsia="Arial" w:hAnsi="Arial"/>
          <w:sz w:val="18"/>
          <w:szCs w:val="18"/>
          <w:b w:val="1"/>
          <w:bCs w:val="1"/>
          <w:u w:val="single" w:color="auto"/>
          <w:color w:val="auto"/>
        </w:rPr>
        <w:t>Promises</w:t>
      </w:r>
    </w:p>
    <w:p>
      <w:pPr>
        <w:spacing w:after="0" w:line="225" w:lineRule="exact"/>
        <w:rPr>
          <w:sz w:val="20"/>
          <w:szCs w:val="20"/>
          <w:color w:val="auto"/>
        </w:rPr>
      </w:pPr>
    </w:p>
    <w:p>
      <w:pPr>
        <w:jc w:val="both"/>
        <w:ind w:left="-1200" w:firstLine="1305"/>
        <w:spacing w:after="0" w:line="266" w:lineRule="auto"/>
        <w:tabs>
          <w:tab w:leader="none" w:pos="79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I agree that my employment with the Company and its affiliates has ended or is ending as of my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that I am accepting payments and benefits under this Agreement in lieu of any such other rights or benefits to which I possibly could be or become entitled. I have not been told that the Company or any Released Party will rehire me.</w:t>
      </w:r>
    </w:p>
    <w:p>
      <w:pPr>
        <w:spacing w:after="0" w:line="176" w:lineRule="exact"/>
        <w:rPr>
          <w:rFonts w:ascii="Arial" w:cs="Arial" w:eastAsia="Arial" w:hAnsi="Arial"/>
          <w:sz w:val="18"/>
          <w:szCs w:val="18"/>
          <w:color w:val="auto"/>
        </w:rPr>
      </w:pPr>
    </w:p>
    <w:p>
      <w:pPr>
        <w:ind w:left="-1200" w:firstLine="1305"/>
        <w:spacing w:after="0" w:line="313" w:lineRule="auto"/>
        <w:tabs>
          <w:tab w:leader="none" w:pos="774"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Resignation of All Other Positions</w:t>
      </w:r>
      <w:r>
        <w:rPr>
          <w:rFonts w:ascii="Arial" w:cs="Arial" w:eastAsia="Arial" w:hAnsi="Arial"/>
          <w:sz w:val="17"/>
          <w:szCs w:val="17"/>
          <w:color w:val="auto"/>
        </w:rPr>
        <w:t>: Upon termination of my employment, I agree to resign, effective on the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from all positions that I hold as an officer or member of the Board (or a committee thereof) of the Company or any of its affiliates.</w:t>
      </w:r>
    </w:p>
    <w:p>
      <w:pPr>
        <w:spacing w:after="0" w:line="138" w:lineRule="exact"/>
        <w:rPr>
          <w:rFonts w:ascii="Arial" w:cs="Arial" w:eastAsia="Arial" w:hAnsi="Arial"/>
          <w:sz w:val="17"/>
          <w:szCs w:val="17"/>
          <w:color w:val="auto"/>
        </w:rPr>
      </w:pPr>
    </w:p>
    <w:p>
      <w:pPr>
        <w:jc w:val="both"/>
        <w:ind w:left="-1200" w:firstLine="1305"/>
        <w:spacing w:after="0" w:line="254"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Company Property and Debts</w:t>
      </w:r>
      <w:r>
        <w:rPr>
          <w:rFonts w:ascii="Arial" w:cs="Arial" w:eastAsia="Arial" w:hAnsi="Arial"/>
          <w:sz w:val="18"/>
          <w:szCs w:val="18"/>
          <w:color w:val="auto"/>
        </w:rPr>
        <w:t>: I have returned to the Company all files, memoranda, documents, records, copies of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Company-provided credit cards, keys, building passes, security passes, access or identification cards, devices and equipment belonging to the Company (including computers, laptops, tablets, smart phones, handheld electronic devices, telephone equipment, and other electronic devices, including PDAs), and any other property of the Company or any Released Party in my possession or control, other than my car, my cellphone and the number associated with my cellphone, all with the Company’s consent. The Company will promptly transfer the title of the car to me. I have cooperated with the Company and will cooperate with the Company regarding the proper handling of any digital property of the Company that may be retained in mobile phone or related digital storage devices, media or accounts. I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354965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6" w:name="page47"/>
    <w:bookmarkEnd w:id="46"/>
    <w:p>
      <w:pPr>
        <w:jc w:val="both"/>
        <w:ind w:left="-1200" w:firstLine="1305"/>
        <w:spacing w:after="0" w:line="266" w:lineRule="auto"/>
        <w:tabs>
          <w:tab w:leader="none" w:pos="617"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I am responsible for paying any taxes on amounts I receive because I signed this Agreement. I agree that the Company is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all taxes it determines it is legally required to withhold. I agree not to make any claim against the Company or any other person based on how the Company reports amounts paid under this Agreement to tax authorities.</w:t>
      </w:r>
    </w:p>
    <w:p>
      <w:pPr>
        <w:spacing w:after="0" w:line="176" w:lineRule="exact"/>
        <w:rPr>
          <w:rFonts w:ascii="Arial" w:cs="Arial" w:eastAsia="Arial" w:hAnsi="Arial"/>
          <w:sz w:val="18"/>
          <w:szCs w:val="18"/>
          <w:color w:val="auto"/>
        </w:rPr>
      </w:pPr>
    </w:p>
    <w:p>
      <w:pPr>
        <w:ind w:left="660" w:hanging="555"/>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Ownership of Claims</w:t>
      </w:r>
      <w:r>
        <w:rPr>
          <w:rFonts w:ascii="Arial" w:cs="Arial" w:eastAsia="Arial" w:hAnsi="Arial"/>
          <w:sz w:val="17"/>
          <w:szCs w:val="17"/>
          <w:color w:val="auto"/>
        </w:rPr>
        <w:t>: I have not assigned or transferred any Claim I am purporting to release, nor have I attempted to do so.</w:t>
      </w:r>
    </w:p>
    <w:p>
      <w:pPr>
        <w:spacing w:after="0" w:line="236" w:lineRule="exact"/>
        <w:rPr>
          <w:rFonts w:ascii="Arial" w:cs="Arial" w:eastAsia="Arial" w:hAnsi="Arial"/>
          <w:sz w:val="17"/>
          <w:szCs w:val="17"/>
          <w:color w:val="auto"/>
        </w:rPr>
      </w:pPr>
    </w:p>
    <w:p>
      <w:pPr>
        <w:jc w:val="both"/>
        <w:ind w:left="-1200" w:firstLine="1305"/>
        <w:spacing w:after="0" w:line="286" w:lineRule="auto"/>
        <w:tabs>
          <w:tab w:leader="none" w:pos="591"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Communication with Government Agency; Immunity</w:t>
      </w:r>
      <w:r>
        <w:rPr>
          <w:rFonts w:ascii="Arial" w:cs="Arial" w:eastAsia="Arial" w:hAnsi="Arial"/>
          <w:sz w:val="16"/>
          <w:szCs w:val="16"/>
          <w:color w:val="auto"/>
        </w:rPr>
        <w:t>: This Agreement does not preclude me from filing an administrative charge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communicating with any federal, state or local government office, official or agency. I promise never to seek or accept any damages, remedies or other relief for myself personally with respect to any Claim released by Paragraph 2(a) of this Agreement. Nothing in this Agreement is designed to interfere with, restrain, restrict, or prevent communications protected by state or federal law, including as protected by (a) Section 7 of the National Labor Relations Act of 1935 (“NLRA”) (or court order), regarding wages, hours, or other terms and conditions of employment or (b) Exchange Act Rule 21F-17, addressing communications (including by my attorney) with, or testimony before, the SEC, FINRA, or other regulatory authority regarding possible securities law violations. Furthermore, nothing in this Agreement prohibits me from communicating with or reporting possible violations of law or regulation to any federal, state, or local governmental office, official, agency, or entity.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68" w:lineRule="exact"/>
        <w:rPr>
          <w:rFonts w:ascii="Arial" w:cs="Arial" w:eastAsia="Arial" w:hAnsi="Arial"/>
          <w:sz w:val="16"/>
          <w:szCs w:val="16"/>
          <w:color w:val="auto"/>
        </w:rPr>
      </w:pPr>
    </w:p>
    <w:p>
      <w:pPr>
        <w:jc w:val="both"/>
        <w:ind w:left="-1200" w:firstLine="1305"/>
        <w:spacing w:after="0" w:line="281" w:lineRule="auto"/>
        <w:tabs>
          <w:tab w:leader="none" w:pos="783"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Mutual Agreement Not to Disparage or Harm</w:t>
      </w:r>
      <w:r>
        <w:rPr>
          <w:rFonts w:ascii="Arial" w:cs="Arial" w:eastAsia="Arial" w:hAnsi="Arial"/>
          <w:sz w:val="17"/>
          <w:szCs w:val="17"/>
          <w:color w:val="auto"/>
        </w:rPr>
        <w:t>: Subject to Section 3(f), I agree not to criticize, denigrate, or disparage any</w:t>
      </w:r>
      <w:r>
        <w:rPr>
          <w:rFonts w:ascii="Arial" w:cs="Arial" w:eastAsia="Arial" w:hAnsi="Arial"/>
          <w:sz w:val="17"/>
          <w:szCs w:val="17"/>
          <w:b w:val="1"/>
          <w:bCs w:val="1"/>
          <w:color w:val="auto"/>
        </w:rPr>
        <w:t xml:space="preserve"> </w:t>
      </w:r>
      <w:r>
        <w:rPr>
          <w:rFonts w:ascii="Arial" w:cs="Arial" w:eastAsia="Arial" w:hAnsi="Arial"/>
          <w:sz w:val="17"/>
          <w:szCs w:val="17"/>
          <w:color w:val="auto"/>
        </w:rPr>
        <w:t>Released 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339090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7" w:name="page48"/>
    <w:bookmarkEnd w:id="47"/>
    <w:p>
      <w:pPr>
        <w:jc w:val="both"/>
        <w:ind w:left="-1200" w:firstLine="1224"/>
        <w:spacing w:after="0" w:line="286" w:lineRule="auto"/>
        <w:tabs>
          <w:tab w:leader="none" w:pos="641"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Confidential and Proprietary Information and Existing Obligations</w:t>
      </w:r>
      <w:r>
        <w:rPr>
          <w:rFonts w:ascii="Arial" w:cs="Arial" w:eastAsia="Arial" w:hAnsi="Arial"/>
          <w:sz w:val="16"/>
          <w:szCs w:val="16"/>
          <w:color w:val="auto"/>
        </w:rPr>
        <w:t>: Subject to Section 3(f), I understand that, at all times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I will remain bound by any Company or Company affiliate agreement or policy relating to confidential information, proprietary information, invention, or similar matters to which I am now subject, including but not limited to any FactSet Research Systems Inc. Intellectual Property Agreement which I previously signed, and which is expressly incorporated by reference herein, and I agree that to the extent any provision in such agreement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I sign this Agreement.</w:t>
      </w:r>
    </w:p>
    <w:p>
      <w:pPr>
        <w:spacing w:after="0" w:line="165" w:lineRule="exact"/>
        <w:rPr>
          <w:rFonts w:ascii="Arial" w:cs="Arial" w:eastAsia="Arial" w:hAnsi="Arial"/>
          <w:sz w:val="16"/>
          <w:szCs w:val="16"/>
          <w:color w:val="auto"/>
        </w:rPr>
      </w:pPr>
    </w:p>
    <w:p>
      <w:pPr>
        <w:ind w:left="720" w:hanging="615"/>
        <w:spacing w:after="0"/>
        <w:tabs>
          <w:tab w:leader="none" w:pos="720"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Implementation</w:t>
      </w:r>
      <w:r>
        <w:rPr>
          <w:rFonts w:ascii="Arial" w:cs="Arial" w:eastAsia="Arial" w:hAnsi="Arial"/>
          <w:sz w:val="16"/>
          <w:szCs w:val="16"/>
          <w:color w:val="auto"/>
        </w:rPr>
        <w:t>: I agree to sign any documents and do anything else that in the future is needed to implement this Agreement.</w:t>
      </w:r>
    </w:p>
    <w:p>
      <w:pPr>
        <w:spacing w:after="0" w:line="248" w:lineRule="exact"/>
        <w:rPr>
          <w:rFonts w:ascii="Arial" w:cs="Arial" w:eastAsia="Arial" w:hAnsi="Arial"/>
          <w:sz w:val="16"/>
          <w:szCs w:val="16"/>
          <w:color w:val="auto"/>
        </w:rPr>
      </w:pPr>
    </w:p>
    <w:p>
      <w:pPr>
        <w:ind w:left="-1200" w:right="20" w:firstLine="1305"/>
        <w:spacing w:after="0" w:line="282" w:lineRule="auto"/>
        <w:tabs>
          <w:tab w:leader="none" w:pos="671"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Other Representations</w:t>
      </w:r>
      <w:r>
        <w:rPr>
          <w:rFonts w:ascii="Arial" w:cs="Arial" w:eastAsia="Arial" w:hAnsi="Arial"/>
          <w:sz w:val="18"/>
          <w:szCs w:val="18"/>
          <w:color w:val="auto"/>
        </w:rPr>
        <w:t>: In addition to my other representations in this Agreement, I have made the following representations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which I acknowledge it also has relied in entering into this Agreement with me:</w:t>
      </w:r>
    </w:p>
    <w:p>
      <w:pPr>
        <w:spacing w:after="0" w:line="165" w:lineRule="exact"/>
        <w:rPr>
          <w:rFonts w:ascii="Arial" w:cs="Arial" w:eastAsia="Arial" w:hAnsi="Arial"/>
          <w:sz w:val="18"/>
          <w:szCs w:val="18"/>
          <w:color w:val="auto"/>
        </w:rPr>
      </w:pPr>
    </w:p>
    <w:p>
      <w:pPr>
        <w:jc w:val="both"/>
        <w:ind w:left="1080" w:hanging="327"/>
        <w:spacing w:after="0" w:line="276" w:lineRule="auto"/>
        <w:tabs>
          <w:tab w:leader="none" w:pos="1080" w:val="left"/>
        </w:tabs>
        <w:numPr>
          <w:ilvl w:val="2"/>
          <w:numId w:val="24"/>
        </w:numPr>
        <w:rPr>
          <w:rFonts w:ascii="Arial" w:cs="Arial" w:eastAsia="Arial" w:hAnsi="Arial"/>
          <w:sz w:val="17"/>
          <w:szCs w:val="17"/>
          <w:color w:val="auto"/>
        </w:rPr>
      </w:pPr>
      <w:r>
        <w:rPr>
          <w:rFonts w:ascii="Arial" w:cs="Arial" w:eastAsia="Arial" w:hAnsi="Arial"/>
          <w:sz w:val="17"/>
          <w:szCs w:val="17"/>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pacing w:after="0" w:line="172" w:lineRule="exact"/>
        <w:rPr>
          <w:rFonts w:ascii="Arial" w:cs="Arial" w:eastAsia="Arial" w:hAnsi="Arial"/>
          <w:sz w:val="17"/>
          <w:szCs w:val="17"/>
          <w:color w:val="auto"/>
        </w:rPr>
      </w:pPr>
    </w:p>
    <w:p>
      <w:pPr>
        <w:ind w:left="1080" w:hanging="327"/>
        <w:spacing w:after="0"/>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This Agreement is not an admission of wrongdoing by the Company or any other Released Party.</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2"/>
          <w:numId w:val="24"/>
        </w:numPr>
        <w:rPr>
          <w:rFonts w:ascii="Arial" w:cs="Arial" w:eastAsia="Arial" w:hAnsi="Arial"/>
          <w:sz w:val="17"/>
          <w:szCs w:val="17"/>
          <w:color w:val="auto"/>
        </w:rPr>
      </w:pPr>
      <w:r>
        <w:rPr>
          <w:rFonts w:ascii="Arial" w:cs="Arial" w:eastAsia="Arial" w:hAnsi="Arial"/>
          <w:sz w:val="17"/>
          <w:szCs w:val="17"/>
          <w:color w:val="auto"/>
        </w:rPr>
        <w:t>I am intentionally releasing claims that I do not know I might have and that, with hindsight, I might regret having released.</w:t>
      </w:r>
    </w:p>
    <w:p>
      <w:pPr>
        <w:spacing w:after="0" w:line="236" w:lineRule="exact"/>
        <w:rPr>
          <w:rFonts w:ascii="Arial" w:cs="Arial" w:eastAsia="Arial" w:hAnsi="Arial"/>
          <w:sz w:val="17"/>
          <w:szCs w:val="17"/>
          <w:color w:val="auto"/>
        </w:rPr>
      </w:pPr>
    </w:p>
    <w:p>
      <w:pPr>
        <w:ind w:left="1080" w:hanging="327"/>
        <w:spacing w:after="0" w:line="277" w:lineRule="auto"/>
        <w:tabs>
          <w:tab w:leader="none" w:pos="1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If the Company or I successfully assert that any provision in this Release is void, the rest of the Agreement shall remain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340360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8" w:name="page49"/>
    <w:bookmarkEnd w:id="48"/>
    <w:p>
      <w:pPr>
        <w:jc w:val="both"/>
        <w:ind w:firstLine="1305"/>
        <w:spacing w:after="0" w:line="256" w:lineRule="auto"/>
        <w:tabs>
          <w:tab w:leader="none" w:pos="199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False Claims Representations and Promises</w:t>
      </w:r>
      <w:r>
        <w:rPr>
          <w:rFonts w:ascii="Arial" w:cs="Arial" w:eastAsia="Arial" w:hAnsi="Arial"/>
          <w:sz w:val="18"/>
          <w:szCs w:val="18"/>
          <w:color w:val="auto"/>
        </w:rPr>
        <w:t>: I have disclosed to the Company any information I have concerning any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87" w:lineRule="exact"/>
        <w:rPr>
          <w:rFonts w:ascii="Arial" w:cs="Arial" w:eastAsia="Arial" w:hAnsi="Arial"/>
          <w:sz w:val="18"/>
          <w:szCs w:val="18"/>
          <w:color w:val="auto"/>
        </w:rPr>
      </w:pPr>
    </w:p>
    <w:p>
      <w:pPr>
        <w:jc w:val="both"/>
        <w:ind w:firstLine="1305"/>
        <w:spacing w:after="0" w:line="258" w:lineRule="auto"/>
        <w:tabs>
          <w:tab w:leader="none" w:pos="192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Cooperation Required</w:t>
      </w:r>
      <w:r>
        <w:rPr>
          <w:rFonts w:ascii="Arial" w:cs="Arial" w:eastAsia="Arial" w:hAnsi="Arial"/>
          <w:sz w:val="18"/>
          <w:szCs w:val="18"/>
          <w:color w:val="auto"/>
        </w:rPr>
        <w:t>: I agree that when requested by the Company, I will promptly and fully respond to all inquiries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83" w:lineRule="exact"/>
        <w:rPr>
          <w:rFonts w:ascii="Arial" w:cs="Arial" w:eastAsia="Arial" w:hAnsi="Arial"/>
          <w:sz w:val="18"/>
          <w:szCs w:val="18"/>
          <w:color w:val="auto"/>
        </w:rPr>
      </w:pPr>
    </w:p>
    <w:p>
      <w:pPr>
        <w:ind w:right="20" w:firstLine="1305"/>
        <w:spacing w:after="0" w:line="282" w:lineRule="auto"/>
        <w:tabs>
          <w:tab w:leader="none" w:pos="1943"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Nothing herein shall prevent the Company or the Executive from disclosing the terms of this Agreement if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under applicable law or by a court of competent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4 -- </w:t>
      </w:r>
      <w:r>
        <w:rPr>
          <w:rFonts w:ascii="Arial" w:cs="Arial" w:eastAsia="Arial" w:hAnsi="Arial"/>
          <w:sz w:val="18"/>
          <w:szCs w:val="18"/>
          <w:b w:val="1"/>
          <w:bCs w:val="1"/>
          <w:u w:val="single" w:color="auto"/>
          <w:color w:val="auto"/>
        </w:rPr>
        <w:t>Consequences of Violating Promises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agree that the Company would be irreparably harmed by any actual or threatened violation of Section 3 that involves disclosure or use of confidential information, proprietary information, or trade secrets, and that the Company will be entitled to an injunction prohibiting me from committing any such violation.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5 -- </w:t>
      </w:r>
      <w:r>
        <w:rPr>
          <w:rFonts w:ascii="Arial" w:cs="Arial" w:eastAsia="Arial" w:hAnsi="Arial"/>
          <w:sz w:val="18"/>
          <w:szCs w:val="18"/>
          <w:b w:val="1"/>
          <w:bCs w:val="1"/>
          <w:u w:val="single" w:color="auto"/>
          <w:color w:val="auto"/>
        </w:rPr>
        <w:t>Consideration of Agreement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 acknowledge that, before signing this Agreement, I was given at least 21 days in which to consider this Agreement. I waive any right I might have to additional time within which to consider this Agreement. I further acknowledge that: (1) I took advantage of the time I was given to consider this Agreement before signing it; (2) I carefully read this Agreement; (3) I fully understand it; (4) I am entering into it voluntarily; (5) I am receiving valuable consideration in exchange for my execution of this Agreement that I would not otherwise be entitled to receive; (6) the Company, by this writing, encouraged me to discuss this Agreement with my attorney (at my own expense) before signing it, and that I did so to the extent I deemed appropriate; and (7) any changes made to this Agreement, whether material or immaterial, will not restart the 21 day consideration period. I understand that I am entitled to revoke this Agreement, in writing, within 7 days once I sign it. Such revocation must be delivered to the Company as provided herein within the 7 day period, in which case I will receive no benefits and this Agreement will not go into effect. If I do not revoke this Agreement, it will become enforceable on the eighth day after I sign it. The Company need not sign this Agreement for it to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b w:val="1"/>
          <w:bCs w:val="1"/>
          <w:color w:val="auto"/>
        </w:rPr>
        <w:t xml:space="preserve">Section 6 -- </w:t>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1305"/>
        <w:spacing w:after="0" w:line="295" w:lineRule="auto"/>
        <w:tabs>
          <w:tab w:leader="none" w:pos="2072"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In addition to any Company or Company affiliate agreement or policy relating to the confidentiality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inventions, or similar matters referenced in Section 3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55" w:lineRule="exact"/>
        <w:rPr>
          <w:rFonts w:ascii="Arial" w:cs="Arial" w:eastAsia="Arial" w:hAnsi="Arial"/>
          <w:sz w:val="16"/>
          <w:szCs w:val="16"/>
          <w:color w:val="auto"/>
        </w:rPr>
      </w:pPr>
    </w:p>
    <w:p>
      <w:pPr>
        <w:ind w:firstLine="1305"/>
        <w:spacing w:after="0" w:line="313" w:lineRule="auto"/>
        <w:tabs>
          <w:tab w:leader="none" w:pos="1934"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Successors</w:t>
      </w:r>
      <w:r>
        <w:rPr>
          <w:rFonts w:ascii="Arial" w:cs="Arial" w:eastAsia="Arial" w:hAnsi="Arial"/>
          <w:sz w:val="17"/>
          <w:szCs w:val="17"/>
          <w:color w:val="auto"/>
        </w:rPr>
        <w:t>: This Agreement binds my heirs, administrators, representatives, executors, successors, and assigns, and will inure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benefit of all Released Parties and their respective heirs, administrators, representatives, executors, successors, and assigns.</w:t>
      </w:r>
    </w:p>
    <w:p>
      <w:pPr>
        <w:spacing w:after="0" w:line="138" w:lineRule="exact"/>
        <w:rPr>
          <w:rFonts w:ascii="Arial" w:cs="Arial" w:eastAsia="Arial" w:hAnsi="Arial"/>
          <w:sz w:val="17"/>
          <w:szCs w:val="17"/>
          <w:color w:val="auto"/>
        </w:rPr>
      </w:pPr>
    </w:p>
    <w:p>
      <w:pPr>
        <w:jc w:val="both"/>
        <w:ind w:firstLine="1305"/>
        <w:spacing w:after="0" w:line="261" w:lineRule="auto"/>
        <w:tabs>
          <w:tab w:leader="none" w:pos="191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This Agreement shall be construed as a whole according to its fair meaning. It shall not be construed strictly for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7 -- </w:t>
      </w:r>
      <w:r>
        <w:rPr>
          <w:rFonts w:ascii="Arial" w:cs="Arial" w:eastAsia="Arial" w:hAnsi="Arial"/>
          <w:sz w:val="18"/>
          <w:szCs w:val="18"/>
          <w:b w:val="1"/>
          <w:bCs w:val="1"/>
          <w:u w:val="single" w:color="auto"/>
          <w:color w:val="auto"/>
        </w:rPr>
        <w:t>Arbitration of Disputes</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both"/>
        <w:ind w:left="120" w:right="100"/>
        <w:spacing w:after="0" w:line="282" w:lineRule="auto"/>
        <w:rPr>
          <w:sz w:val="20"/>
          <w:szCs w:val="20"/>
          <w:color w:val="auto"/>
        </w:rPr>
      </w:pPr>
      <w:r>
        <w:rPr>
          <w:rFonts w:ascii="Arial" w:cs="Arial" w:eastAsia="Arial" w:hAnsi="Arial"/>
          <w:sz w:val="18"/>
          <w:szCs w:val="18"/>
          <w:b w:val="1"/>
          <w:bCs w:val="1"/>
          <w:color w:val="auto"/>
        </w:rPr>
        <w:t>YOU MAY NOT MAKE ANY CHANGES TO THE TERMS OF THIS AGREEMENT AND YOU MAY NOT SIGN IT UNTIL THE END OF YOUR WORK DAY ON YOUR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2216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216785"/>
                    </a:xfrm>
                    <a:prstGeom prst="rect">
                      <a:avLst/>
                    </a:prstGeom>
                    <a:noFill/>
                  </pic:spPr>
                </pic:pic>
              </a:graphicData>
            </a:graphic>
          </wp:anchor>
        </w:drawing>
      </w:r>
    </w:p>
    <w:p>
      <w:pPr>
        <w:spacing w:after="0" w:line="142"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8"/>
          <w:szCs w:val="18"/>
          <w:b w:val="1"/>
          <w:bCs w:val="1"/>
          <w:color w:val="auto"/>
        </w:rPr>
        <w:t>BEFORE SIGNING THIS AGREEMENT,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76" w:lineRule="exact"/>
        <w:rPr>
          <w:sz w:val="20"/>
          <w:szCs w:val="20"/>
          <w:color w:val="auto"/>
        </w:rPr>
      </w:pPr>
    </w:p>
    <w:p>
      <w:pPr>
        <w:jc w:val="both"/>
        <w:ind w:left="120" w:right="100"/>
        <w:spacing w:after="0" w:line="282" w:lineRule="auto"/>
        <w:rPr>
          <w:sz w:val="20"/>
          <w:szCs w:val="20"/>
          <w:color w:val="auto"/>
        </w:rPr>
      </w:pPr>
      <w:r>
        <w:rPr>
          <w:rFonts w:ascii="Arial" w:cs="Arial" w:eastAsia="Arial" w:hAnsi="Arial"/>
          <w:sz w:val="18"/>
          <w:szCs w:val="18"/>
          <w:b w:val="1"/>
          <w:bCs w:val="1"/>
          <w:color w:val="auto"/>
        </w:rPr>
        <w:t>ONCE YOU SIGN THIS AGREEMENT, YOU WILL HAVE AN ADDITIONAL 7 DAYS TO REVOKE IT. IF YOU CHOOSE TO REVOKE THIS AGREEMENT, YOU MUST DELIVER A WRITTEN NOTICE OF REVOCATION TO:</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RACHEL STERN, GENERAL COUNSEL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FACTSET RESEARCH SYSTEMS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601 MERRITT 7, NORWALK, CT 06851</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color w:val="auto"/>
              </w:rPr>
              <w:t>Executed at   Norwalk</w:t>
            </w:r>
          </w:p>
        </w:tc>
        <w:tc>
          <w:tcPr>
            <w:tcW w:w="5340" w:type="dxa"/>
            <w:vAlign w:val="bottom"/>
            <w:gridSpan w:val="6"/>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city</w:t>
            </w:r>
            <w:r>
              <w:rPr>
                <w:rFonts w:ascii="Arial" w:cs="Arial" w:eastAsia="Arial" w:hAnsi="Arial"/>
                <w:sz w:val="18"/>
                <w:szCs w:val="18"/>
                <w:color w:val="auto"/>
              </w:rPr>
              <w:t>),   Connecticut  (</w:t>
            </w:r>
            <w:r>
              <w:rPr>
                <w:rFonts w:ascii="Arial" w:cs="Arial" w:eastAsia="Arial" w:hAnsi="Arial"/>
                <w:sz w:val="18"/>
                <w:szCs w:val="18"/>
                <w:i w:val="1"/>
                <w:iCs w:val="1"/>
                <w:color w:val="auto"/>
              </w:rPr>
              <w:t>print name of state</w:t>
            </w:r>
            <w:r>
              <w:rPr>
                <w:rFonts w:ascii="Arial" w:cs="Arial" w:eastAsia="Arial" w:hAnsi="Arial"/>
                <w:sz w:val="18"/>
                <w:szCs w:val="18"/>
                <w:color w:val="auto"/>
              </w:rPr>
              <w:t>), this  10th</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day of   November</w:t>
            </w:r>
          </w:p>
        </w:tc>
        <w:tc>
          <w:tcPr>
            <w:tcW w:w="1320" w:type="dxa"/>
            <w:vAlign w:val="bottom"/>
          </w:tcPr>
          <w:p>
            <w:pPr>
              <w:spacing w:after="0"/>
              <w:rPr>
                <w:sz w:val="20"/>
                <w:szCs w:val="20"/>
                <w:color w:val="auto"/>
              </w:rPr>
            </w:pPr>
            <w:r>
              <w:rPr>
                <w:rFonts w:ascii="Arial" w:cs="Arial" w:eastAsia="Arial" w:hAnsi="Arial"/>
                <w:sz w:val="18"/>
                <w:szCs w:val="18"/>
                <w:color w:val="auto"/>
                <w:w w:val="87"/>
              </w:rPr>
              <w:t>, 2017, and signed</w:t>
            </w:r>
          </w:p>
        </w:tc>
      </w:tr>
      <w:tr>
        <w:trPr>
          <w:trHeight w:val="20"/>
        </w:trPr>
        <w:tc>
          <w:tcPr>
            <w:tcW w:w="9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8020" w:type="dxa"/>
            <w:vAlign w:val="bottom"/>
            <w:gridSpan w:val="8"/>
          </w:tcPr>
          <w:p>
            <w:pPr>
              <w:spacing w:after="0" w:line="196" w:lineRule="exact"/>
              <w:rPr>
                <w:sz w:val="20"/>
                <w:szCs w:val="20"/>
                <w:color w:val="auto"/>
              </w:rPr>
            </w:pPr>
            <w:r>
              <w:rPr>
                <w:rFonts w:ascii="Arial" w:cs="Arial" w:eastAsia="Arial" w:hAnsi="Arial"/>
                <w:sz w:val="18"/>
                <w:szCs w:val="18"/>
                <w:color w:val="auto"/>
              </w:rPr>
              <w:t>under penalty of perjury under the laws of the state of  Connecticut.</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MARK J. HALE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MARK J. HALE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1100" w:val="left"/>
          <w:tab w:leader="none" w:pos="2180" w:val="left"/>
          <w:tab w:leader="none" w:pos="2780" w:val="left"/>
          <w:tab w:leader="none" w:pos="3620" w:val="left"/>
          <w:tab w:leader="none" w:pos="4380" w:val="left"/>
        </w:tabs>
        <w:rPr>
          <w:sz w:val="20"/>
          <w:szCs w:val="20"/>
          <w:color w:val="auto"/>
        </w:rPr>
      </w:pPr>
      <w:r>
        <w:rPr>
          <w:rFonts w:ascii="Arial" w:cs="Arial" w:eastAsia="Arial" w:hAnsi="Arial"/>
          <w:sz w:val="18"/>
          <w:szCs w:val="18"/>
          <w:color w:val="auto"/>
        </w:rPr>
        <w:t>Executed at</w:t>
        <w:tab/>
        <w:t>Norwalk</w:t>
      </w:r>
      <w:r>
        <w:rPr>
          <w:sz w:val="20"/>
          <w:szCs w:val="20"/>
          <w:color w:val="auto"/>
        </w:rPr>
        <w:tab/>
      </w:r>
      <w:r>
        <w:rPr>
          <w:rFonts w:ascii="Arial" w:cs="Arial" w:eastAsia="Arial" w:hAnsi="Arial"/>
          <w:sz w:val="18"/>
          <w:szCs w:val="18"/>
          <w:color w:val="auto"/>
        </w:rPr>
        <w:t>, CT</w:t>
      </w:r>
      <w:r>
        <w:rPr>
          <w:sz w:val="20"/>
          <w:szCs w:val="20"/>
          <w:color w:val="auto"/>
        </w:rPr>
        <w:tab/>
      </w:r>
      <w:r>
        <w:rPr>
          <w:rFonts w:ascii="Arial" w:cs="Arial" w:eastAsia="Arial" w:hAnsi="Arial"/>
          <w:sz w:val="18"/>
          <w:szCs w:val="18"/>
          <w:color w:val="auto"/>
        </w:rPr>
        <w:t>this  13</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Nov.,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2446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46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MAURIZIO NICOLELLI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For FactSet Research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MAURIZIO NICOLELLI – SVP, CFO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580" w:right="220" w:hanging="572"/>
        <w:spacing w:after="0" w:line="26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2"/>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340" w:hanging="571"/>
        <w:spacing w:after="0" w:line="277" w:lineRule="auto"/>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2018</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F. PHILIP SNOW</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-130810</wp:posOffset>
            </wp:positionV>
            <wp:extent cx="2400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Maurizio Nicolelli, certify that:</w:t>
      </w:r>
    </w:p>
    <w:p>
      <w:pPr>
        <w:spacing w:after="0" w:line="22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580" w:right="220" w:hanging="572"/>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60" w:right="100" w:hanging="571"/>
        <w:spacing w:after="0" w:line="264"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600" w:hanging="571"/>
        <w:spacing w:after="0" w:line="342"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right="80" w:hanging="571"/>
        <w:spacing w:after="0" w:line="342"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580" w:right="240" w:hanging="572"/>
        <w:spacing w:after="0" w:line="30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340" w:hanging="571"/>
        <w:spacing w:after="0" w:line="277"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2018</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MAURIZIO NICOLELLI</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-130810</wp:posOffset>
            </wp:positionV>
            <wp:extent cx="2400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Senior Vice President, Chief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2017, as filed with the Securities and Exchange Commission on the date hereof (the “Report”), I, F. Philip Snow,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PHILIP SNOW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9, 2018</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2017, as filed with the Securities and Exchange Commission on the date hereof (the “Report”), I, Maurizio Nicolelli,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MAURIZIO NICOLELLI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97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9,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5"/>
    </w:lvl>
  </w:abstractNum>
  <w:abstractNum w:abstractNumId="3">
    <w:nsid w:val="25E45D32"/>
    <w:multiLevelType w:val="hybridMultilevel"/>
    <w:lvl w:ilvl="0">
      <w:lvlJc w:val="left"/>
      <w:lvlText w:val="%1."/>
      <w:numFmt w:val="decimal"/>
      <w:start w:val="8"/>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2"/>
    </w:lvl>
  </w:abstractNum>
  <w:abstractNum w:abstractNumId="6">
    <w:nsid w:val="3F2DBA31"/>
    <w:multiLevelType w:val="hybridMultilevel"/>
    <w:lvl w:ilvl="0">
      <w:lvlJc w:val="left"/>
      <w:lvlText w:val="%1."/>
      <w:numFmt w:val="decimal"/>
      <w:start w:val="1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lowerLetter"/>
      <w:start w:val="1"/>
    </w:lvl>
    <w:lvl w:ilvl="1">
      <w:lvlJc w:val="left"/>
      <w:lvlText w:val="%2."/>
      <w:numFmt w:val="lowerRoman"/>
      <w:start w:val="1"/>
    </w:lvl>
  </w:abstractNum>
  <w:abstractNum w:abstractNumId="16">
    <w:nsid w:val="6763845E"/>
    <w:multiLevelType w:val="hybridMultilevel"/>
    <w:lvl w:ilvl="0">
      <w:lvlJc w:val="left"/>
      <w:lvlText w:val="%1"/>
      <w:numFmt w:val="lowerLetter"/>
      <w:start w:val="1"/>
    </w:lvl>
    <w:lvl w:ilvl="1">
      <w:lvlJc w:val="left"/>
      <w:lvlText w:val="%2."/>
      <w:numFmt w:val="lowerRoman"/>
      <w:start w:val="4"/>
    </w:lvl>
  </w:abstractNum>
  <w:abstractNum w:abstractNumId="17">
    <w:nsid w:val="75A2A8D4"/>
    <w:multiLevelType w:val="hybridMultilevel"/>
    <w:lvl w:ilvl="0">
      <w:lvlJc w:val="left"/>
      <w:lvlText w:val="(%1)"/>
      <w:numFmt w:val="lowerLetter"/>
      <w:start w:val="5"/>
    </w:lvl>
    <w:lvl w:ilvl="1">
      <w:lvlJc w:val="left"/>
      <w:lvlText w:val="%2"/>
      <w:numFmt w:val="lowerRoman"/>
      <w:start w:val="1"/>
    </w:lvl>
  </w:abstractNum>
  <w:abstractNum w:abstractNumId="18">
    <w:nsid w:val="8EDBDAB"/>
    <w:multiLevelType w:val="hybridMultilevel"/>
    <w:lvl w:ilvl="0">
      <w:lvlJc w:val="left"/>
      <w:lvlText w:val="(%1)"/>
      <w:numFmt w:val="lowerLetter"/>
      <w:start w:val="6"/>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4"/>
    </w:lvl>
  </w:abstractNum>
  <w:abstractNum w:abstractNumId="23">
    <w:nsid w:val="54E49EB4"/>
    <w:multiLevelType w:val="hybridMultilevel"/>
    <w:lvl w:ilvl="0">
      <w:lvlJc w:val="left"/>
      <w:lvlText w:val="(%1)"/>
      <w:numFmt w:val="lowerLetter"/>
      <w:start w:val="8"/>
    </w:lvl>
    <w:lvl w:ilvl="1">
      <w:lvlJc w:val="left"/>
      <w:lvlText w:val="(%2)"/>
      <w:numFmt w:val="lowerLetter"/>
      <w:start w:val="9"/>
    </w:lvl>
    <w:lvl w:ilvl="2">
      <w:lvlJc w:val="left"/>
      <w:lvlText w:val="%3."/>
      <w:numFmt w:val="lowerRoman"/>
      <w:start w:val="1"/>
    </w:lvl>
  </w:abstractNum>
  <w:abstractNum w:abstractNumId="24">
    <w:nsid w:val="71F32454"/>
    <w:multiLevelType w:val="hybridMultilevel"/>
    <w:lvl w:ilvl="0">
      <w:lvlJc w:val="left"/>
      <w:lvlText w:val="(%1)"/>
      <w:numFmt w:val="lowerLetter"/>
      <w:start w:val="1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2020-01-14T01:43:49Z</dcterms:created>
  <dcterms:modified xsi:type="dcterms:W3CDTF">2020-01-14T01:43:49Z</dcterms:modified>
</cp:coreProperties>
</file>