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25" w:lineRule="exact"/>
        <w:rPr>
          <w:sz w:val="24"/>
          <w:szCs w:val="24"/>
          <w:color w:val="auto"/>
        </w:rPr>
      </w:pPr>
    </w:p>
    <w:p>
      <w:pPr>
        <w:jc w:val="center"/>
        <w:ind w:left="340" w:right="2740"/>
        <w:spacing w:after="0" w:line="270" w:lineRule="auto"/>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 Date of Report (Date of earliest event reported): March 31, 2026</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FactSet Research Systems Inc.</w:t>
      </w:r>
    </w:p>
    <w:p>
      <w:pPr>
        <w:spacing w:after="0" w:line="52" w:lineRule="exact"/>
        <w:rPr>
          <w:sz w:val="24"/>
          <w:szCs w:val="24"/>
          <w:color w:val="auto"/>
        </w:rPr>
      </w:pPr>
    </w:p>
    <w:tbl>
      <w:tblPr>
        <w:tblLayout w:type="fixed"/>
        <w:tblInd w:w="840" w:type="dxa"/>
        <w:tblCellMar>
          <w:top w:w="0" w:type="dxa"/>
          <w:left w:w="0" w:type="dxa"/>
          <w:bottom w:w="0" w:type="dxa"/>
          <w:right w:w="0" w:type="dxa"/>
        </w:tblCellMar>
      </w:tblPr>
      <w:tr>
        <w:trPr>
          <w:trHeight w:val="226"/>
        </w:trPr>
        <w:tc>
          <w:tcPr>
            <w:tcW w:w="2220" w:type="dxa"/>
            <w:vAlign w:val="bottom"/>
          </w:tcPr>
          <w:p>
            <w:pPr>
              <w:spacing w:after="0"/>
              <w:rPr>
                <w:sz w:val="19"/>
                <w:szCs w:val="19"/>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1660" w:type="dxa"/>
            <w:vAlign w:val="bottom"/>
          </w:tcPr>
          <w:p>
            <w:pPr>
              <w:spacing w:after="0"/>
              <w:rPr>
                <w:sz w:val="19"/>
                <w:szCs w:val="19"/>
                <w:color w:val="auto"/>
              </w:rPr>
            </w:pPr>
          </w:p>
        </w:tc>
      </w:tr>
      <w:tr>
        <w:trPr>
          <w:trHeight w:val="229"/>
        </w:trPr>
        <w:tc>
          <w:tcPr>
            <w:tcW w:w="22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w w:val="98"/>
              </w:rPr>
              <w:t>1-11869</w:t>
            </w:r>
          </w:p>
        </w:tc>
        <w:tc>
          <w:tcPr>
            <w:tcW w:w="1660" w:type="dxa"/>
            <w:vAlign w:val="bottom"/>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13-3362547</w:t>
            </w:r>
          </w:p>
        </w:tc>
      </w:tr>
      <w:tr>
        <w:trPr>
          <w:trHeight w:val="405"/>
        </w:trPr>
        <w:tc>
          <w:tcPr>
            <w:tcW w:w="22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53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(Commission</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(I.R.S. Employer</w:t>
            </w:r>
          </w:p>
        </w:tc>
      </w:tr>
      <w:tr>
        <w:trPr>
          <w:trHeight w:val="405"/>
        </w:trPr>
        <w:tc>
          <w:tcPr>
            <w:tcW w:w="22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incorporation)</w:t>
            </w:r>
          </w:p>
        </w:tc>
        <w:tc>
          <w:tcPr>
            <w:tcW w:w="53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File Number)</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725"/>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45 Glover Avenue</w:t>
            </w:r>
          </w:p>
        </w:tc>
        <w:tc>
          <w:tcPr>
            <w:tcW w:w="1660" w:type="dxa"/>
            <w:vAlign w:val="bottom"/>
          </w:tcPr>
          <w:p>
            <w:pPr>
              <w:spacing w:after="0"/>
              <w:rPr>
                <w:sz w:val="24"/>
                <w:szCs w:val="24"/>
                <w:color w:val="auto"/>
              </w:rPr>
            </w:pPr>
          </w:p>
        </w:tc>
      </w:tr>
      <w:tr>
        <w:trPr>
          <w:trHeight w:val="229"/>
        </w:trPr>
        <w:tc>
          <w:tcPr>
            <w:tcW w:w="2220" w:type="dxa"/>
            <w:vAlign w:val="bottom"/>
          </w:tcPr>
          <w:p>
            <w:pPr>
              <w:spacing w:after="0"/>
              <w:rPr>
                <w:sz w:val="19"/>
                <w:szCs w:val="19"/>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Norwalk, Connecticut 06850</w:t>
            </w:r>
          </w:p>
        </w:tc>
        <w:tc>
          <w:tcPr>
            <w:tcW w:w="1660" w:type="dxa"/>
            <w:vAlign w:val="bottom"/>
          </w:tcPr>
          <w:p>
            <w:pPr>
              <w:spacing w:after="0"/>
              <w:rPr>
                <w:sz w:val="19"/>
                <w:szCs w:val="19"/>
                <w:color w:val="auto"/>
              </w:rPr>
            </w:pPr>
          </w:p>
        </w:tc>
      </w:tr>
      <w:tr>
        <w:trPr>
          <w:trHeight w:val="366"/>
        </w:trPr>
        <w:tc>
          <w:tcPr>
            <w:tcW w:w="2220" w:type="dxa"/>
            <w:vAlign w:val="bottom"/>
          </w:tcPr>
          <w:p>
            <w:pPr>
              <w:spacing w:after="0"/>
              <w:rPr>
                <w:sz w:val="24"/>
                <w:szCs w:val="24"/>
                <w:color w:val="auto"/>
              </w:rPr>
            </w:pPr>
          </w:p>
        </w:tc>
        <w:tc>
          <w:tcPr>
            <w:tcW w:w="53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tc>
        <w:tc>
          <w:tcPr>
            <w:tcW w:w="1660" w:type="dxa"/>
            <w:vAlign w:val="bottom"/>
          </w:tcPr>
          <w:p>
            <w:pPr>
              <w:spacing w:after="0"/>
              <w:rPr>
                <w:sz w:val="24"/>
                <w:szCs w:val="24"/>
                <w:color w:val="auto"/>
              </w:rPr>
            </w:pPr>
          </w:p>
        </w:tc>
      </w:tr>
      <w:tr>
        <w:trPr>
          <w:trHeight w:val="314"/>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(203) 810-1000</w:t>
            </w:r>
          </w:p>
        </w:tc>
        <w:tc>
          <w:tcPr>
            <w:tcW w:w="1660" w:type="dxa"/>
            <w:vAlign w:val="bottom"/>
          </w:tcPr>
          <w:p>
            <w:pPr>
              <w:spacing w:after="0"/>
              <w:rPr>
                <w:sz w:val="24"/>
                <w:szCs w:val="24"/>
                <w:color w:val="auto"/>
              </w:rPr>
            </w:pPr>
          </w:p>
        </w:tc>
      </w:tr>
      <w:tr>
        <w:trPr>
          <w:trHeight w:val="314"/>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 None</w:t>
            </w:r>
          </w:p>
        </w:tc>
        <w:tc>
          <w:tcPr>
            <w:tcW w:w="1660" w:type="dxa"/>
            <w:vAlign w:val="bottom"/>
          </w:tcPr>
          <w:p>
            <w:pPr>
              <w:spacing w:after="0"/>
              <w:rPr>
                <w:sz w:val="24"/>
                <w:szCs w:val="24"/>
                <w:color w:val="auto"/>
              </w:rPr>
            </w:pPr>
          </w:p>
        </w:tc>
      </w:tr>
    </w:tbl>
    <w:p>
      <w:pPr>
        <w:spacing w:after="0" w:line="243" w:lineRule="exact"/>
        <w:rPr>
          <w:sz w:val="24"/>
          <w:szCs w:val="24"/>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1"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3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28"/>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FDS</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 LLC</w:t>
            </w:r>
          </w:p>
        </w:tc>
      </w:tr>
      <w:tr>
        <w:trPr>
          <w:trHeight w:val="261"/>
        </w:trPr>
        <w:tc>
          <w:tcPr>
            <w:tcW w:w="3440" w:type="dxa"/>
            <w:vAlign w:val="bottom"/>
            <w:tcBorders>
              <w:left w:val="single" w:sz="8" w:color="auto"/>
              <w:right w:val="single" w:sz="8" w:color="auto"/>
            </w:tcBorders>
          </w:tcPr>
          <w:p>
            <w:pPr>
              <w:spacing w:after="0"/>
              <w:rPr>
                <w:sz w:val="22"/>
                <w:szCs w:val="22"/>
                <w:color w:val="auto"/>
              </w:rPr>
            </w:pPr>
          </w:p>
        </w:tc>
        <w:tc>
          <w:tcPr>
            <w:tcW w:w="3120" w:type="dxa"/>
            <w:vAlign w:val="bottom"/>
            <w:tcBorders>
              <w:right w:val="single" w:sz="8" w:color="auto"/>
            </w:tcBorders>
          </w:tcPr>
          <w:p>
            <w:pPr>
              <w:spacing w:after="0"/>
              <w:rPr>
                <w:sz w:val="22"/>
                <w:szCs w:val="22"/>
                <w:color w:val="auto"/>
              </w:rPr>
            </w:pP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Stock Market</w:t>
            </w:r>
          </w:p>
        </w:tc>
      </w:tr>
      <w:tr>
        <w:trPr>
          <w:trHeight w:val="26"/>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ind w:right="320"/>
        <w:spacing w:after="0" w:line="24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600710</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5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On March 31, 2026, FactSet Research Systems Inc. ("FactSet" or the "Company") issued a press release announcing its results for the three months ended February 28, 2026. A copy of the press release is furnished as Exhibit 99.1 hereto and incorporated by reference herein. The information furnished pursuant to this Item 2.02 (Results of Operations and Financial Condition), including Exhibit 99.1,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ectPr>
          <w:pgSz w:w="11900" w:h="16838" w:orient="portrait"/>
          <w:cols w:equalWidth="0" w:num="1">
            <w:col w:w="11340"/>
          </w:cols>
          <w:pgMar w:left="320" w:top="1374" w:right="239" w:bottom="1440" w:gutter="0" w:footer="0" w:header="0"/>
        </w:sectPr>
      </w:pP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 Exhibits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u w:val="single" w:color="auto"/>
          <w:color w:val="0000FF"/>
        </w:rPr>
        <w:t>99.1</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4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Press Release of FactSet Research Systems Inc., dated March 31, 2026, announcing its results for the three months ended Febr 28,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sz w:val="20"/>
          <w:szCs w:val="20"/>
          <w:color w:val="auto"/>
        </w:rPr>
      </w:pPr>
    </w:p>
    <w:p>
      <w:pPr>
        <w:spacing w:after="0" w:line="3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9" w:lineRule="exact"/>
        <w:rPr>
          <w:sz w:val="20"/>
          <w:szCs w:val="20"/>
          <w:color w:val="auto"/>
        </w:rPr>
      </w:pPr>
    </w:p>
    <w:p>
      <w:pPr>
        <w:sectPr>
          <w:pgSz w:w="11900" w:h="16838" w:orient="portrait"/>
          <w:cols w:equalWidth="0" w:num="2">
            <w:col w:w="1800" w:space="720"/>
            <w:col w:w="8820"/>
          </w:cols>
          <w:pgMar w:left="320" w:top="1374" w:right="239" w:bottom="1440" w:gutter="0" w:footer="0" w:header="0"/>
          <w:type w:val="continuous"/>
        </w:sect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FACTSET RESEARCH SYSTEMS INC.</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2520" w:type="dxa"/>
            <w:vAlign w:val="bottom"/>
            <w:vMerge w:val="restart"/>
          </w:tcPr>
          <w:p>
            <w:pPr>
              <w:ind w:left="2060"/>
              <w:spacing w:after="0"/>
              <w:rPr>
                <w:sz w:val="20"/>
                <w:szCs w:val="20"/>
                <w:color w:val="auto"/>
              </w:rPr>
            </w:pPr>
            <w:r>
              <w:rPr>
                <w:rFonts w:ascii="Times New Roman" w:cs="Times New Roman" w:eastAsia="Times New Roman" w:hAnsi="Times New Roman"/>
                <w:sz w:val="17"/>
                <w:szCs w:val="17"/>
                <w:color w:val="auto"/>
              </w:rPr>
              <w:t>By:</w:t>
            </w:r>
          </w:p>
        </w:tc>
        <w:tc>
          <w:tcPr>
            <w:tcW w:w="5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/s/ HELEN L. SHAN</w:t>
            </w:r>
          </w:p>
        </w:tc>
        <w:tc>
          <w:tcPr>
            <w:tcW w:w="0" w:type="dxa"/>
            <w:vAlign w:val="bottom"/>
          </w:tcPr>
          <w:p>
            <w:pPr>
              <w:spacing w:after="0"/>
              <w:rPr>
                <w:sz w:val="1"/>
                <w:szCs w:val="1"/>
                <w:color w:val="auto"/>
              </w:rPr>
            </w:pPr>
          </w:p>
        </w:tc>
      </w:tr>
      <w:tr>
        <w:trPr>
          <w:trHeight w:val="97"/>
        </w:trPr>
        <w:tc>
          <w:tcPr>
            <w:tcW w:w="316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5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540" w:type="dxa"/>
            <w:vAlign w:val="bottom"/>
          </w:tcPr>
          <w:p>
            <w:pPr>
              <w:ind w:left="160"/>
              <w:spacing w:after="0" w:line="171" w:lineRule="exact"/>
              <w:rPr>
                <w:sz w:val="20"/>
                <w:szCs w:val="20"/>
                <w:color w:val="auto"/>
              </w:rPr>
            </w:pPr>
            <w:r>
              <w:rPr>
                <w:rFonts w:ascii="Times New Roman" w:cs="Times New Roman" w:eastAsia="Times New Roman" w:hAnsi="Times New Roman"/>
                <w:sz w:val="17"/>
                <w:szCs w:val="17"/>
                <w:color w:val="auto"/>
              </w:rPr>
              <w:t>Helen L. Shan</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540" w:type="dxa"/>
            <w:vAlign w:val="bottom"/>
          </w:tcPr>
          <w:p>
            <w:pPr>
              <w:ind w:left="160"/>
              <w:spacing w:after="0" w:line="176" w:lineRule="exact"/>
              <w:rPr>
                <w:sz w:val="20"/>
                <w:szCs w:val="20"/>
                <w:color w:val="auto"/>
              </w:rPr>
            </w:pPr>
            <w:r>
              <w:rPr>
                <w:rFonts w:ascii="Times New Roman" w:cs="Times New Roman" w:eastAsia="Times New Roman" w:hAnsi="Times New Roman"/>
                <w:sz w:val="17"/>
                <w:szCs w:val="17"/>
                <w:color w:val="auto"/>
              </w:rPr>
              <w:t>Executive Vice President, Chief Financial Officer</w:t>
            </w:r>
          </w:p>
        </w:tc>
        <w:tc>
          <w:tcPr>
            <w:tcW w:w="0" w:type="dxa"/>
            <w:vAlign w:val="bottom"/>
          </w:tcPr>
          <w:p>
            <w:pPr>
              <w:spacing w:after="0"/>
              <w:rPr>
                <w:sz w:val="1"/>
                <w:szCs w:val="1"/>
                <w:color w:val="auto"/>
              </w:rPr>
            </w:pPr>
          </w:p>
        </w:tc>
      </w:tr>
      <w:tr>
        <w:trPr>
          <w:trHeight w:val="227"/>
        </w:trPr>
        <w:tc>
          <w:tcPr>
            <w:tcW w:w="31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1374"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Georgia" w:cs="Georgia" w:eastAsia="Georgia" w:hAnsi="Georgia"/>
          <w:sz w:val="30"/>
          <w:szCs w:val="30"/>
          <w:color w:val="004988"/>
        </w:rPr>
        <w:t>FactSet Reports Results for Second Quarter 2026</w:t>
      </w:r>
    </w:p>
    <w:p>
      <w:pPr>
        <w:spacing w:after="0" w:line="107" w:lineRule="exact"/>
        <w:rPr>
          <w:sz w:val="20"/>
          <w:szCs w:val="20"/>
          <w:color w:val="auto"/>
        </w:rPr>
      </w:pPr>
    </w:p>
    <w:p>
      <w:pPr>
        <w:ind w:left="480" w:hanging="313"/>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Q2 GAAP revenues of $611.0 million, up 7.1% from Q2 2025.</w:t>
      </w:r>
    </w:p>
    <w:p>
      <w:pPr>
        <w:spacing w:after="0" w:line="25" w:lineRule="exact"/>
        <w:rPr>
          <w:rFonts w:ascii="Arial" w:cs="Arial" w:eastAsia="Arial" w:hAnsi="Arial"/>
          <w:sz w:val="16"/>
          <w:szCs w:val="16"/>
          <w:color w:val="auto"/>
        </w:rPr>
      </w:pPr>
    </w:p>
    <w:p>
      <w:pPr>
        <w:ind w:left="480" w:hanging="313"/>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Organic ASV was $2,449.1 million at February 28, 2026, up 6.7% year over year.</w:t>
      </w:r>
    </w:p>
    <w:p>
      <w:pPr>
        <w:spacing w:after="0" w:line="25" w:lineRule="exact"/>
        <w:rPr>
          <w:rFonts w:ascii="Arial" w:cs="Arial" w:eastAsia="Arial" w:hAnsi="Arial"/>
          <w:sz w:val="16"/>
          <w:szCs w:val="16"/>
          <w:color w:val="auto"/>
        </w:rPr>
      </w:pPr>
    </w:p>
    <w:p>
      <w:pPr>
        <w:ind w:left="480" w:hanging="313"/>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Q2 GAAP operating margin of 30.3%, down approximately 220 bps year over year.</w:t>
      </w:r>
    </w:p>
    <w:p>
      <w:pPr>
        <w:spacing w:after="0" w:line="25" w:lineRule="exact"/>
        <w:rPr>
          <w:rFonts w:ascii="Arial" w:cs="Arial" w:eastAsia="Arial" w:hAnsi="Arial"/>
          <w:sz w:val="16"/>
          <w:szCs w:val="16"/>
          <w:color w:val="auto"/>
        </w:rPr>
      </w:pPr>
    </w:p>
    <w:p>
      <w:pPr>
        <w:ind w:left="480" w:hanging="313"/>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Q2 adjusted operating margin of 35.0%, down 230 bps year over year.</w:t>
      </w:r>
    </w:p>
    <w:p>
      <w:pPr>
        <w:spacing w:after="0" w:line="25" w:lineRule="exact"/>
        <w:rPr>
          <w:rFonts w:ascii="Arial" w:cs="Arial" w:eastAsia="Arial" w:hAnsi="Arial"/>
          <w:sz w:val="16"/>
          <w:szCs w:val="16"/>
          <w:color w:val="auto"/>
        </w:rPr>
      </w:pPr>
    </w:p>
    <w:p>
      <w:pPr>
        <w:ind w:left="480" w:hanging="313"/>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Q2 GAAP diluted EPS of $3.59, down 4.5% from the prior year, and Q2 adjusted diluted EPS of $4.46, up 4.2% year over year.</w:t>
      </w:r>
    </w:p>
    <w:p>
      <w:pPr>
        <w:spacing w:after="0" w:line="21" w:lineRule="exact"/>
        <w:rPr>
          <w:rFonts w:ascii="Arial" w:cs="Arial" w:eastAsia="Arial" w:hAnsi="Arial"/>
          <w:sz w:val="16"/>
          <w:szCs w:val="16"/>
          <w:color w:val="auto"/>
        </w:rPr>
      </w:pPr>
    </w:p>
    <w:p>
      <w:pPr>
        <w:ind w:left="480" w:hanging="313"/>
        <w:spacing w:after="0" w:line="414" w:lineRule="auto"/>
        <w:tabs>
          <w:tab w:leader="none" w:pos="470" w:val="left"/>
        </w:tabs>
        <w:numPr>
          <w:ilvl w:val="0"/>
          <w:numId w:val="2"/>
        </w:numPr>
        <w:rPr>
          <w:rFonts w:ascii="Arial" w:cs="Arial" w:eastAsia="Arial" w:hAnsi="Arial"/>
          <w:sz w:val="15"/>
          <w:szCs w:val="15"/>
          <w:color w:val="auto"/>
        </w:rPr>
      </w:pPr>
      <w:r>
        <w:rPr>
          <w:rFonts w:ascii="Arial" w:cs="Arial" w:eastAsia="Arial" w:hAnsi="Arial"/>
          <w:sz w:val="15"/>
          <w:szCs w:val="15"/>
          <w:color w:val="auto"/>
        </w:rPr>
        <w:t>Fiscal 2026 guidance updated. Expected organic ASV growth of $130 million to $160 million (approximately 5.4% to 6.7%), GAAP revenues in the range of $2,450 million to $2,470 million, GAAP diluted EPS in the range of $14.85 to $15.35, and adjusted diluted EPS in the range of $17.25 to $17.75.</w:t>
      </w:r>
    </w:p>
    <w:p>
      <w:pPr>
        <w:spacing w:after="0" w:line="131"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 xml:space="preserve">NORWALK, Conn., March 31, 2026 - FactSet (“FactSet” or the “Company”) (NYSE:FDS) (NASDAQ:FDS), a global financial </w:t>
      </w:r>
      <w:r>
        <w:rPr>
          <w:rFonts w:ascii="Arial" w:cs="Arial" w:eastAsia="Arial" w:hAnsi="Arial"/>
          <w:sz w:val="19"/>
          <w:szCs w:val="19"/>
          <w:color w:val="auto"/>
        </w:rPr>
        <w:t>d</w:t>
      </w:r>
      <w:r>
        <w:rPr>
          <w:rFonts w:ascii="Arial" w:cs="Arial" w:eastAsia="Arial" w:hAnsi="Arial"/>
          <w:sz w:val="16"/>
          <w:szCs w:val="16"/>
          <w:color w:val="auto"/>
        </w:rPr>
        <w:t>igital platform and enterprise solutions provider, today announced results for its second quarter fiscal 2026 ended February 28, 2026.</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9"/>
          <w:szCs w:val="19"/>
          <w:color w:val="004988"/>
        </w:rPr>
        <w:t>Second Quarter Fiscal 2026 Highlights</w:t>
      </w:r>
    </w:p>
    <w:p>
      <w:pPr>
        <w:spacing w:after="0" w:line="207" w:lineRule="exact"/>
        <w:rPr>
          <w:sz w:val="20"/>
          <w:szCs w:val="20"/>
          <w:color w:val="auto"/>
        </w:rPr>
      </w:pPr>
    </w:p>
    <w:p>
      <w:pPr>
        <w:jc w:val="both"/>
        <w:ind w:left="480" w:hanging="313"/>
        <w:spacing w:after="0" w:line="258"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revenues </w:t>
      </w:r>
      <w:r>
        <w:rPr>
          <w:rFonts w:ascii="Arial" w:cs="Arial" w:eastAsia="Arial" w:hAnsi="Arial"/>
          <w:sz w:val="16"/>
          <w:szCs w:val="16"/>
          <w:color w:val="auto"/>
        </w:rPr>
        <w:t>increased 7.1%, or $40.3 million, to $611.0 million for the second quarter of fiscal 2026 compared with $570.7 million in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Organic</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revenues grew 6.8% year over year to $606.2 million during the second quarter of fiscal 2026. Growth in GAAP and organic revenues this quarter was driven by institutional buy-side and wealth management clients.</w:t>
      </w:r>
    </w:p>
    <w:p>
      <w:pPr>
        <w:spacing w:after="0" w:line="154" w:lineRule="exact"/>
        <w:rPr>
          <w:rFonts w:ascii="Arial" w:cs="Arial" w:eastAsia="Arial" w:hAnsi="Arial"/>
          <w:sz w:val="16"/>
          <w:szCs w:val="16"/>
          <w:color w:val="auto"/>
        </w:rPr>
      </w:pPr>
    </w:p>
    <w:p>
      <w:pPr>
        <w:ind w:left="480" w:hanging="313"/>
        <w:spacing w:after="0" w:line="314"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Annual Subscription Value </w:t>
      </w:r>
      <w:r>
        <w:rPr>
          <w:rFonts w:ascii="Arial" w:cs="Arial" w:eastAsia="Arial" w:hAnsi="Arial"/>
          <w:sz w:val="16"/>
          <w:szCs w:val="16"/>
          <w:color w:val="auto"/>
        </w:rPr>
        <w:t>("ASV") was $2,450.2 million at February 28, 2026, compared with $2,306.1 million at February 28, 2025. Organic ASV was</w:t>
      </w:r>
      <w:r>
        <w:rPr>
          <w:rFonts w:ascii="Arial" w:cs="Arial" w:eastAsia="Arial" w:hAnsi="Arial"/>
          <w:sz w:val="16"/>
          <w:szCs w:val="16"/>
          <w:b w:val="1"/>
          <w:bCs w:val="1"/>
          <w:color w:val="auto"/>
        </w:rPr>
        <w:t xml:space="preserve"> </w:t>
      </w:r>
      <w:r>
        <w:rPr>
          <w:rFonts w:ascii="Arial" w:cs="Arial" w:eastAsia="Arial" w:hAnsi="Arial"/>
          <w:sz w:val="16"/>
          <w:szCs w:val="16"/>
          <w:color w:val="auto"/>
        </w:rPr>
        <w:t>$2,449.1 million at February 28, 2026, up 6.7% or $152.9 million year over year</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80" w:hanging="313"/>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Organic ASV </w:t>
      </w:r>
      <w:r>
        <w:rPr>
          <w:rFonts w:ascii="Arial" w:cs="Arial" w:eastAsia="Arial" w:hAnsi="Arial"/>
          <w:sz w:val="16"/>
          <w:szCs w:val="16"/>
          <w:color w:val="auto"/>
        </w:rPr>
        <w:t>increased $38.0 million over the last three months. Please see the “ASV” section of this press release for details.</w:t>
      </w:r>
    </w:p>
    <w:p>
      <w:pPr>
        <w:spacing w:after="0" w:line="208" w:lineRule="exact"/>
        <w:rPr>
          <w:rFonts w:ascii="Arial" w:cs="Arial" w:eastAsia="Arial" w:hAnsi="Arial"/>
          <w:sz w:val="16"/>
          <w:szCs w:val="16"/>
          <w:color w:val="auto"/>
        </w:rPr>
      </w:pPr>
    </w:p>
    <w:p>
      <w:pPr>
        <w:jc w:val="both"/>
        <w:ind w:left="480" w:hanging="313"/>
        <w:spacing w:after="0" w:line="283"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operating margin </w:t>
      </w:r>
      <w:r>
        <w:rPr>
          <w:rFonts w:ascii="Arial" w:cs="Arial" w:eastAsia="Arial" w:hAnsi="Arial"/>
          <w:sz w:val="16"/>
          <w:szCs w:val="16"/>
          <w:color w:val="auto"/>
        </w:rPr>
        <w:t>decreased to 30.3% compared with 32.5% for the prior year period primarily due to higher employee compensation costs,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technology-related expenses and amortization of intangible assets, partially offset by growth in revenues and a decrease in acquisition-related professional fees. Adjusted operating margin decreased to 35.0% compared with 37.3% in the prior year period, mainly due to higher compensation, technology-related expenses and professional fees.</w:t>
      </w:r>
    </w:p>
    <w:p>
      <w:pPr>
        <w:spacing w:after="0" w:line="138" w:lineRule="exact"/>
        <w:rPr>
          <w:rFonts w:ascii="Arial" w:cs="Arial" w:eastAsia="Arial" w:hAnsi="Arial"/>
          <w:sz w:val="16"/>
          <w:szCs w:val="16"/>
          <w:color w:val="auto"/>
        </w:rPr>
      </w:pPr>
    </w:p>
    <w:p>
      <w:pPr>
        <w:jc w:val="both"/>
        <w:ind w:left="480" w:hanging="313"/>
        <w:spacing w:after="0" w:line="288"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diluted earnings per share </w:t>
      </w:r>
      <w:r>
        <w:rPr>
          <w:rFonts w:ascii="Arial" w:cs="Arial" w:eastAsia="Arial" w:hAnsi="Arial"/>
          <w:sz w:val="16"/>
          <w:szCs w:val="16"/>
          <w:color w:val="auto"/>
        </w:rPr>
        <w:t>("EPS") decreased 4.5% to $3.59 compared with $3.76 for the same period in fiscal 2025, mainly driven by higher</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expenses and an impairment charge within Other assets, partially offset by growth in revenues and a lower share count. Adjusted diluted EPS increased 4.2% to $4.46 compared with $4.28 in the prior year period, driven by growth in revenues and a lower share count, offset by a higher tax rate.</w:t>
      </w:r>
    </w:p>
    <w:p>
      <w:pPr>
        <w:spacing w:after="0" w:line="134" w:lineRule="exact"/>
        <w:rPr>
          <w:rFonts w:ascii="Arial" w:cs="Arial" w:eastAsia="Arial" w:hAnsi="Arial"/>
          <w:sz w:val="16"/>
          <w:szCs w:val="16"/>
          <w:color w:val="auto"/>
        </w:rPr>
      </w:pPr>
    </w:p>
    <w:p>
      <w:pPr>
        <w:jc w:val="both"/>
        <w:ind w:left="480" w:hanging="313"/>
        <w:spacing w:after="0" w:line="288"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Net cash provided by operating activities </w:t>
      </w:r>
      <w:r>
        <w:rPr>
          <w:rFonts w:ascii="Arial" w:cs="Arial" w:eastAsia="Arial" w:hAnsi="Arial"/>
          <w:sz w:val="16"/>
          <w:szCs w:val="16"/>
          <w:color w:val="auto"/>
        </w:rPr>
        <w:t>was $211.7 million for the second quarter of fiscal 2026, an increase of 21.7% compared with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Free cash flow increased to $185.7 million for the second quarter of fiscal 2026, compared with $150.2 million for the prior year period, an increase of 23.6%, primarily due to higher operating cash flows.</w:t>
      </w:r>
    </w:p>
    <w:p>
      <w:pPr>
        <w:spacing w:after="0" w:line="134" w:lineRule="exact"/>
        <w:rPr>
          <w:rFonts w:ascii="Arial" w:cs="Arial" w:eastAsia="Arial" w:hAnsi="Arial"/>
          <w:sz w:val="16"/>
          <w:szCs w:val="16"/>
          <w:color w:val="auto"/>
        </w:rPr>
      </w:pPr>
    </w:p>
    <w:p>
      <w:pPr>
        <w:jc w:val="both"/>
        <w:ind w:left="480" w:hanging="313"/>
        <w:spacing w:after="0" w:line="288"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effective tax rate </w:t>
      </w:r>
      <w:r>
        <w:rPr>
          <w:rFonts w:ascii="Arial" w:cs="Arial" w:eastAsia="Arial" w:hAnsi="Arial"/>
          <w:sz w:val="16"/>
          <w:szCs w:val="16"/>
          <w:color w:val="auto"/>
        </w:rPr>
        <w:t>for the second quarter of fiscal 2026 increased to 17.4% compared with 15.9% for the second quarter of fiscal 2025. The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due to the limitation on the deductibility of executive compensation and lower excess tax benefits from stock-based compensation, partially offset by a favorable resolution of uncertain tax positions in the U.S.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"FactSet delivered another quarter of accelerating growth, driven by the strength of our data, the depth of our workflow integration, and the trust our clients place in us to run their most critical processes,” said Sanoke Viswanathan, CEO of FactSet. "In light of continued momentum across the business, we are raising our growth outlook for the year and remain focused on disciplined execution and targeted investments to expand our opportunity and strengthen operating leverage over time."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5"/>
        <w:spacing w:after="0" w:line="330" w:lineRule="auto"/>
        <w:tabs>
          <w:tab w:leader="none" w:pos="183"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References to "organic" figures in this press release exclude the current year impact of acquisitions and dispositions completed within the past 12 months and the current year impact from changes in foreign currency.</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1</w:t>
      </w:r>
    </w:p>
    <w:p>
      <w:pPr>
        <w:sectPr>
          <w:pgSz w:w="11900" w:h="16838" w:orient="portrait"/>
          <w:cols w:equalWidth="0" w:num="1">
            <w:col w:w="11240"/>
          </w:cols>
          <w:pgMar w:left="320" w:top="143"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6A6A6"/>
        </w:rPr>
        <w:t>Key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28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851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40" w:type="dxa"/>
            <w:vAlign w:val="bottom"/>
          </w:tcPr>
          <w:p>
            <w:pPr>
              <w:ind w:left="20"/>
              <w:spacing w:after="0"/>
              <w:rPr>
                <w:sz w:val="20"/>
                <w:szCs w:val="20"/>
                <w:color w:val="auto"/>
              </w:rPr>
            </w:pPr>
            <w:r>
              <w:rPr>
                <w:rFonts w:ascii="Arial" w:cs="Arial" w:eastAsia="Arial" w:hAnsi="Arial"/>
                <w:sz w:val="16"/>
                <w:szCs w:val="16"/>
                <w:color w:val="4B4B4B"/>
              </w:rPr>
              <w:t>(Condensed and Unaudited)</w:t>
            </w:r>
          </w:p>
        </w:tc>
        <w:tc>
          <w:tcPr>
            <w:tcW w:w="2260" w:type="dxa"/>
            <w:vAlign w:val="bottom"/>
          </w:tcPr>
          <w:p>
            <w:pPr>
              <w:spacing w:after="0"/>
              <w:rPr>
                <w:sz w:val="19"/>
                <w:szCs w:val="19"/>
                <w:color w:val="auto"/>
              </w:rPr>
            </w:pPr>
          </w:p>
        </w:tc>
        <w:tc>
          <w:tcPr>
            <w:tcW w:w="2840" w:type="dxa"/>
            <w:vAlign w:val="bottom"/>
            <w:gridSpan w:val="3"/>
          </w:tcPr>
          <w:p>
            <w:pPr>
              <w:jc w:val="right"/>
              <w:ind w:right="862"/>
              <w:spacing w:after="0"/>
              <w:rPr>
                <w:sz w:val="20"/>
                <w:szCs w:val="20"/>
                <w:color w:val="auto"/>
              </w:rPr>
            </w:pPr>
            <w:r>
              <w:rPr>
                <w:rFonts w:ascii="Arial" w:cs="Arial" w:eastAsia="Arial" w:hAnsi="Arial"/>
                <w:sz w:val="16"/>
                <w:szCs w:val="16"/>
                <w:color w:val="4B4B4B"/>
              </w:rPr>
              <w:t>Three Months Ended</w:t>
            </w:r>
          </w:p>
        </w:tc>
        <w:tc>
          <w:tcPr>
            <w:tcW w:w="1000" w:type="dxa"/>
            <w:vAlign w:val="bottom"/>
          </w:tcPr>
          <w:p>
            <w:pPr>
              <w:spacing w:after="0"/>
              <w:rPr>
                <w:sz w:val="19"/>
                <w:szCs w:val="19"/>
                <w:color w:val="auto"/>
              </w:rPr>
            </w:pPr>
          </w:p>
        </w:tc>
      </w:tr>
      <w:tr>
        <w:trPr>
          <w:trHeight w:val="209"/>
        </w:trPr>
        <w:tc>
          <w:tcPr>
            <w:tcW w:w="5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00" w:type="dxa"/>
            <w:vAlign w:val="bottom"/>
            <w:gridSpan w:val="2"/>
          </w:tcPr>
          <w:p>
            <w:pPr>
              <w:jc w:val="right"/>
              <w:ind w:right="2"/>
              <w:spacing w:after="0"/>
              <w:rPr>
                <w:sz w:val="20"/>
                <w:szCs w:val="20"/>
                <w:color w:val="auto"/>
              </w:rPr>
            </w:pPr>
            <w:r>
              <w:rPr>
                <w:rFonts w:ascii="Arial" w:cs="Arial" w:eastAsia="Arial" w:hAnsi="Arial"/>
                <w:sz w:val="16"/>
                <w:szCs w:val="16"/>
                <w:color w:val="4B4B4B"/>
              </w:rPr>
              <w:t>February 28,</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B4B4B"/>
              </w:rPr>
              <w:t>(Results in thousands, except per share data)</w:t>
            </w:r>
          </w:p>
        </w:tc>
        <w:tc>
          <w:tcPr>
            <w:tcW w:w="2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4B4B4B"/>
              </w:rPr>
              <w:t>2026</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4B4B4B"/>
              </w:rPr>
              <w:t>2025</w:t>
            </w: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4B4B4B"/>
              </w:rPr>
              <w:t>Change</w:t>
            </w: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Revenues</w:t>
            </w:r>
          </w:p>
        </w:tc>
        <w:tc>
          <w:tcPr>
            <w:tcW w:w="22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611,019</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4B4B4B"/>
              </w:rPr>
              <w:t>570,660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7.1 %</w:t>
            </w:r>
          </w:p>
        </w:tc>
      </w:tr>
      <w:tr>
        <w:trPr>
          <w:trHeight w:val="208"/>
        </w:trPr>
        <w:tc>
          <w:tcPr>
            <w:tcW w:w="5140" w:type="dxa"/>
            <w:vAlign w:val="bottom"/>
          </w:tcPr>
          <w:p>
            <w:pPr>
              <w:ind w:left="20"/>
              <w:spacing w:after="0"/>
              <w:rPr>
                <w:sz w:val="20"/>
                <w:szCs w:val="20"/>
                <w:color w:val="auto"/>
              </w:rPr>
            </w:pPr>
            <w:r>
              <w:rPr>
                <w:rFonts w:ascii="Arial" w:cs="Arial" w:eastAsia="Arial" w:hAnsi="Arial"/>
                <w:sz w:val="16"/>
                <w:szCs w:val="16"/>
                <w:color w:val="4B4B4B"/>
              </w:rPr>
              <w:t>Organic revenues</w:t>
            </w:r>
          </w:p>
        </w:tc>
        <w:tc>
          <w:tcPr>
            <w:tcW w:w="2260" w:type="dxa"/>
            <w:vAlign w:val="bottom"/>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4B4B4B"/>
              </w:rPr>
              <w:t>606,176</w:t>
            </w:r>
          </w:p>
        </w:tc>
        <w:tc>
          <w:tcPr>
            <w:tcW w:w="520" w:type="dxa"/>
            <w:vAlign w:val="bottom"/>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tcPr>
          <w:p>
            <w:pPr>
              <w:jc w:val="right"/>
              <w:ind w:right="262"/>
              <w:spacing w:after="0"/>
              <w:rPr>
                <w:sz w:val="20"/>
                <w:szCs w:val="20"/>
                <w:color w:val="auto"/>
              </w:rPr>
            </w:pPr>
            <w:r>
              <w:rPr>
                <w:rFonts w:ascii="Arial" w:cs="Arial" w:eastAsia="Arial" w:hAnsi="Arial"/>
                <w:sz w:val="16"/>
                <w:szCs w:val="16"/>
                <w:color w:val="4B4B4B"/>
              </w:rPr>
              <w:t>567,543</w:t>
            </w:r>
          </w:p>
        </w:tc>
        <w:tc>
          <w:tcPr>
            <w:tcW w:w="1000" w:type="dxa"/>
            <w:vAlign w:val="bottom"/>
          </w:tcPr>
          <w:p>
            <w:pPr>
              <w:jc w:val="right"/>
              <w:spacing w:after="0"/>
              <w:rPr>
                <w:sz w:val="20"/>
                <w:szCs w:val="20"/>
                <w:color w:val="auto"/>
              </w:rPr>
            </w:pPr>
            <w:r>
              <w:rPr>
                <w:rFonts w:ascii="Arial" w:cs="Arial" w:eastAsia="Arial" w:hAnsi="Arial"/>
                <w:sz w:val="16"/>
                <w:szCs w:val="16"/>
                <w:color w:val="4B4B4B"/>
              </w:rPr>
              <w:t>6.8 %</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Operating income</w:t>
            </w:r>
          </w:p>
        </w:tc>
        <w:tc>
          <w:tcPr>
            <w:tcW w:w="22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184,961</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4B4B4B"/>
              </w:rPr>
              <w:t>185,492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(0.3)%</w:t>
            </w:r>
          </w:p>
        </w:tc>
      </w:tr>
      <w:tr>
        <w:trPr>
          <w:trHeight w:val="208"/>
        </w:trPr>
        <w:tc>
          <w:tcPr>
            <w:tcW w:w="5140" w:type="dxa"/>
            <w:vAlign w:val="bottom"/>
          </w:tcPr>
          <w:p>
            <w:pPr>
              <w:ind w:left="20"/>
              <w:spacing w:after="0"/>
              <w:rPr>
                <w:sz w:val="20"/>
                <w:szCs w:val="20"/>
                <w:color w:val="auto"/>
              </w:rPr>
            </w:pPr>
            <w:r>
              <w:rPr>
                <w:rFonts w:ascii="Arial" w:cs="Arial" w:eastAsia="Arial" w:hAnsi="Arial"/>
                <w:sz w:val="16"/>
                <w:szCs w:val="16"/>
                <w:color w:val="4B4B4B"/>
              </w:rPr>
              <w:t>Adjusted operating income</w:t>
            </w:r>
          </w:p>
        </w:tc>
        <w:tc>
          <w:tcPr>
            <w:tcW w:w="2260" w:type="dxa"/>
            <w:vAlign w:val="bottom"/>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4B4B4B"/>
              </w:rPr>
              <w:t>214,068</w:t>
            </w:r>
          </w:p>
        </w:tc>
        <w:tc>
          <w:tcPr>
            <w:tcW w:w="520" w:type="dxa"/>
            <w:vAlign w:val="bottom"/>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tcPr>
          <w:p>
            <w:pPr>
              <w:jc w:val="right"/>
              <w:ind w:right="262"/>
              <w:spacing w:after="0"/>
              <w:rPr>
                <w:sz w:val="20"/>
                <w:szCs w:val="20"/>
                <w:color w:val="auto"/>
              </w:rPr>
            </w:pPr>
            <w:r>
              <w:rPr>
                <w:rFonts w:ascii="Arial" w:cs="Arial" w:eastAsia="Arial" w:hAnsi="Arial"/>
                <w:sz w:val="16"/>
                <w:szCs w:val="16"/>
                <w:color w:val="4B4B4B"/>
              </w:rPr>
              <w:t>212,669</w:t>
            </w:r>
          </w:p>
        </w:tc>
        <w:tc>
          <w:tcPr>
            <w:tcW w:w="1000" w:type="dxa"/>
            <w:vAlign w:val="bottom"/>
          </w:tcPr>
          <w:p>
            <w:pPr>
              <w:jc w:val="right"/>
              <w:spacing w:after="0"/>
              <w:rPr>
                <w:sz w:val="20"/>
                <w:szCs w:val="20"/>
                <w:color w:val="auto"/>
              </w:rPr>
            </w:pPr>
            <w:r>
              <w:rPr>
                <w:rFonts w:ascii="Arial" w:cs="Arial" w:eastAsia="Arial" w:hAnsi="Arial"/>
                <w:sz w:val="16"/>
                <w:szCs w:val="16"/>
                <w:color w:val="4B4B4B"/>
              </w:rPr>
              <w:t>0.7 %</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Operating margin</w:t>
            </w:r>
          </w:p>
        </w:tc>
        <w:tc>
          <w:tcPr>
            <w:tcW w:w="2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30.3 %</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32.5 %</w:t>
            </w:r>
          </w:p>
        </w:tc>
        <w:tc>
          <w:tcPr>
            <w:tcW w:w="1000" w:type="dxa"/>
            <w:vAlign w:val="bottom"/>
            <w:shd w:val="clear" w:color="auto" w:fill="CCEEFF"/>
          </w:tcPr>
          <w:p>
            <w:pPr>
              <w:spacing w:after="0"/>
              <w:rPr>
                <w:sz w:val="18"/>
                <w:szCs w:val="18"/>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6"/>
                <w:szCs w:val="16"/>
                <w:color w:val="4B4B4B"/>
              </w:rPr>
              <w:t>Adjusted operating margin</w:t>
            </w:r>
          </w:p>
        </w:tc>
        <w:tc>
          <w:tcPr>
            <w:tcW w:w="2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4B4B4B"/>
              </w:rPr>
              <w:t>35.0 %</w:t>
            </w:r>
          </w:p>
        </w:tc>
        <w:tc>
          <w:tcPr>
            <w:tcW w:w="520" w:type="dxa"/>
            <w:vAlign w:val="bottom"/>
          </w:tcPr>
          <w:p>
            <w:pPr>
              <w:spacing w:after="0"/>
              <w:rPr>
                <w:sz w:val="18"/>
                <w:szCs w:val="18"/>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4B4B4B"/>
              </w:rPr>
              <w:t>37.3 %</w:t>
            </w:r>
          </w:p>
        </w:tc>
        <w:tc>
          <w:tcPr>
            <w:tcW w:w="100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Net income</w:t>
            </w:r>
          </w:p>
        </w:tc>
        <w:tc>
          <w:tcPr>
            <w:tcW w:w="22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133,056</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4B4B4B"/>
              </w:rPr>
              <w:t>144,860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(8.1)%</w:t>
            </w:r>
          </w:p>
        </w:tc>
      </w:tr>
      <w:tr>
        <w:trPr>
          <w:trHeight w:val="208"/>
        </w:trPr>
        <w:tc>
          <w:tcPr>
            <w:tcW w:w="5140" w:type="dxa"/>
            <w:vAlign w:val="bottom"/>
          </w:tcPr>
          <w:p>
            <w:pPr>
              <w:ind w:left="20"/>
              <w:spacing w:after="0"/>
              <w:rPr>
                <w:sz w:val="20"/>
                <w:szCs w:val="20"/>
                <w:color w:val="auto"/>
              </w:rPr>
            </w:pPr>
            <w:r>
              <w:rPr>
                <w:rFonts w:ascii="Arial" w:cs="Arial" w:eastAsia="Arial" w:hAnsi="Arial"/>
                <w:sz w:val="16"/>
                <w:szCs w:val="16"/>
                <w:color w:val="4B4B4B"/>
              </w:rPr>
              <w:t>Adjusted net income</w:t>
            </w:r>
          </w:p>
        </w:tc>
        <w:tc>
          <w:tcPr>
            <w:tcW w:w="2260" w:type="dxa"/>
            <w:vAlign w:val="bottom"/>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4B4B4B"/>
              </w:rPr>
              <w:t>165,271</w:t>
            </w:r>
          </w:p>
        </w:tc>
        <w:tc>
          <w:tcPr>
            <w:tcW w:w="520" w:type="dxa"/>
            <w:vAlign w:val="bottom"/>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tcPr>
          <w:p>
            <w:pPr>
              <w:jc w:val="right"/>
              <w:ind w:right="262"/>
              <w:spacing w:after="0"/>
              <w:rPr>
                <w:sz w:val="20"/>
                <w:szCs w:val="20"/>
                <w:color w:val="auto"/>
              </w:rPr>
            </w:pPr>
            <w:r>
              <w:rPr>
                <w:rFonts w:ascii="Arial" w:cs="Arial" w:eastAsia="Arial" w:hAnsi="Arial"/>
                <w:sz w:val="16"/>
                <w:szCs w:val="16"/>
                <w:color w:val="4B4B4B"/>
              </w:rPr>
              <w:t>164,976</w:t>
            </w:r>
          </w:p>
        </w:tc>
        <w:tc>
          <w:tcPr>
            <w:tcW w:w="1000" w:type="dxa"/>
            <w:vAlign w:val="bottom"/>
          </w:tcPr>
          <w:p>
            <w:pPr>
              <w:jc w:val="right"/>
              <w:spacing w:after="0"/>
              <w:rPr>
                <w:sz w:val="20"/>
                <w:szCs w:val="20"/>
                <w:color w:val="auto"/>
              </w:rPr>
            </w:pPr>
            <w:r>
              <w:rPr>
                <w:rFonts w:ascii="Arial" w:cs="Arial" w:eastAsia="Arial" w:hAnsi="Arial"/>
                <w:sz w:val="16"/>
                <w:szCs w:val="16"/>
                <w:color w:val="4B4B4B"/>
              </w:rPr>
              <w:t>0.2 %</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Adjusted EBITDA</w:t>
            </w:r>
          </w:p>
        </w:tc>
        <w:tc>
          <w:tcPr>
            <w:tcW w:w="22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233,194</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4B4B4B"/>
              </w:rPr>
              <w:t>224,646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3.8 %</w:t>
            </w:r>
          </w:p>
        </w:tc>
      </w:tr>
      <w:tr>
        <w:trPr>
          <w:trHeight w:val="208"/>
        </w:trPr>
        <w:tc>
          <w:tcPr>
            <w:tcW w:w="5140" w:type="dxa"/>
            <w:vAlign w:val="bottom"/>
          </w:tcPr>
          <w:p>
            <w:pPr>
              <w:ind w:left="20"/>
              <w:spacing w:after="0"/>
              <w:rPr>
                <w:sz w:val="20"/>
                <w:szCs w:val="20"/>
                <w:color w:val="auto"/>
              </w:rPr>
            </w:pPr>
            <w:r>
              <w:rPr>
                <w:rFonts w:ascii="Arial" w:cs="Arial" w:eastAsia="Arial" w:hAnsi="Arial"/>
                <w:sz w:val="16"/>
                <w:szCs w:val="16"/>
                <w:color w:val="4B4B4B"/>
              </w:rPr>
              <w:t>Diluted EPS</w:t>
            </w:r>
          </w:p>
        </w:tc>
        <w:tc>
          <w:tcPr>
            <w:tcW w:w="2260" w:type="dxa"/>
            <w:vAlign w:val="bottom"/>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4B4B4B"/>
              </w:rPr>
              <w:t>3.59</w:t>
            </w:r>
          </w:p>
        </w:tc>
        <w:tc>
          <w:tcPr>
            <w:tcW w:w="520" w:type="dxa"/>
            <w:vAlign w:val="bottom"/>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tcPr>
          <w:p>
            <w:pPr>
              <w:jc w:val="right"/>
              <w:ind w:right="262"/>
              <w:spacing w:after="0"/>
              <w:rPr>
                <w:sz w:val="20"/>
                <w:szCs w:val="20"/>
                <w:color w:val="auto"/>
              </w:rPr>
            </w:pPr>
            <w:r>
              <w:rPr>
                <w:rFonts w:ascii="Arial" w:cs="Arial" w:eastAsia="Arial" w:hAnsi="Arial"/>
                <w:sz w:val="16"/>
                <w:szCs w:val="16"/>
                <w:color w:val="4B4B4B"/>
              </w:rPr>
              <w:t>3.76</w:t>
            </w:r>
          </w:p>
        </w:tc>
        <w:tc>
          <w:tcPr>
            <w:tcW w:w="1000" w:type="dxa"/>
            <w:vAlign w:val="bottom"/>
          </w:tcPr>
          <w:p>
            <w:pPr>
              <w:jc w:val="right"/>
              <w:spacing w:after="0"/>
              <w:rPr>
                <w:sz w:val="20"/>
                <w:szCs w:val="20"/>
                <w:color w:val="auto"/>
              </w:rPr>
            </w:pPr>
            <w:r>
              <w:rPr>
                <w:rFonts w:ascii="Arial" w:cs="Arial" w:eastAsia="Arial" w:hAnsi="Arial"/>
                <w:sz w:val="16"/>
                <w:szCs w:val="16"/>
                <w:color w:val="4B4B4B"/>
              </w:rPr>
              <w:t>(4.5)%</w:t>
            </w:r>
          </w:p>
        </w:tc>
      </w:tr>
      <w:tr>
        <w:trPr>
          <w:trHeight w:val="20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4B4B4B"/>
              </w:rPr>
              <w:t>Adjusted diluted EPS</w:t>
            </w:r>
          </w:p>
        </w:tc>
        <w:tc>
          <w:tcPr>
            <w:tcW w:w="22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4B4B4B"/>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4B4B4B"/>
              </w:rPr>
              <w:t>4.46</w:t>
            </w: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4B4B4B"/>
                <w:w w:val="89"/>
              </w:rPr>
              <w:t>$</w:t>
            </w:r>
          </w:p>
        </w:tc>
        <w:tc>
          <w:tcPr>
            <w:tcW w:w="11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4B4B4B"/>
              </w:rPr>
              <w:t>4.28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B4B4B"/>
              </w:rPr>
              <w:t>4.2 %</w:t>
            </w:r>
          </w:p>
        </w:tc>
      </w:tr>
    </w:tbl>
    <w:p>
      <w:pPr>
        <w:spacing w:after="0" w:line="152" w:lineRule="exact"/>
        <w:rPr>
          <w:sz w:val="20"/>
          <w:szCs w:val="20"/>
          <w:color w:val="auto"/>
        </w:rPr>
      </w:pPr>
    </w:p>
    <w:p>
      <w:pPr>
        <w:ind w:left="280"/>
        <w:spacing w:after="0"/>
        <w:rPr>
          <w:sz w:val="20"/>
          <w:szCs w:val="20"/>
          <w:color w:val="auto"/>
        </w:rPr>
      </w:pPr>
      <w:r>
        <w:rPr>
          <w:rFonts w:ascii="Arial" w:cs="Arial" w:eastAsia="Arial" w:hAnsi="Arial"/>
          <w:sz w:val="12"/>
          <w:szCs w:val="12"/>
          <w:color w:val="4B4B4B"/>
        </w:rPr>
        <w:t>* See reconciliation of U.S. GAAP to adjusted key financial measures in the back of this press release.</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achieved a strong second quarter with accelerating ASV and revenue growth, while our increased buyback activity capitalized on valuation opportunities to enhance shareholder value," said Helen Shan, CFO of FactSet. "We are encouraged by early AI contributions—both in new client engagement and operational benefits—positioning us well for sustained growth for the fiscal year."</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004988"/>
        </w:rPr>
        <w:t>Annual Subscription Value (ASV)</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ASV at any given point in time represents the forward-looking revenues for the next 12 months from all subscription services currently supplied to clients.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ASV was $2,450.2 million at February 28, 2026, compared with $2,306.1 million at February 28, 2025. Organic ASV was $2,449.1 million at February 28, 2026, up $152.9 million from the prior year, for a growth rate of 6.7%. Organic ASV increased $38.0 million over the last three months.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004988"/>
        </w:rPr>
        <w:t>Segment Revenues and ASV</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ASV from the Americas was $1,605.9 million compared with ASV in the prior year period of $1,501.1 million. Organic ASV from the Americas increased 7.0% to $1,605.8 million. Americas revenues for the quarter increased to $399.7 million compared with $369.7 million in the second quarter of last year. The Americas quarterly organic revenues growth rate was 7.4% over the prior year period.</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ASV from EMEA was $595.2 million compared with ASV in the prior year period of $571.3 million. Organic ASV from EMEA increased 4.3% to $594.2 million. EMEA revenues were $149.1 million compared with $143.4 million in the second quarter of fiscal 2025. The EMEA quarterly organic revenues growth rate was 4.0% over the prior year period.</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ASV from Asia Pacific was $249.1 million compared with ASV in the prior year period of $233.7 million. Organic ASV from Asia Pacific increased 10.0% to $249.1 million. Asia Pacific revenues were $62.2 million compared with $57.6 million in the second quarter of fiscal 2025. The Asia Pacific quarterly organic revenues growth rate was 9.7% over the prior year period.</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004988"/>
        </w:rPr>
        <w:t>Operational Highlights – Second Quarter Fiscal 2026</w:t>
      </w:r>
    </w:p>
    <w:p>
      <w:pPr>
        <w:spacing w:after="0" w:line="131" w:lineRule="exact"/>
        <w:rPr>
          <w:sz w:val="20"/>
          <w:szCs w:val="20"/>
          <w:color w:val="auto"/>
        </w:rPr>
      </w:pPr>
    </w:p>
    <w:p>
      <w:pPr>
        <w:ind w:left="480" w:hanging="319"/>
        <w:spacing w:after="0" w:line="301" w:lineRule="auto"/>
        <w:tabs>
          <w:tab w:leader="none" w:pos="469" w:val="left"/>
        </w:tabs>
        <w:numPr>
          <w:ilvl w:val="0"/>
          <w:numId w:val="5"/>
        </w:numPr>
        <w:rPr>
          <w:rFonts w:ascii="Arial" w:cs="Arial" w:eastAsia="Arial" w:hAnsi="Arial"/>
          <w:sz w:val="16"/>
          <w:szCs w:val="16"/>
          <w:color w:val="auto"/>
        </w:rPr>
      </w:pPr>
      <w:r>
        <w:rPr>
          <w:rFonts w:ascii="Arial" w:cs="Arial" w:eastAsia="Arial" w:hAnsi="Arial"/>
          <w:sz w:val="16"/>
          <w:szCs w:val="16"/>
          <w:color w:val="auto"/>
        </w:rPr>
        <w:t>Client count as of February 28, 2026 was 9,101, a net increase of 98 clients in the past three months, driven by corporate and wealth management clients. The count includes clients with ASV of $10,000 and more.</w:t>
      </w:r>
    </w:p>
    <w:p>
      <w:pPr>
        <w:spacing w:after="0" w:line="126"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5"/>
        </w:numPr>
        <w:rPr>
          <w:rFonts w:ascii="Arial" w:cs="Arial" w:eastAsia="Arial" w:hAnsi="Arial"/>
          <w:sz w:val="16"/>
          <w:szCs w:val="16"/>
          <w:color w:val="auto"/>
        </w:rPr>
      </w:pPr>
      <w:r>
        <w:rPr>
          <w:rFonts w:ascii="Arial" w:cs="Arial" w:eastAsia="Arial" w:hAnsi="Arial"/>
          <w:sz w:val="16"/>
          <w:szCs w:val="16"/>
          <w:color w:val="auto"/>
        </w:rPr>
        <w:t>User count was 241,352 as of February 28, 2026, a net increase of 1,489 users in the past three months, driven by an increase in wealth management and dealmakers users.</w:t>
      </w:r>
    </w:p>
    <w:p>
      <w:pPr>
        <w:spacing w:after="0" w:line="139"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 ASV retention was greater than 95% as of February 28, 2026. When expressed as a percentage of clients, annual retention was 91% as of February 28, 2026.</w:t>
      </w:r>
    </w:p>
    <w:p>
      <w:pPr>
        <w:spacing w:after="0" w:line="265" w:lineRule="exact"/>
        <w:rPr>
          <w:sz w:val="20"/>
          <w:szCs w:val="20"/>
          <w:color w:val="auto"/>
        </w:rPr>
      </w:pPr>
    </w:p>
    <w:p>
      <w:pPr>
        <w:ind w:left="11180"/>
        <w:spacing w:after="0"/>
        <w:rPr>
          <w:sz w:val="20"/>
          <w:szCs w:val="20"/>
          <w:color w:val="auto"/>
        </w:rPr>
      </w:pPr>
      <w:r>
        <w:rPr>
          <w:rFonts w:ascii="Arial" w:cs="Arial" w:eastAsia="Arial" w:hAnsi="Arial"/>
          <w:sz w:val="10"/>
          <w:szCs w:val="10"/>
          <w:color w:val="AFAFAF"/>
        </w:rPr>
        <w:t>2</w:t>
      </w:r>
    </w:p>
    <w:p>
      <w:pPr>
        <w:sectPr>
          <w:pgSz w:w="11900" w:h="16838" w:orient="portrait"/>
          <w:cols w:equalWidth="0" w:num="1">
            <w:col w:w="11240"/>
          </w:cols>
          <w:pgMar w:left="320" w:top="143"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0" w:hanging="319"/>
        <w:spacing w:after="0" w:line="284" w:lineRule="auto"/>
        <w:tabs>
          <w:tab w:leader="none" w:pos="469"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 headcount was 12,840 as of February 28, 2026, up 1.9% over the last 12 months, with the increase primarily in the content and technology groups. FactSet's centers of excellence account for approximately 68% of the Company's employees.</w:t>
      </w:r>
    </w:p>
    <w:p>
      <w:pPr>
        <w:spacing w:after="0" w:line="217"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6"/>
        </w:numPr>
        <w:rPr>
          <w:rFonts w:ascii="Arial" w:cs="Arial" w:eastAsia="Arial" w:hAnsi="Arial"/>
          <w:sz w:val="16"/>
          <w:szCs w:val="16"/>
          <w:color w:val="auto"/>
        </w:rPr>
      </w:pPr>
      <w:r>
        <w:rPr>
          <w:rFonts w:ascii="Arial" w:cs="Arial" w:eastAsia="Arial" w:hAnsi="Arial"/>
          <w:sz w:val="16"/>
          <w:szCs w:val="16"/>
          <w:color w:val="auto"/>
        </w:rPr>
        <w:t>A quarterly dividend of $40.3 million, or $1.10 per share, was paid on March 19, 2026, to holders of record of FactSet’s common stock at the close of business on February 27, 2026.</w:t>
      </w:r>
    </w:p>
    <w:p>
      <w:pPr>
        <w:spacing w:after="0" w:line="126"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FactSet announced a multi-year strategic agreement with Barclays, providing access to FactSet’s financial data, analytics, and technology solutions to support Barclays’ long-term market data strategy.</w:t>
      </w:r>
    </w:p>
    <w:p>
      <w:pPr>
        <w:spacing w:after="0" w:line="139" w:lineRule="exact"/>
        <w:rPr>
          <w:rFonts w:ascii="Arial" w:cs="Arial" w:eastAsia="Arial" w:hAnsi="Arial"/>
          <w:sz w:val="16"/>
          <w:szCs w:val="16"/>
          <w:color w:val="auto"/>
        </w:rPr>
      </w:pPr>
    </w:p>
    <w:p>
      <w:pPr>
        <w:ind w:left="480" w:hanging="319"/>
        <w:spacing w:after="0" w:line="284" w:lineRule="auto"/>
        <w:tabs>
          <w:tab w:leader="none" w:pos="469"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FactSet announced the availability of Kepler Cheuvreux Aftermarket Research (AMR) on the FactSet platform, expanding European equity research coverage across more than 1,000 stocks.</w:t>
      </w:r>
    </w:p>
    <w:p>
      <w:pPr>
        <w:spacing w:after="0" w:line="152"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FactSet launched AI Doc Ingest for Cobalt, enabling private capital clients to extract and structure portfolio company data from unstructured documents into the Cobalt Portfolio Monitoring platform.</w:t>
      </w:r>
    </w:p>
    <w:p>
      <w:pPr>
        <w:spacing w:after="0" w:line="126" w:lineRule="exact"/>
        <w:rPr>
          <w:rFonts w:ascii="Arial" w:cs="Arial" w:eastAsia="Arial" w:hAnsi="Arial"/>
          <w:sz w:val="16"/>
          <w:szCs w:val="16"/>
          <w:color w:val="auto"/>
        </w:rPr>
      </w:pPr>
    </w:p>
    <w:p>
      <w:pPr>
        <w:ind w:left="460" w:hanging="299"/>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After the quarter:</w:t>
      </w:r>
    </w:p>
    <w:p>
      <w:pPr>
        <w:spacing w:after="0" w:line="195" w:lineRule="exact"/>
        <w:rPr>
          <w:rFonts w:ascii="Arial" w:cs="Arial" w:eastAsia="Arial" w:hAnsi="Arial"/>
          <w:sz w:val="16"/>
          <w:szCs w:val="16"/>
          <w:color w:val="auto"/>
        </w:rPr>
      </w:pPr>
    </w:p>
    <w:p>
      <w:pPr>
        <w:ind w:left="1100" w:hanging="311"/>
        <w:spacing w:after="0" w:line="301" w:lineRule="auto"/>
        <w:tabs>
          <w:tab w:leader="none" w:pos="1103" w:val="left"/>
        </w:tabs>
        <w:numPr>
          <w:ilvl w:val="1"/>
          <w:numId w:val="6"/>
        </w:numPr>
        <w:rPr>
          <w:rFonts w:ascii="Arial" w:cs="Arial" w:eastAsia="Arial" w:hAnsi="Arial"/>
          <w:sz w:val="16"/>
          <w:szCs w:val="16"/>
          <w:color w:val="auto"/>
        </w:rPr>
      </w:pPr>
      <w:r>
        <w:rPr>
          <w:rFonts w:ascii="Arial" w:cs="Arial" w:eastAsia="Arial" w:hAnsi="Arial"/>
          <w:sz w:val="16"/>
          <w:szCs w:val="16"/>
          <w:color w:val="auto"/>
        </w:rPr>
        <w:t>FactSet appointed Kate Stepp as Chief AI Officer and Bob Stolte as Chief Technology Officer, strengthening the Company's enterprise AI and platform strategy.</w:t>
      </w:r>
    </w:p>
    <w:p>
      <w:pPr>
        <w:spacing w:after="0" w:line="139" w:lineRule="exact"/>
        <w:rPr>
          <w:rFonts w:ascii="Arial" w:cs="Arial" w:eastAsia="Arial" w:hAnsi="Arial"/>
          <w:sz w:val="16"/>
          <w:szCs w:val="16"/>
          <w:color w:val="auto"/>
        </w:rPr>
      </w:pPr>
    </w:p>
    <w:p>
      <w:pPr>
        <w:ind w:left="1100" w:hanging="311"/>
        <w:spacing w:after="0" w:line="284" w:lineRule="auto"/>
        <w:tabs>
          <w:tab w:leader="none" w:pos="1103" w:val="left"/>
        </w:tabs>
        <w:numPr>
          <w:ilvl w:val="1"/>
          <w:numId w:val="6"/>
        </w:numPr>
        <w:rPr>
          <w:rFonts w:ascii="Arial" w:cs="Arial" w:eastAsia="Arial" w:hAnsi="Arial"/>
          <w:sz w:val="16"/>
          <w:szCs w:val="16"/>
          <w:color w:val="auto"/>
        </w:rPr>
      </w:pPr>
      <w:r>
        <w:rPr>
          <w:rFonts w:ascii="Arial" w:cs="Arial" w:eastAsia="Arial" w:hAnsi="Arial"/>
          <w:sz w:val="16"/>
          <w:szCs w:val="16"/>
          <w:color w:val="auto"/>
        </w:rPr>
        <w:t>FactSet integrated AI-driven financial crime risk management capabilities into the Workstation in collaboration with ComplyAdvantage, enabling corporate banking clients to manage onboarding, screening, and risk monitoring within a unified workflow.</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004988"/>
        </w:rPr>
        <w:t>Share Repurchase Program</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FactSet repurchased 651,750 shares of its common stock for $163.0 million at an average price of $250.14 during the second quarter of fiscal 2026 under the Company’s share repurchase program. As of February 28, 2026, $697.1 million remained available for share repurchases under this program.</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004988"/>
        </w:rPr>
        <w:t>Annual Business Outlook</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FactSet is updating its outlook for fiscal 2026. The following forward-looking statements reflect FactSet's expectations as of today's date. Given the risk factors, uncertainties, and assumptions discussed below, actual results may differ materially. FactSet does not intend to update its forward-looking statements prior to its next quarterly results announcement.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2026 Expectations (with reference to most recent previous guidance):</w:t>
      </w:r>
    </w:p>
    <w:p>
      <w:pPr>
        <w:spacing w:after="0" w:line="210" w:lineRule="exact"/>
        <w:rPr>
          <w:sz w:val="20"/>
          <w:szCs w:val="20"/>
          <w:color w:val="auto"/>
        </w:rPr>
      </w:pPr>
    </w:p>
    <w:p>
      <w:pPr>
        <w:ind w:left="480" w:hanging="313"/>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Organic ASV is expected to grow in the range of $130 million to $160 million during fiscal 2026 (up from $100 million to $150 million).</w:t>
      </w:r>
    </w:p>
    <w:p>
      <w:pPr>
        <w:spacing w:after="0" w:line="116" w:lineRule="exact"/>
        <w:rPr>
          <w:rFonts w:ascii="Arial" w:cs="Arial" w:eastAsia="Arial" w:hAnsi="Arial"/>
          <w:sz w:val="16"/>
          <w:szCs w:val="16"/>
          <w:color w:val="auto"/>
        </w:rPr>
      </w:pPr>
    </w:p>
    <w:p>
      <w:pPr>
        <w:ind w:left="480" w:hanging="313"/>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GAAP revenues are expected to be in the range of $2,450 million to $2,470 million (up from $2,423 million to $2,448 million).</w:t>
      </w:r>
    </w:p>
    <w:p>
      <w:pPr>
        <w:spacing w:after="0" w:line="129" w:lineRule="exact"/>
        <w:rPr>
          <w:rFonts w:ascii="Arial" w:cs="Arial" w:eastAsia="Arial" w:hAnsi="Arial"/>
          <w:sz w:val="16"/>
          <w:szCs w:val="16"/>
          <w:color w:val="auto"/>
        </w:rPr>
      </w:pPr>
    </w:p>
    <w:p>
      <w:pPr>
        <w:ind w:left="480" w:hanging="313"/>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GAAP operating margin is expected to be in the range of 29.5% to 31.0% (unchanged).</w:t>
      </w:r>
    </w:p>
    <w:p>
      <w:pPr>
        <w:spacing w:after="0" w:line="129" w:lineRule="exact"/>
        <w:rPr>
          <w:rFonts w:ascii="Arial" w:cs="Arial" w:eastAsia="Arial" w:hAnsi="Arial"/>
          <w:sz w:val="16"/>
          <w:szCs w:val="16"/>
          <w:color w:val="auto"/>
        </w:rPr>
      </w:pPr>
    </w:p>
    <w:p>
      <w:pPr>
        <w:ind w:left="480" w:hanging="313"/>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operating margin is expected to be in the range of 34.0% to 35.5% (unchanged).</w:t>
      </w:r>
    </w:p>
    <w:p>
      <w:pPr>
        <w:spacing w:after="0" w:line="129" w:lineRule="exact"/>
        <w:rPr>
          <w:rFonts w:ascii="Arial" w:cs="Arial" w:eastAsia="Arial" w:hAnsi="Arial"/>
          <w:sz w:val="16"/>
          <w:szCs w:val="16"/>
          <w:color w:val="auto"/>
        </w:rPr>
      </w:pPr>
    </w:p>
    <w:p>
      <w:pPr>
        <w:ind w:left="480" w:hanging="313"/>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FactSet's annual effective tax rate is expected to be in the range of 18.0% to 19.0% (unchanged).</w:t>
      </w:r>
    </w:p>
    <w:p>
      <w:pPr>
        <w:spacing w:after="0" w:line="129" w:lineRule="exact"/>
        <w:rPr>
          <w:rFonts w:ascii="Arial" w:cs="Arial" w:eastAsia="Arial" w:hAnsi="Arial"/>
          <w:sz w:val="16"/>
          <w:szCs w:val="16"/>
          <w:color w:val="auto"/>
        </w:rPr>
      </w:pPr>
    </w:p>
    <w:p>
      <w:pPr>
        <w:ind w:left="480" w:hanging="313"/>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GAAP diluted EPS is expected to be in the range of $14.85 to $15.35 (up from $14.55 to $15.25).</w:t>
      </w:r>
    </w:p>
    <w:p>
      <w:pPr>
        <w:spacing w:after="0" w:line="129" w:lineRule="exact"/>
        <w:rPr>
          <w:rFonts w:ascii="Arial" w:cs="Arial" w:eastAsia="Arial" w:hAnsi="Arial"/>
          <w:sz w:val="16"/>
          <w:szCs w:val="16"/>
          <w:color w:val="auto"/>
        </w:rPr>
      </w:pPr>
    </w:p>
    <w:p>
      <w:pPr>
        <w:ind w:left="480" w:hanging="313"/>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diluted EPS is expected to be in the range of $17.25 to $17.75 (up from $16.90 to $17.60).</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Adjusted operating margin and adjusted diluted EPS guidance do not include certain effects of any non-recurring benefits or charges that may arise in fiscal 2026.</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Please see the back of this press release for a reconciliation of GAAP to adjusted metrics.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004988"/>
        </w:rPr>
        <w:t>Conference Call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2026 Conference Call Details</w:t>
      </w: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Tuesday, March 31, 2026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Time:</w:t>
      </w:r>
      <w:r>
        <w:rPr>
          <w:sz w:val="20"/>
          <w:szCs w:val="20"/>
          <w:color w:val="auto"/>
        </w:rPr>
        <w:tab/>
      </w:r>
      <w:r>
        <w:rPr>
          <w:rFonts w:ascii="Arial" w:cs="Arial" w:eastAsia="Arial" w:hAnsi="Arial"/>
          <w:sz w:val="16"/>
          <w:szCs w:val="16"/>
          <w:color w:val="auto"/>
        </w:rPr>
        <w:t>9:00 a.m. Eastern Time</w:t>
      </w:r>
    </w:p>
    <w:p>
      <w:pPr>
        <w:spacing w:after="0" w:line="8"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Participant Registration:</w:t>
      </w:r>
      <w:r>
        <w:rPr>
          <w:sz w:val="20"/>
          <w:szCs w:val="20"/>
          <w:color w:val="auto"/>
        </w:rPr>
        <w:tab/>
      </w:r>
      <w:r>
        <w:rPr>
          <w:rFonts w:ascii="Arial" w:cs="Arial" w:eastAsia="Arial" w:hAnsi="Arial"/>
          <w:sz w:val="15"/>
          <w:szCs w:val="15"/>
          <w:color w:val="auto"/>
        </w:rPr>
        <w:t>FactSet Q2 2026 Earnings Call Registration</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3</w:t>
      </w:r>
    </w:p>
    <w:p>
      <w:pPr>
        <w:sectPr>
          <w:pgSz w:w="11900" w:h="16838" w:orient="portrait"/>
          <w:cols w:equalWidth="0" w:num="1">
            <w:col w:w="11240"/>
          </w:cols>
          <w:pgMar w:left="320" w:top="143"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Please register for the conference call using the above link in advance of the call start time. Upon registration, you will receive dial-in information and a unique access PIN. The earnings presentation will be available on FactSet’s Investor Relations website at 8:30 a.m. Eastern Time on March 31, 2026, 30 minutes before the earnings call begins.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A replay will be available on the Investor Relations website after 1:00 p.m. Eastern Time on March 31, 2026, and will remain accessible through March 31, 2027.</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 transcript of the earnings call will be available via FactSet CallStreet.</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004988"/>
        </w:rPr>
        <w:t>Forward-looking Statements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This press release contains forward-looking statements based on management's current expectations, estimates, forecasts and projections about future events, trends, contingencies, and circumstances, industries in which FactSet operates and the beliefs and assumptions of management. All statements that address expectations, guidance, outlook or projections about the future, including statements about the Company's strategy, product development, revenues, future financial results, anticipated growth, market position, subscriptions, expected expenditures or investments, trends in FactSet’s business and financial results, are forward-looking statements. Forward-looking statements may be identified by words like "may," "might," "will," "should," "expects," "plans," "anticipates," "believes," "estimates," "intends," "projects," "indicates," "predicts," "potential," or "continue," the negative of those terms, and similar expressions. Forward-looking statements are not guarantees of future performance, outcomes, events, or actions and involve a number of known and unknown risks, uncertainties, and assumptions. Many factors, including those discussed more fully elsewhere in this release and in FactSet's filings with the Securities and Exchange Commission, particularly its latest annual report on Form 10-K, including Item 1A, </w:t>
      </w:r>
      <w:r>
        <w:rPr>
          <w:rFonts w:ascii="Arial" w:cs="Arial" w:eastAsia="Arial" w:hAnsi="Arial"/>
          <w:sz w:val="16"/>
          <w:szCs w:val="16"/>
          <w:i w:val="1"/>
          <w:iCs w:val="1"/>
          <w:color w:val="auto"/>
        </w:rPr>
        <w:t>Risk Factors</w:t>
      </w:r>
      <w:r>
        <w:rPr>
          <w:rFonts w:ascii="Arial" w:cs="Arial" w:eastAsia="Arial" w:hAnsi="Arial"/>
          <w:sz w:val="16"/>
          <w:szCs w:val="16"/>
          <w:color w:val="auto"/>
        </w:rPr>
        <w:t>, and quarterly reports on Form 10-Q, as well as others, could cause results, performance, achievements, or activities to differ materially from those expressed or implied by the forward-looking statements. Accordingly, the Company cautions readers not to place undue reliance on any forward-looking statements, which speak only as of the date they are made. FactSet assumes no duty to and does not undertake to update or revise any forward-looking statement to reflect events or circumstances arising after the date on which it is made, except as required by applicable law. Future results could differ materially from historical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004988"/>
        </w:rPr>
        <w:t>About Non-GAAP Financial Measures</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reports its financial results in accordance with U.S. GAAP. The Company also refers to and presents certain additional non-GAAP financial measures. These measures include: organic revenues, adjusted operating margin, adjusted operating income, adjusted net income, EBITDA, adjusted EBITDA, adjusted diluted EPS, and free cash flow. The Company has included reconciliations of these non-GAAP financial measures to the most directly comparable financial measures calculated in accordance with GAAP at the back of this release.</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FactSet uses these non-GAAP financial measures both in presenting its results to stockholders and the investment community and in its internal evaluation and management of the business. The Company believes that these non-GAAP financial measures provide useful supplemental information to investors because they permit investors to view the Company’s performance using the same tools that management uses to gauge progress in achieving its goals. Investors may benefit from referring to these non-GAAP financial measures in assessing the Company’s performance and when planning, forecasting and analyzing future periods, and such measures may also facilitate comparisons to historical performance. The Company believes that organic revenues, adjusted operating margin, adjusted operating income, adjusted net income, EBITDA, adjusted EBITDA, and adjusted diluted EPS help to fully reflect the underlying economic performance of FactSet. The Company believes that free cash flow is useful to investors because it is an indication of cash flow that may be available to fund investments in future growth initiatives. The presentation of this non-GAAP financial information should not be considered in isolation from, or as a substitute for, the financial information prepared and presented in accordance with GAAP. We are not able to provide reconciliations of certain forward-looking non-GAAP financial measures to comparable GAAP measures because certain items required for such reconciliations are outside of our control and/or cannot be reasonably predicted without unreasonable effort.</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4</w:t>
      </w:r>
    </w:p>
    <w:p>
      <w:pPr>
        <w:sectPr>
          <w:pgSz w:w="11900" w:h="16838" w:orient="portrait"/>
          <w:cols w:equalWidth="0" w:num="1">
            <w:col w:w="11240"/>
          </w:cols>
          <w:pgMar w:left="320" w:top="143"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004988"/>
        </w:rPr>
        <w:t>About FactSet</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FactSet (NYSE:FDS | NASDAQ:FDS) supercharges financial intelligence, offering enterprise data and information solutions that power our clients to maximize their potential. Our cutting-edge digital platform seamlessly integrates proprietary financial data, client datasets, third-party sources, and flexible technology to deliver tailored solutions across the buy-side, sell-side, wealth management, private equity, and corporate sectors. With over 47 years of expertise, offices in 19 countries, and extensive multi-asset class coverage, we leverage advanced data connectivity alongside AI and next-generation tools to streamline workflows, drive productivity, and enable smarter, faster decision-making. Serving more than 9,000 global clients and over 241,000 individual users, FactSet is a member of the S&amp;P 500 dedicated to innovation and long-term client success. Learn more at www.factset.com and follow us on X and LinkedIn.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Kevin Toomey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+1.212.209.5259</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Kevin.Toomey@factset.com</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Media Relations: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Vested</w:t>
      </w:r>
    </w:p>
    <w:p>
      <w:pPr>
        <w:spacing w:after="0" w:line="238" w:lineRule="auto"/>
        <w:rPr>
          <w:sz w:val="20"/>
          <w:szCs w:val="20"/>
          <w:color w:val="auto"/>
        </w:rPr>
      </w:pPr>
      <w:r>
        <w:rPr>
          <w:rFonts w:ascii="Arial" w:cs="Arial" w:eastAsia="Arial" w:hAnsi="Arial"/>
          <w:sz w:val="16"/>
          <w:szCs w:val="16"/>
          <w:color w:val="auto"/>
        </w:rPr>
        <w:t>+1-917-291-2366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Factset@fullyvested.com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5</w:t>
      </w:r>
    </w:p>
    <w:p>
      <w:pPr>
        <w:sectPr>
          <w:pgSz w:w="11900" w:h="16838" w:orient="portrait"/>
          <w:cols w:equalWidth="0" w:num="1">
            <w:col w:w="11240"/>
          </w:cols>
          <w:pgMar w:left="320" w:top="143"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9"/>
          <w:szCs w:val="19"/>
          <w:color w:val="004988"/>
        </w:rPr>
        <w:t xml:space="preserve">Consolidated Statements of Income </w:t>
      </w:r>
      <w:r>
        <w:rPr>
          <w:rFonts w:ascii="Arial" w:cs="Arial" w:eastAsia="Arial" w:hAnsi="Arial"/>
          <w:sz w:val="19"/>
          <w:szCs w:val="19"/>
          <w:i w:val="1"/>
          <w:iCs w:val="1"/>
          <w:color w:val="004988"/>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3"/>
          </w:tcPr>
          <w:p>
            <w:pPr>
              <w:jc w:val="right"/>
              <w:ind w:right="882"/>
              <w:spacing w:after="0"/>
              <w:rPr>
                <w:sz w:val="20"/>
                <w:szCs w:val="20"/>
                <w:color w:val="auto"/>
              </w:rPr>
            </w:pPr>
            <w:r>
              <w:rPr>
                <w:rFonts w:ascii="Arial" w:cs="Arial" w:eastAsia="Arial" w:hAnsi="Arial"/>
                <w:sz w:val="16"/>
                <w:szCs w:val="16"/>
                <w:color w:val="4B4B4B"/>
              </w:rPr>
              <w:t>Three Months Ended</w:t>
            </w:r>
          </w:p>
        </w:tc>
        <w:tc>
          <w:tcPr>
            <w:tcW w:w="46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4B4B4B"/>
              </w:rPr>
              <w:t>Six Months Ended</w:t>
            </w:r>
          </w:p>
        </w:tc>
        <w:tc>
          <w:tcPr>
            <w:tcW w:w="1040" w:type="dxa"/>
            <w:vAlign w:val="bottom"/>
          </w:tcPr>
          <w:p>
            <w:pPr>
              <w:spacing w:after="0"/>
              <w:rPr>
                <w:sz w:val="17"/>
                <w:szCs w:val="17"/>
                <w:color w:val="auto"/>
              </w:rPr>
            </w:pPr>
          </w:p>
        </w:tc>
      </w:tr>
      <w:tr>
        <w:trPr>
          <w:trHeight w:val="235"/>
        </w:trPr>
        <w:tc>
          <w:tcPr>
            <w:tcW w:w="4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2"/>
              <w:spacing w:after="0"/>
              <w:rPr>
                <w:sz w:val="20"/>
                <w:szCs w:val="20"/>
                <w:color w:val="auto"/>
              </w:rPr>
            </w:pPr>
            <w:r>
              <w:rPr>
                <w:rFonts w:ascii="Arial" w:cs="Arial" w:eastAsia="Arial" w:hAnsi="Arial"/>
                <w:sz w:val="16"/>
                <w:szCs w:val="16"/>
                <w:color w:val="4B4B4B"/>
              </w:rPr>
              <w:t>February 28,</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gridSpan w:val="2"/>
          </w:tcPr>
          <w:p>
            <w:pPr>
              <w:jc w:val="right"/>
              <w:ind w:right="162"/>
              <w:spacing w:after="0"/>
              <w:rPr>
                <w:sz w:val="20"/>
                <w:szCs w:val="20"/>
                <w:color w:val="auto"/>
              </w:rPr>
            </w:pPr>
            <w:r>
              <w:rPr>
                <w:rFonts w:ascii="Arial" w:cs="Arial" w:eastAsia="Arial" w:hAnsi="Arial"/>
                <w:sz w:val="16"/>
                <w:szCs w:val="16"/>
                <w:color w:val="4B4B4B"/>
              </w:rPr>
              <w:t>February 28,</w:t>
            </w:r>
          </w:p>
        </w:tc>
        <w:tc>
          <w:tcPr>
            <w:tcW w:w="1040" w:type="dxa"/>
            <w:vAlign w:val="bottom"/>
          </w:tcPr>
          <w:p>
            <w:pPr>
              <w:spacing w:after="0"/>
              <w:rPr>
                <w:sz w:val="20"/>
                <w:szCs w:val="20"/>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B4B4B"/>
              </w:rPr>
              <w:t>(In thousands, except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4B4B4B"/>
              </w:rPr>
              <w:t>2026</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4B4B4B"/>
              </w:rPr>
              <w:t>2025</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4B4B4B"/>
              </w:rPr>
              <w:t>2026</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4B4B4B"/>
              </w:rPr>
              <w:t>2025</w:t>
            </w: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Revenues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4B4B4B"/>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611,019</w:t>
            </w: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4B4B4B"/>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570,660</w:t>
            </w:r>
          </w:p>
        </w:tc>
        <w:tc>
          <w:tcPr>
            <w:tcW w:w="4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4B4B4B"/>
              </w:rPr>
              <w:t>$</w:t>
            </w: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1,218,640</w:t>
            </w:r>
          </w:p>
        </w:tc>
        <w:tc>
          <w:tcPr>
            <w:tcW w:w="6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4B4B4B"/>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1,139,327</w:t>
            </w:r>
          </w:p>
        </w:tc>
      </w:tr>
      <w:tr>
        <w:trPr>
          <w:trHeight w:val="208"/>
        </w:trPr>
        <w:tc>
          <w:tcPr>
            <w:tcW w:w="4440" w:type="dxa"/>
            <w:vAlign w:val="bottom"/>
          </w:tcPr>
          <w:p>
            <w:pPr>
              <w:ind w:left="20"/>
              <w:spacing w:after="0"/>
              <w:rPr>
                <w:sz w:val="20"/>
                <w:szCs w:val="20"/>
                <w:color w:val="auto"/>
              </w:rPr>
            </w:pPr>
            <w:r>
              <w:rPr>
                <w:rFonts w:ascii="Arial" w:cs="Arial" w:eastAsia="Arial" w:hAnsi="Arial"/>
                <w:sz w:val="16"/>
                <w:szCs w:val="16"/>
                <w:color w:val="4B4B4B"/>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Cost of services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296,742</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269,604</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584,658</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528,383</w:t>
            </w:r>
          </w:p>
        </w:tc>
      </w:tr>
      <w:tr>
        <w:trPr>
          <w:trHeight w:val="208"/>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4B4B4B"/>
              </w:rPr>
              <w:t>Selling, general and administrative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129,316</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4B4B4B"/>
              </w:rPr>
              <w:t>115,564</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4B4B4B"/>
              </w:rPr>
              <w:t>256,950</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4B4B4B"/>
              </w:rPr>
              <w:t>234,117</w:t>
            </w: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Total operating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426,058</w:t>
            </w: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385,168</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841,608</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762,500</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Operating income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184,961</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185,492</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377,032</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376,827</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Other income (expense),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4440" w:type="dxa"/>
            <w:vAlign w:val="bottom"/>
          </w:tcPr>
          <w:p>
            <w:pPr>
              <w:ind w:left="120"/>
              <w:spacing w:after="0"/>
              <w:rPr>
                <w:sz w:val="20"/>
                <w:szCs w:val="20"/>
                <w:color w:val="auto"/>
              </w:rPr>
            </w:pPr>
            <w:r>
              <w:rPr>
                <w:rFonts w:ascii="Arial" w:cs="Arial" w:eastAsia="Arial" w:hAnsi="Arial"/>
                <w:sz w:val="16"/>
                <w:szCs w:val="16"/>
                <w:color w:val="4B4B4B"/>
              </w:rPr>
              <w:t>Interest income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4B4B4B"/>
              </w:rPr>
              <w:t>891</w:t>
            </w:r>
          </w:p>
        </w:tc>
        <w:tc>
          <w:tcPr>
            <w:tcW w:w="54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4B4B4B"/>
              </w:rPr>
              <w:t>273</w:t>
            </w:r>
          </w:p>
        </w:tc>
        <w:tc>
          <w:tcPr>
            <w:tcW w:w="460" w:type="dxa"/>
            <w:vAlign w:val="bottom"/>
          </w:tcPr>
          <w:p>
            <w:pPr>
              <w:spacing w:after="0"/>
              <w:rPr>
                <w:sz w:val="18"/>
                <w:szCs w:val="18"/>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4B4B4B"/>
              </w:rPr>
              <w:t>1,980</w:t>
            </w:r>
          </w:p>
        </w:tc>
        <w:tc>
          <w:tcPr>
            <w:tcW w:w="6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4B4B4B"/>
              </w:rPr>
              <w:t>2,974</w:t>
            </w:r>
          </w:p>
        </w:tc>
      </w:tr>
      <w:tr>
        <w:trPr>
          <w:trHeight w:val="21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Interest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(13,062)</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B4B4B"/>
              </w:rPr>
              <w:t>(13,916)</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B4B4B"/>
              </w:rPr>
              <w:t>(26,447)</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(28,316)</w:t>
            </w:r>
          </w:p>
        </w:tc>
      </w:tr>
      <w:tr>
        <w:trPr>
          <w:trHeight w:val="208"/>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4B4B4B"/>
              </w:rPr>
              <w:t>Other income (expense),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(11,679)</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4B4B4B"/>
              </w:rPr>
              <w:t>471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4B4B4B"/>
              </w:rPr>
              <w:t>(1,341)</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4B4B4B"/>
              </w:rPr>
              <w:t>574</w:t>
            </w: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Total other income (expense), net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(23,850)</w:t>
            </w: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B4B4B"/>
              </w:rPr>
              <w:t>(13,172)</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B4B4B"/>
              </w:rPr>
              <w:t>(25,808)</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(24,768)</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Income before income taxes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161,111</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172,320</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351,224</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352,059</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Provision for income taxes</w:t>
            </w:r>
          </w:p>
        </w:tc>
        <w:tc>
          <w:tcPr>
            <w:tcW w:w="360" w:type="dxa"/>
            <w:vAlign w:val="bottom"/>
            <w:tcBorders>
              <w:bottom w:val="single" w:sz="8" w:color="6D6D6D"/>
            </w:tcBorders>
            <w:shd w:val="clear" w:color="auto" w:fill="CCEEFF"/>
          </w:tcPr>
          <w:p>
            <w:pPr>
              <w:spacing w:after="0"/>
              <w:rPr>
                <w:sz w:val="18"/>
                <w:szCs w:val="18"/>
                <w:color w:val="auto"/>
              </w:rPr>
            </w:pPr>
          </w:p>
        </w:tc>
        <w:tc>
          <w:tcPr>
            <w:tcW w:w="122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4B4B4B"/>
              </w:rPr>
              <w:t>28,055</w:t>
            </w:r>
          </w:p>
        </w:tc>
        <w:tc>
          <w:tcPr>
            <w:tcW w:w="540" w:type="dxa"/>
            <w:vAlign w:val="bottom"/>
            <w:tcBorders>
              <w:bottom w:val="single" w:sz="8" w:color="6D6D6D"/>
            </w:tcBorders>
            <w:shd w:val="clear" w:color="auto" w:fill="CCEEFF"/>
          </w:tcPr>
          <w:p>
            <w:pPr>
              <w:spacing w:after="0"/>
              <w:rPr>
                <w:sz w:val="18"/>
                <w:szCs w:val="18"/>
                <w:color w:val="auto"/>
              </w:rPr>
            </w:pPr>
          </w:p>
        </w:tc>
        <w:tc>
          <w:tcPr>
            <w:tcW w:w="1160" w:type="dxa"/>
            <w:vAlign w:val="bottom"/>
            <w:tcBorders>
              <w:bottom w:val="single" w:sz="8" w:color="6D6D6D"/>
            </w:tcBorders>
            <w:shd w:val="clear" w:color="auto" w:fill="CCEEFF"/>
          </w:tcPr>
          <w:p>
            <w:pPr>
              <w:jc w:val="right"/>
              <w:ind w:right="82"/>
              <w:spacing w:after="0"/>
              <w:rPr>
                <w:sz w:val="20"/>
                <w:szCs w:val="20"/>
                <w:color w:val="auto"/>
              </w:rPr>
            </w:pPr>
            <w:r>
              <w:rPr>
                <w:rFonts w:ascii="Arial" w:cs="Arial" w:eastAsia="Arial" w:hAnsi="Arial"/>
                <w:sz w:val="16"/>
                <w:szCs w:val="16"/>
                <w:color w:val="4B4B4B"/>
              </w:rPr>
              <w:t>27,460</w:t>
            </w:r>
          </w:p>
        </w:tc>
        <w:tc>
          <w:tcPr>
            <w:tcW w:w="460" w:type="dxa"/>
            <w:vAlign w:val="bottom"/>
            <w:tcBorders>
              <w:bottom w:val="single" w:sz="8" w:color="6D6D6D"/>
            </w:tcBorders>
            <w:shd w:val="clear" w:color="auto" w:fill="CCEEFF"/>
          </w:tcPr>
          <w:p>
            <w:pPr>
              <w:spacing w:after="0"/>
              <w:rPr>
                <w:sz w:val="18"/>
                <w:szCs w:val="18"/>
                <w:color w:val="auto"/>
              </w:rPr>
            </w:pPr>
          </w:p>
        </w:tc>
        <w:tc>
          <w:tcPr>
            <w:tcW w:w="1340" w:type="dxa"/>
            <w:vAlign w:val="bottom"/>
            <w:tcBorders>
              <w:bottom w:val="single" w:sz="8" w:color="6D6D6D"/>
            </w:tcBorders>
            <w:shd w:val="clear" w:color="auto" w:fill="CCEEFF"/>
          </w:tcPr>
          <w:p>
            <w:pPr>
              <w:jc w:val="right"/>
              <w:ind w:right="82"/>
              <w:spacing w:after="0"/>
              <w:rPr>
                <w:sz w:val="20"/>
                <w:szCs w:val="20"/>
                <w:color w:val="auto"/>
              </w:rPr>
            </w:pPr>
            <w:r>
              <w:rPr>
                <w:rFonts w:ascii="Arial" w:cs="Arial" w:eastAsia="Arial" w:hAnsi="Arial"/>
                <w:sz w:val="16"/>
                <w:szCs w:val="16"/>
                <w:color w:val="4B4B4B"/>
              </w:rPr>
              <w:t>65,588</w:t>
            </w:r>
          </w:p>
        </w:tc>
        <w:tc>
          <w:tcPr>
            <w:tcW w:w="680" w:type="dxa"/>
            <w:vAlign w:val="bottom"/>
            <w:tcBorders>
              <w:bottom w:val="single" w:sz="8" w:color="6D6D6D"/>
            </w:tcBorders>
            <w:shd w:val="clear" w:color="auto" w:fill="CCEEFF"/>
          </w:tcPr>
          <w:p>
            <w:pPr>
              <w:spacing w:after="0"/>
              <w:rPr>
                <w:sz w:val="18"/>
                <w:szCs w:val="18"/>
                <w:color w:val="auto"/>
              </w:rPr>
            </w:pPr>
          </w:p>
        </w:tc>
        <w:tc>
          <w:tcPr>
            <w:tcW w:w="104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4B4B4B"/>
              </w:rPr>
              <w:t>57,177</w:t>
            </w:r>
          </w:p>
        </w:tc>
      </w:tr>
      <w:tr>
        <w:trPr>
          <w:trHeight w:val="201"/>
        </w:trPr>
        <w:tc>
          <w:tcPr>
            <w:tcW w:w="4440" w:type="dxa"/>
            <w:vAlign w:val="bottom"/>
          </w:tcPr>
          <w:p>
            <w:pPr>
              <w:ind w:left="20"/>
              <w:spacing w:after="0"/>
              <w:rPr>
                <w:sz w:val="20"/>
                <w:szCs w:val="20"/>
                <w:color w:val="auto"/>
              </w:rPr>
            </w:pPr>
            <w:r>
              <w:rPr>
                <w:rFonts w:ascii="Arial" w:cs="Arial" w:eastAsia="Arial" w:hAnsi="Arial"/>
                <w:sz w:val="16"/>
                <w:szCs w:val="16"/>
                <w:color w:val="4B4B4B"/>
              </w:rPr>
              <w:t>Net income</w:t>
            </w:r>
          </w:p>
        </w:tc>
        <w:tc>
          <w:tcPr>
            <w:tcW w:w="360" w:type="dxa"/>
            <w:vAlign w:val="bottom"/>
            <w:tcBorders>
              <w:bottom w:val="single" w:sz="8" w:color="6D6D6D"/>
            </w:tcBorders>
          </w:tcPr>
          <w:p>
            <w:pPr>
              <w:jc w:val="right"/>
              <w:ind w:right="182"/>
              <w:spacing w:after="0"/>
              <w:rPr>
                <w:sz w:val="20"/>
                <w:szCs w:val="20"/>
                <w:color w:val="auto"/>
              </w:rPr>
            </w:pPr>
            <w:r>
              <w:rPr>
                <w:rFonts w:ascii="Arial" w:cs="Arial" w:eastAsia="Arial" w:hAnsi="Arial"/>
                <w:sz w:val="16"/>
                <w:szCs w:val="16"/>
                <w:color w:val="4B4B4B"/>
                <w:w w:val="89"/>
              </w:rPr>
              <w:t>$</w:t>
            </w:r>
          </w:p>
        </w:tc>
        <w:tc>
          <w:tcPr>
            <w:tcW w:w="122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4B4B4B"/>
              </w:rPr>
              <w:t>133,056</w:t>
            </w:r>
          </w:p>
        </w:tc>
        <w:tc>
          <w:tcPr>
            <w:tcW w:w="540" w:type="dxa"/>
            <w:vAlign w:val="bottom"/>
            <w:tcBorders>
              <w:bottom w:val="single" w:sz="8" w:color="6D6D6D"/>
            </w:tcBorders>
          </w:tcPr>
          <w:p>
            <w:pPr>
              <w:jc w:val="right"/>
              <w:ind w:right="342"/>
              <w:spacing w:after="0"/>
              <w:rPr>
                <w:sz w:val="20"/>
                <w:szCs w:val="20"/>
                <w:color w:val="auto"/>
              </w:rPr>
            </w:pPr>
            <w:r>
              <w:rPr>
                <w:rFonts w:ascii="Arial" w:cs="Arial" w:eastAsia="Arial" w:hAnsi="Arial"/>
                <w:sz w:val="16"/>
                <w:szCs w:val="16"/>
                <w:color w:val="4B4B4B"/>
              </w:rPr>
              <w:t>$</w:t>
            </w:r>
          </w:p>
        </w:tc>
        <w:tc>
          <w:tcPr>
            <w:tcW w:w="1160" w:type="dxa"/>
            <w:vAlign w:val="bottom"/>
            <w:tcBorders>
              <w:bottom w:val="single" w:sz="8" w:color="6D6D6D"/>
            </w:tcBorders>
          </w:tcPr>
          <w:p>
            <w:pPr>
              <w:jc w:val="right"/>
              <w:ind w:right="82"/>
              <w:spacing w:after="0"/>
              <w:rPr>
                <w:sz w:val="20"/>
                <w:szCs w:val="20"/>
                <w:color w:val="auto"/>
              </w:rPr>
            </w:pPr>
            <w:r>
              <w:rPr>
                <w:rFonts w:ascii="Arial" w:cs="Arial" w:eastAsia="Arial" w:hAnsi="Arial"/>
                <w:sz w:val="16"/>
                <w:szCs w:val="16"/>
                <w:color w:val="4B4B4B"/>
              </w:rPr>
              <w:t>144,860</w:t>
            </w:r>
          </w:p>
        </w:tc>
        <w:tc>
          <w:tcPr>
            <w:tcW w:w="460" w:type="dxa"/>
            <w:vAlign w:val="bottom"/>
            <w:tcBorders>
              <w:bottom w:val="single" w:sz="8" w:color="6D6D6D"/>
            </w:tcBorders>
          </w:tcPr>
          <w:p>
            <w:pPr>
              <w:jc w:val="right"/>
              <w:ind w:right="182"/>
              <w:spacing w:after="0"/>
              <w:rPr>
                <w:sz w:val="20"/>
                <w:szCs w:val="20"/>
                <w:color w:val="auto"/>
              </w:rPr>
            </w:pPr>
            <w:r>
              <w:rPr>
                <w:rFonts w:ascii="Arial" w:cs="Arial" w:eastAsia="Arial" w:hAnsi="Arial"/>
                <w:sz w:val="16"/>
                <w:szCs w:val="16"/>
                <w:color w:val="4B4B4B"/>
              </w:rPr>
              <w:t>$</w:t>
            </w:r>
          </w:p>
        </w:tc>
        <w:tc>
          <w:tcPr>
            <w:tcW w:w="1340" w:type="dxa"/>
            <w:vAlign w:val="bottom"/>
            <w:tcBorders>
              <w:bottom w:val="single" w:sz="8" w:color="6D6D6D"/>
            </w:tcBorders>
          </w:tcPr>
          <w:p>
            <w:pPr>
              <w:jc w:val="right"/>
              <w:ind w:right="82"/>
              <w:spacing w:after="0"/>
              <w:rPr>
                <w:sz w:val="20"/>
                <w:szCs w:val="20"/>
                <w:color w:val="auto"/>
              </w:rPr>
            </w:pPr>
            <w:r>
              <w:rPr>
                <w:rFonts w:ascii="Arial" w:cs="Arial" w:eastAsia="Arial" w:hAnsi="Arial"/>
                <w:sz w:val="16"/>
                <w:szCs w:val="16"/>
                <w:color w:val="4B4B4B"/>
              </w:rPr>
              <w:t>285,636</w:t>
            </w:r>
          </w:p>
        </w:tc>
        <w:tc>
          <w:tcPr>
            <w:tcW w:w="680" w:type="dxa"/>
            <w:vAlign w:val="bottom"/>
            <w:tcBorders>
              <w:bottom w:val="single" w:sz="8" w:color="6D6D6D"/>
            </w:tcBorders>
          </w:tcPr>
          <w:p>
            <w:pPr>
              <w:jc w:val="right"/>
              <w:ind w:right="402"/>
              <w:spacing w:after="0"/>
              <w:rPr>
                <w:sz w:val="20"/>
                <w:szCs w:val="20"/>
                <w:color w:val="auto"/>
              </w:rPr>
            </w:pPr>
            <w:r>
              <w:rPr>
                <w:rFonts w:ascii="Arial" w:cs="Arial" w:eastAsia="Arial" w:hAnsi="Arial"/>
                <w:sz w:val="16"/>
                <w:szCs w:val="16"/>
                <w:color w:val="4B4B4B"/>
              </w:rPr>
              <w:t>$</w:t>
            </w:r>
          </w:p>
        </w:tc>
        <w:tc>
          <w:tcPr>
            <w:tcW w:w="104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4B4B4B"/>
              </w:rPr>
              <w:t>294,882</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6D6D6D"/>
            </w:tcBorders>
          </w:tcPr>
          <w:p>
            <w:pPr>
              <w:spacing w:after="0" w:line="20" w:lineRule="exact"/>
              <w:rPr>
                <w:sz w:val="1"/>
                <w:szCs w:val="1"/>
                <w:color w:val="auto"/>
              </w:rPr>
            </w:pPr>
          </w:p>
        </w:tc>
        <w:tc>
          <w:tcPr>
            <w:tcW w:w="1220" w:type="dxa"/>
            <w:vAlign w:val="bottom"/>
            <w:tcBorders>
              <w:bottom w:val="single" w:sz="8" w:color="6D6D6D"/>
            </w:tcBorders>
          </w:tcPr>
          <w:p>
            <w:pPr>
              <w:spacing w:after="0" w:line="20" w:lineRule="exact"/>
              <w:rPr>
                <w:sz w:val="1"/>
                <w:szCs w:val="1"/>
                <w:color w:val="auto"/>
              </w:rPr>
            </w:pPr>
          </w:p>
        </w:tc>
        <w:tc>
          <w:tcPr>
            <w:tcW w:w="540" w:type="dxa"/>
            <w:vAlign w:val="bottom"/>
            <w:tcBorders>
              <w:bottom w:val="single" w:sz="8" w:color="6D6D6D"/>
            </w:tcBorders>
          </w:tcPr>
          <w:p>
            <w:pPr>
              <w:spacing w:after="0" w:line="20" w:lineRule="exact"/>
              <w:rPr>
                <w:sz w:val="1"/>
                <w:szCs w:val="1"/>
                <w:color w:val="auto"/>
              </w:rPr>
            </w:pPr>
          </w:p>
        </w:tc>
        <w:tc>
          <w:tcPr>
            <w:tcW w:w="1160" w:type="dxa"/>
            <w:vAlign w:val="bottom"/>
            <w:tcBorders>
              <w:bottom w:val="single" w:sz="8" w:color="6D6D6D"/>
            </w:tcBorders>
          </w:tcPr>
          <w:p>
            <w:pPr>
              <w:spacing w:after="0" w:line="20" w:lineRule="exact"/>
              <w:rPr>
                <w:sz w:val="1"/>
                <w:szCs w:val="1"/>
                <w:color w:val="auto"/>
              </w:rPr>
            </w:pPr>
          </w:p>
        </w:tc>
        <w:tc>
          <w:tcPr>
            <w:tcW w:w="460" w:type="dxa"/>
            <w:vAlign w:val="bottom"/>
            <w:tcBorders>
              <w:bottom w:val="single" w:sz="8" w:color="6D6D6D"/>
            </w:tcBorders>
          </w:tcPr>
          <w:p>
            <w:pPr>
              <w:spacing w:after="0" w:line="20" w:lineRule="exact"/>
              <w:rPr>
                <w:sz w:val="1"/>
                <w:szCs w:val="1"/>
                <w:color w:val="auto"/>
              </w:rPr>
            </w:pPr>
          </w:p>
        </w:tc>
        <w:tc>
          <w:tcPr>
            <w:tcW w:w="1340" w:type="dxa"/>
            <w:vAlign w:val="bottom"/>
            <w:tcBorders>
              <w:bottom w:val="single" w:sz="8" w:color="6D6D6D"/>
            </w:tcBorders>
          </w:tcPr>
          <w:p>
            <w:pPr>
              <w:spacing w:after="0" w:line="20" w:lineRule="exact"/>
              <w:rPr>
                <w:sz w:val="1"/>
                <w:szCs w:val="1"/>
                <w:color w:val="auto"/>
              </w:rPr>
            </w:pPr>
          </w:p>
        </w:tc>
        <w:tc>
          <w:tcPr>
            <w:tcW w:w="680" w:type="dxa"/>
            <w:vAlign w:val="bottom"/>
            <w:tcBorders>
              <w:bottom w:val="single" w:sz="8" w:color="6D6D6D"/>
            </w:tcBorders>
          </w:tcPr>
          <w:p>
            <w:pPr>
              <w:spacing w:after="0" w:line="20" w:lineRule="exact"/>
              <w:rPr>
                <w:sz w:val="1"/>
                <w:szCs w:val="1"/>
                <w:color w:val="auto"/>
              </w:rPr>
            </w:pPr>
          </w:p>
        </w:tc>
        <w:tc>
          <w:tcPr>
            <w:tcW w:w="1040" w:type="dxa"/>
            <w:vAlign w:val="bottom"/>
            <w:tcBorders>
              <w:bottom w:val="single" w:sz="8" w:color="6D6D6D"/>
            </w:tcBorders>
          </w:tcPr>
          <w:p>
            <w:pPr>
              <w:spacing w:after="0" w:line="20" w:lineRule="exact"/>
              <w:rPr>
                <w:sz w:val="1"/>
                <w:szCs w:val="1"/>
                <w:color w:val="auto"/>
              </w:rPr>
            </w:pPr>
          </w:p>
        </w:tc>
      </w:tr>
      <w:tr>
        <w:trPr>
          <w:trHeight w:val="229"/>
        </w:trPr>
        <w:tc>
          <w:tcPr>
            <w:tcW w:w="4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8"/>
        </w:trPr>
        <w:tc>
          <w:tcPr>
            <w:tcW w:w="4440" w:type="dxa"/>
            <w:vAlign w:val="bottom"/>
          </w:tcPr>
          <w:p>
            <w:pPr>
              <w:ind w:left="20"/>
              <w:spacing w:after="0"/>
              <w:rPr>
                <w:sz w:val="20"/>
                <w:szCs w:val="20"/>
                <w:color w:val="auto"/>
              </w:rPr>
            </w:pPr>
            <w:r>
              <w:rPr>
                <w:rFonts w:ascii="Arial" w:cs="Arial" w:eastAsia="Arial" w:hAnsi="Arial"/>
                <w:sz w:val="16"/>
                <w:szCs w:val="16"/>
                <w:color w:val="4B4B4B"/>
              </w:rPr>
              <w:t>Basic earnings per common share</w:t>
            </w:r>
          </w:p>
        </w:tc>
        <w:tc>
          <w:tcPr>
            <w:tcW w:w="360" w:type="dxa"/>
            <w:vAlign w:val="bottom"/>
          </w:tcPr>
          <w:p>
            <w:pPr>
              <w:jc w:val="right"/>
              <w:ind w:right="182"/>
              <w:spacing w:after="0"/>
              <w:rPr>
                <w:sz w:val="20"/>
                <w:szCs w:val="20"/>
                <w:color w:val="auto"/>
              </w:rPr>
            </w:pPr>
            <w:r>
              <w:rPr>
                <w:rFonts w:ascii="Arial" w:cs="Arial" w:eastAsia="Arial" w:hAnsi="Arial"/>
                <w:sz w:val="16"/>
                <w:szCs w:val="16"/>
                <w:color w:val="4B4B4B"/>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4B4B4B"/>
              </w:rPr>
              <w:t>3.60</w:t>
            </w:r>
          </w:p>
        </w:tc>
        <w:tc>
          <w:tcPr>
            <w:tcW w:w="540" w:type="dxa"/>
            <w:vAlign w:val="bottom"/>
          </w:tcPr>
          <w:p>
            <w:pPr>
              <w:jc w:val="right"/>
              <w:ind w:right="342"/>
              <w:spacing w:after="0"/>
              <w:rPr>
                <w:sz w:val="20"/>
                <w:szCs w:val="20"/>
                <w:color w:val="auto"/>
              </w:rPr>
            </w:pPr>
            <w:r>
              <w:rPr>
                <w:rFonts w:ascii="Arial" w:cs="Arial" w:eastAsia="Arial" w:hAnsi="Arial"/>
                <w:sz w:val="16"/>
                <w:szCs w:val="16"/>
                <w:color w:val="4B4B4B"/>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4B4B4B"/>
              </w:rPr>
              <w:t>3.81</w:t>
            </w:r>
          </w:p>
        </w:tc>
        <w:tc>
          <w:tcPr>
            <w:tcW w:w="460" w:type="dxa"/>
            <w:vAlign w:val="bottom"/>
          </w:tcPr>
          <w:p>
            <w:pPr>
              <w:jc w:val="right"/>
              <w:ind w:right="182"/>
              <w:spacing w:after="0"/>
              <w:rPr>
                <w:sz w:val="20"/>
                <w:szCs w:val="20"/>
                <w:color w:val="auto"/>
              </w:rPr>
            </w:pPr>
            <w:r>
              <w:rPr>
                <w:rFonts w:ascii="Arial" w:cs="Arial" w:eastAsia="Arial" w:hAnsi="Arial"/>
                <w:sz w:val="16"/>
                <w:szCs w:val="16"/>
                <w:color w:val="4B4B4B"/>
              </w:rPr>
              <w:t>$</w:t>
            </w:r>
          </w:p>
        </w:tc>
        <w:tc>
          <w:tcPr>
            <w:tcW w:w="1340" w:type="dxa"/>
            <w:vAlign w:val="bottom"/>
          </w:tcPr>
          <w:p>
            <w:pPr>
              <w:jc w:val="right"/>
              <w:ind w:right="82"/>
              <w:spacing w:after="0"/>
              <w:rPr>
                <w:sz w:val="20"/>
                <w:szCs w:val="20"/>
                <w:color w:val="auto"/>
              </w:rPr>
            </w:pPr>
            <w:r>
              <w:rPr>
                <w:rFonts w:ascii="Arial" w:cs="Arial" w:eastAsia="Arial" w:hAnsi="Arial"/>
                <w:sz w:val="16"/>
                <w:szCs w:val="16"/>
                <w:color w:val="4B4B4B"/>
              </w:rPr>
              <w:t>7.68</w:t>
            </w:r>
          </w:p>
        </w:tc>
        <w:tc>
          <w:tcPr>
            <w:tcW w:w="680" w:type="dxa"/>
            <w:vAlign w:val="bottom"/>
          </w:tcPr>
          <w:p>
            <w:pPr>
              <w:jc w:val="right"/>
              <w:ind w:right="402"/>
              <w:spacing w:after="0"/>
              <w:rPr>
                <w:sz w:val="20"/>
                <w:szCs w:val="20"/>
                <w:color w:val="auto"/>
              </w:rPr>
            </w:pPr>
            <w:r>
              <w:rPr>
                <w:rFonts w:ascii="Arial" w:cs="Arial" w:eastAsia="Arial" w:hAnsi="Arial"/>
                <w:sz w:val="16"/>
                <w:szCs w:val="16"/>
                <w:color w:val="4B4B4B"/>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4B4B4B"/>
              </w:rPr>
              <w:t>7.76</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Diluted earnings per common share</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4B4B4B"/>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3.59</w:t>
            </w: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4B4B4B"/>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3.76</w:t>
            </w:r>
          </w:p>
        </w:tc>
        <w:tc>
          <w:tcPr>
            <w:tcW w:w="4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4B4B4B"/>
              </w:rPr>
              <w:t>$</w:t>
            </w: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7.65</w:t>
            </w:r>
          </w:p>
        </w:tc>
        <w:tc>
          <w:tcPr>
            <w:tcW w:w="6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4B4B4B"/>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7.66</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Basic weighted average common shares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36,927</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38,015</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B4B4B"/>
              </w:rPr>
              <w:t>37,168</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38,010</w:t>
            </w:r>
          </w:p>
        </w:tc>
      </w:tr>
      <w:tr>
        <w:trPr>
          <w:trHeight w:val="207"/>
        </w:trPr>
        <w:tc>
          <w:tcPr>
            <w:tcW w:w="4440" w:type="dxa"/>
            <w:vAlign w:val="bottom"/>
          </w:tcPr>
          <w:p>
            <w:pPr>
              <w:ind w:left="20"/>
              <w:spacing w:after="0"/>
              <w:rPr>
                <w:sz w:val="20"/>
                <w:szCs w:val="20"/>
                <w:color w:val="auto"/>
              </w:rPr>
            </w:pPr>
            <w:r>
              <w:rPr>
                <w:rFonts w:ascii="Arial" w:cs="Arial" w:eastAsia="Arial" w:hAnsi="Arial"/>
                <w:sz w:val="16"/>
                <w:szCs w:val="16"/>
                <w:color w:val="4B4B4B"/>
              </w:rPr>
              <w:t>Diluted weighted average common shares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4B4B4B"/>
              </w:rPr>
              <w:t>37,063</w:t>
            </w:r>
          </w:p>
        </w:tc>
        <w:tc>
          <w:tcPr>
            <w:tcW w:w="54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4B4B4B"/>
              </w:rPr>
              <w:t>38,510</w:t>
            </w:r>
          </w:p>
        </w:tc>
        <w:tc>
          <w:tcPr>
            <w:tcW w:w="460" w:type="dxa"/>
            <w:vAlign w:val="bottom"/>
          </w:tcPr>
          <w:p>
            <w:pPr>
              <w:spacing w:after="0"/>
              <w:rPr>
                <w:sz w:val="17"/>
                <w:szCs w:val="17"/>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4B4B4B"/>
              </w:rPr>
              <w:t>37,339</w:t>
            </w:r>
          </w:p>
        </w:tc>
        <w:tc>
          <w:tcPr>
            <w:tcW w:w="6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4B4B4B"/>
              </w:rPr>
              <w:t>38,513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Certain prior year figures have been conformed to the current year's presentation.</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6</w:t>
      </w:r>
    </w:p>
    <w:p>
      <w:pPr>
        <w:sectPr>
          <w:pgSz w:w="11900" w:h="16838" w:orient="portrait"/>
          <w:cols w:equalWidth="0" w:num="1">
            <w:col w:w="11240"/>
          </w:cols>
          <w:pgMar w:left="320" w:top="143"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9"/>
          <w:szCs w:val="19"/>
          <w:color w:val="004988"/>
        </w:rPr>
        <w:t xml:space="preserve">Consolidated Balance Sheets </w:t>
      </w:r>
      <w:r>
        <w:rPr>
          <w:rFonts w:ascii="Arial" w:cs="Arial" w:eastAsia="Arial" w:hAnsi="Arial"/>
          <w:sz w:val="19"/>
          <w:szCs w:val="19"/>
          <w:i w:val="1"/>
          <w:iCs w:val="1"/>
          <w:color w:val="004988"/>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B4B4B"/>
              </w:rPr>
              <w:t>(In thousands)</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494949"/>
              </w:rPr>
              <w:t>February 28, 2026</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494949"/>
              </w:rPr>
              <w:t>August 31, 2025</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4B4B4B"/>
              </w:rPr>
              <w:t>ASSETS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Cash and cash equivalents</w:t>
            </w:r>
          </w:p>
        </w:tc>
        <w:tc>
          <w:tcPr>
            <w:tcW w:w="220" w:type="dxa"/>
            <w:vAlign w:val="bottom"/>
          </w:tcPr>
          <w:p>
            <w:pPr>
              <w:jc w:val="right"/>
              <w:ind w:right="42"/>
              <w:spacing w:after="0"/>
              <w:rPr>
                <w:sz w:val="20"/>
                <w:szCs w:val="20"/>
                <w:color w:val="auto"/>
              </w:rPr>
            </w:pPr>
            <w:r>
              <w:rPr>
                <w:rFonts w:ascii="Arial" w:cs="Arial" w:eastAsia="Arial" w:hAnsi="Arial"/>
                <w:sz w:val="16"/>
                <w:szCs w:val="16"/>
                <w:color w:val="494949"/>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494949"/>
              </w:rPr>
              <w:t>268,338</w:t>
            </w:r>
          </w:p>
        </w:tc>
        <w:tc>
          <w:tcPr>
            <w:tcW w:w="300" w:type="dxa"/>
            <w:vAlign w:val="bottom"/>
          </w:tcPr>
          <w:p>
            <w:pPr>
              <w:jc w:val="right"/>
              <w:ind w:right="102"/>
              <w:spacing w:after="0"/>
              <w:rPr>
                <w:sz w:val="20"/>
                <w:szCs w:val="20"/>
                <w:color w:val="auto"/>
              </w:rPr>
            </w:pPr>
            <w:r>
              <w:rPr>
                <w:rFonts w:ascii="Arial" w:cs="Arial" w:eastAsia="Arial" w:hAnsi="Arial"/>
                <w:sz w:val="16"/>
                <w:szCs w:val="16"/>
                <w:color w:val="494949"/>
              </w:rPr>
              <w:t>$</w:t>
            </w: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337,651</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Investments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16,929</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17,445</w:t>
            </w:r>
          </w:p>
        </w:tc>
        <w:tc>
          <w:tcPr>
            <w:tcW w:w="0" w:type="dxa"/>
            <w:vAlign w:val="bottom"/>
          </w:tcPr>
          <w:p>
            <w:pPr>
              <w:spacing w:after="0"/>
              <w:rPr>
                <w:sz w:val="1"/>
                <w:szCs w:val="1"/>
                <w:color w:val="auto"/>
              </w:rPr>
            </w:pPr>
          </w:p>
        </w:tc>
      </w:tr>
      <w:tr>
        <w:trPr>
          <w:trHeight w:val="158"/>
        </w:trPr>
        <w:tc>
          <w:tcPr>
            <w:tcW w:w="7200" w:type="dxa"/>
            <w:vAlign w:val="bottom"/>
          </w:tcPr>
          <w:p>
            <w:pPr>
              <w:ind w:left="120"/>
              <w:spacing w:after="0" w:line="158" w:lineRule="exact"/>
              <w:rPr>
                <w:sz w:val="20"/>
                <w:szCs w:val="20"/>
                <w:color w:val="auto"/>
              </w:rPr>
            </w:pPr>
            <w:r>
              <w:rPr>
                <w:rFonts w:ascii="Arial" w:cs="Arial" w:eastAsia="Arial" w:hAnsi="Arial"/>
                <w:sz w:val="16"/>
                <w:szCs w:val="16"/>
                <w:color w:val="4B4B4B"/>
              </w:rPr>
              <w:t>Accounts receivable, net of reserves of $12,323 at February 28, 2026 and $13,789 at August 31,</w:t>
            </w:r>
          </w:p>
        </w:tc>
        <w:tc>
          <w:tcPr>
            <w:tcW w:w="2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494949"/>
              </w:rPr>
              <w:t>320,233</w:t>
            </w:r>
          </w:p>
        </w:tc>
        <w:tc>
          <w:tcPr>
            <w:tcW w:w="300" w:type="dxa"/>
            <w:vAlign w:val="bottom"/>
          </w:tcPr>
          <w:p>
            <w:pPr>
              <w:spacing w:after="0"/>
              <w:rPr>
                <w:sz w:val="13"/>
                <w:szCs w:val="13"/>
                <w:color w:val="auto"/>
              </w:rPr>
            </w:pPr>
          </w:p>
        </w:tc>
        <w:tc>
          <w:tcPr>
            <w:tcW w:w="1740" w:type="dxa"/>
            <w:vAlign w:val="bottom"/>
            <w:vMerge w:val="restart"/>
          </w:tcPr>
          <w:p>
            <w:pPr>
              <w:jc w:val="right"/>
              <w:ind w:right="2"/>
              <w:spacing w:after="0"/>
              <w:rPr>
                <w:sz w:val="20"/>
                <w:szCs w:val="20"/>
                <w:color w:val="auto"/>
              </w:rPr>
            </w:pPr>
            <w:r>
              <w:rPr>
                <w:rFonts w:ascii="Arial" w:cs="Arial" w:eastAsia="Arial" w:hAnsi="Arial"/>
                <w:sz w:val="16"/>
                <w:szCs w:val="16"/>
                <w:color w:val="494949"/>
              </w:rPr>
              <w:t>270,684</w:t>
            </w:r>
          </w:p>
        </w:tc>
        <w:tc>
          <w:tcPr>
            <w:tcW w:w="0" w:type="dxa"/>
            <w:vAlign w:val="bottom"/>
          </w:tcPr>
          <w:p>
            <w:pPr>
              <w:spacing w:after="0"/>
              <w:rPr>
                <w:sz w:val="1"/>
                <w:szCs w:val="1"/>
                <w:color w:val="auto"/>
              </w:rPr>
            </w:pPr>
          </w:p>
        </w:tc>
      </w:tr>
      <w:tr>
        <w:trPr>
          <w:trHeight w:val="207"/>
        </w:trPr>
        <w:tc>
          <w:tcPr>
            <w:tcW w:w="7200" w:type="dxa"/>
            <w:vAlign w:val="bottom"/>
          </w:tcPr>
          <w:p>
            <w:pPr>
              <w:ind w:left="120"/>
              <w:spacing w:after="0"/>
              <w:rPr>
                <w:sz w:val="20"/>
                <w:szCs w:val="20"/>
                <w:color w:val="auto"/>
              </w:rPr>
            </w:pPr>
            <w:r>
              <w:rPr>
                <w:rFonts w:ascii="Arial" w:cs="Arial" w:eastAsia="Arial" w:hAnsi="Arial"/>
                <w:sz w:val="16"/>
                <w:szCs w:val="16"/>
                <w:color w:val="4B4B4B"/>
              </w:rPr>
              <w:t>2025</w:t>
            </w:r>
          </w:p>
        </w:tc>
        <w:tc>
          <w:tcPr>
            <w:tcW w:w="22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Prepaid taxes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28,681</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33,600</w:t>
            </w:r>
          </w:p>
        </w:tc>
        <w:tc>
          <w:tcPr>
            <w:tcW w:w="0" w:type="dxa"/>
            <w:vAlign w:val="bottom"/>
          </w:tcPr>
          <w:p>
            <w:pPr>
              <w:spacing w:after="0"/>
              <w:rPr>
                <w:sz w:val="1"/>
                <w:szCs w:val="1"/>
                <w:color w:val="auto"/>
              </w:rPr>
            </w:pPr>
          </w:p>
        </w:tc>
      </w:tr>
      <w:tr>
        <w:trPr>
          <w:trHeight w:val="208"/>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4B4B4B"/>
              </w:rPr>
              <w:t>Prepaid expenses and other current assets</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89,997</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494949"/>
              </w:rPr>
              <w:t>70,379</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4B4B4B"/>
              </w:rPr>
              <w:t>Total current assets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724,178</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729,759</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Property, equipment and leasehold improvements, net</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84,427</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85,203</w:t>
            </w: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Goodwill</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494949"/>
              </w:rPr>
              <w:t>1,287,221</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1,284,708</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Intangible assets, net</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1,884,910</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1,916,102</w:t>
            </w: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Deferred tax assets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494949"/>
              </w:rPr>
              <w:t>61,495</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61,226</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Lease right-of-use assets, net</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120,460</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121,776</w:t>
            </w:r>
          </w:p>
        </w:tc>
        <w:tc>
          <w:tcPr>
            <w:tcW w:w="0" w:type="dxa"/>
            <w:vAlign w:val="bottom"/>
          </w:tcPr>
          <w:p>
            <w:pPr>
              <w:spacing w:after="0"/>
              <w:rPr>
                <w:sz w:val="1"/>
                <w:szCs w:val="1"/>
                <w:color w:val="auto"/>
              </w:rPr>
            </w:pPr>
          </w:p>
        </w:tc>
      </w:tr>
      <w:tr>
        <w:trPr>
          <w:trHeight w:val="208"/>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4B4B4B"/>
              </w:rPr>
              <w:t>Other assets</w:t>
            </w:r>
          </w:p>
        </w:tc>
        <w:tc>
          <w:tcPr>
            <w:tcW w:w="220" w:type="dxa"/>
            <w:vAlign w:val="bottom"/>
            <w:tcBorders>
              <w:bottom w:val="single" w:sz="8" w:color="6D6D6D"/>
            </w:tcBorders>
          </w:tcPr>
          <w:p>
            <w:pPr>
              <w:spacing w:after="0"/>
              <w:rPr>
                <w:sz w:val="18"/>
                <w:szCs w:val="18"/>
                <w:color w:val="auto"/>
              </w:rPr>
            </w:pPr>
          </w:p>
        </w:tc>
        <w:tc>
          <w:tcPr>
            <w:tcW w:w="176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494949"/>
              </w:rPr>
              <w:t>57,139</w:t>
            </w:r>
          </w:p>
        </w:tc>
        <w:tc>
          <w:tcPr>
            <w:tcW w:w="300" w:type="dxa"/>
            <w:vAlign w:val="bottom"/>
            <w:tcBorders>
              <w:bottom w:val="single" w:sz="8" w:color="6D6D6D"/>
            </w:tcBorders>
          </w:tcPr>
          <w:p>
            <w:pPr>
              <w:spacing w:after="0"/>
              <w:rPr>
                <w:sz w:val="18"/>
                <w:szCs w:val="18"/>
                <w:color w:val="auto"/>
              </w:rPr>
            </w:pPr>
          </w:p>
        </w:tc>
        <w:tc>
          <w:tcPr>
            <w:tcW w:w="174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494949"/>
              </w:rPr>
              <w:t>105,498</w:t>
            </w:r>
          </w:p>
        </w:tc>
        <w:tc>
          <w:tcPr>
            <w:tcW w:w="0" w:type="dxa"/>
            <w:vAlign w:val="bottom"/>
          </w:tcPr>
          <w:p>
            <w:pPr>
              <w:spacing w:after="0"/>
              <w:rPr>
                <w:sz w:val="1"/>
                <w:szCs w:val="1"/>
                <w:color w:val="auto"/>
              </w:rPr>
            </w:pPr>
          </w:p>
        </w:tc>
      </w:tr>
      <w:tr>
        <w:trPr>
          <w:trHeight w:val="227"/>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4B4B4B"/>
              </w:rPr>
              <w:t>TOTAL ASSETS</w:t>
            </w:r>
          </w:p>
        </w:tc>
        <w:tc>
          <w:tcPr>
            <w:tcW w:w="220" w:type="dxa"/>
            <w:vAlign w:val="bottom"/>
            <w:tcBorders>
              <w:bottom w:val="single" w:sz="8" w:color="6D6D6D"/>
            </w:tcBorders>
            <w:shd w:val="clear" w:color="auto" w:fill="CCEEFF"/>
          </w:tcPr>
          <w:p>
            <w:pPr>
              <w:jc w:val="right"/>
              <w:ind w:right="42"/>
              <w:spacing w:after="0"/>
              <w:rPr>
                <w:sz w:val="20"/>
                <w:szCs w:val="20"/>
                <w:color w:val="auto"/>
              </w:rPr>
            </w:pPr>
            <w:r>
              <w:rPr>
                <w:rFonts w:ascii="Arial" w:cs="Arial" w:eastAsia="Arial" w:hAnsi="Arial"/>
                <w:sz w:val="16"/>
                <w:szCs w:val="16"/>
                <w:color w:val="494949"/>
                <w:w w:val="89"/>
              </w:rPr>
              <w:t>$</w:t>
            </w:r>
          </w:p>
        </w:tc>
        <w:tc>
          <w:tcPr>
            <w:tcW w:w="17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494949"/>
              </w:rPr>
              <w:t>4,219,830</w:t>
            </w:r>
          </w:p>
        </w:tc>
        <w:tc>
          <w:tcPr>
            <w:tcW w:w="300" w:type="dxa"/>
            <w:vAlign w:val="bottom"/>
            <w:tcBorders>
              <w:bottom w:val="single" w:sz="8" w:color="6D6D6D"/>
            </w:tcBorders>
            <w:shd w:val="clear" w:color="auto" w:fill="CCEEFF"/>
          </w:tcPr>
          <w:p>
            <w:pPr>
              <w:jc w:val="right"/>
              <w:ind w:right="102"/>
              <w:spacing w:after="0"/>
              <w:rPr>
                <w:sz w:val="20"/>
                <w:szCs w:val="20"/>
                <w:color w:val="auto"/>
              </w:rPr>
            </w:pPr>
            <w:r>
              <w:rPr>
                <w:rFonts w:ascii="Arial" w:cs="Arial" w:eastAsia="Arial" w:hAnsi="Arial"/>
                <w:sz w:val="16"/>
                <w:szCs w:val="16"/>
                <w:color w:val="494949"/>
              </w:rPr>
              <w:t>$</w:t>
            </w:r>
          </w:p>
        </w:tc>
        <w:tc>
          <w:tcPr>
            <w:tcW w:w="174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494949"/>
              </w:rPr>
              <w:t>4,304,272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6D6D6D"/>
            </w:tcBorders>
          </w:tcPr>
          <w:p>
            <w:pPr>
              <w:spacing w:after="0" w:line="20" w:lineRule="exact"/>
              <w:rPr>
                <w:sz w:val="1"/>
                <w:szCs w:val="1"/>
                <w:color w:val="auto"/>
              </w:rPr>
            </w:pPr>
          </w:p>
        </w:tc>
        <w:tc>
          <w:tcPr>
            <w:tcW w:w="1760" w:type="dxa"/>
            <w:vAlign w:val="bottom"/>
            <w:tcBorders>
              <w:top w:val="single" w:sz="8" w:color="CCEEFF"/>
              <w:bottom w:val="single" w:sz="8" w:color="6D6D6D"/>
            </w:tcBorders>
          </w:tcPr>
          <w:p>
            <w:pPr>
              <w:spacing w:after="0" w:line="20" w:lineRule="exact"/>
              <w:rPr>
                <w:sz w:val="1"/>
                <w:szCs w:val="1"/>
                <w:color w:val="auto"/>
              </w:rPr>
            </w:pPr>
          </w:p>
        </w:tc>
        <w:tc>
          <w:tcPr>
            <w:tcW w:w="300" w:type="dxa"/>
            <w:vAlign w:val="bottom"/>
            <w:tcBorders>
              <w:top w:val="single" w:sz="8" w:color="CCEEFF"/>
              <w:bottom w:val="single" w:sz="8" w:color="6D6D6D"/>
            </w:tcBorders>
          </w:tcPr>
          <w:p>
            <w:pPr>
              <w:spacing w:after="0" w:line="20" w:lineRule="exact"/>
              <w:rPr>
                <w:sz w:val="1"/>
                <w:szCs w:val="1"/>
                <w:color w:val="auto"/>
              </w:rPr>
            </w:pPr>
          </w:p>
        </w:tc>
        <w:tc>
          <w:tcPr>
            <w:tcW w:w="1740" w:type="dxa"/>
            <w:vAlign w:val="bottom"/>
            <w:tcBorders>
              <w:top w:val="single" w:sz="8" w:color="CCEEFF"/>
              <w:bottom w:val="single" w:sz="8" w:color="6D6D6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4B4B4B"/>
              </w:rPr>
              <w:t>LIABILITIES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Accounts payable and accrued expenses</w:t>
            </w:r>
          </w:p>
        </w:tc>
        <w:tc>
          <w:tcPr>
            <w:tcW w:w="220" w:type="dxa"/>
            <w:vAlign w:val="bottom"/>
          </w:tcPr>
          <w:p>
            <w:pPr>
              <w:jc w:val="right"/>
              <w:ind w:right="42"/>
              <w:spacing w:after="0"/>
              <w:rPr>
                <w:sz w:val="20"/>
                <w:szCs w:val="20"/>
                <w:color w:val="auto"/>
              </w:rPr>
            </w:pPr>
            <w:r>
              <w:rPr>
                <w:rFonts w:ascii="Arial" w:cs="Arial" w:eastAsia="Arial" w:hAnsi="Arial"/>
                <w:sz w:val="16"/>
                <w:szCs w:val="16"/>
                <w:color w:val="494949"/>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494949"/>
              </w:rPr>
              <w:t>149,243</w:t>
            </w:r>
          </w:p>
        </w:tc>
        <w:tc>
          <w:tcPr>
            <w:tcW w:w="300" w:type="dxa"/>
            <w:vAlign w:val="bottom"/>
          </w:tcPr>
          <w:p>
            <w:pPr>
              <w:jc w:val="right"/>
              <w:ind w:right="102"/>
              <w:spacing w:after="0"/>
              <w:rPr>
                <w:sz w:val="20"/>
                <w:szCs w:val="20"/>
                <w:color w:val="auto"/>
              </w:rPr>
            </w:pPr>
            <w:r>
              <w:rPr>
                <w:rFonts w:ascii="Arial" w:cs="Arial" w:eastAsia="Arial" w:hAnsi="Arial"/>
                <w:sz w:val="16"/>
                <w:szCs w:val="16"/>
                <w:color w:val="494949"/>
              </w:rPr>
              <w:t>$</w:t>
            </w: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135,262</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Current lease liabilities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33,575</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33,145</w:t>
            </w: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Accrued compensation</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494949"/>
              </w:rPr>
              <w:t>88,479</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130,596</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Deferred revenues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188,722</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167,852</w:t>
            </w: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Current taxes payable</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494949"/>
              </w:rPr>
              <w:t>5,607</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13,041</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Dividends payable</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40,305</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494949"/>
              </w:rPr>
              <w:t>41,410</w:t>
            </w:r>
          </w:p>
        </w:tc>
        <w:tc>
          <w:tcPr>
            <w:tcW w:w="0" w:type="dxa"/>
            <w:vAlign w:val="bottom"/>
          </w:tcPr>
          <w:p>
            <w:pPr>
              <w:spacing w:after="0"/>
              <w:rPr>
                <w:sz w:val="1"/>
                <w:szCs w:val="1"/>
                <w:color w:val="auto"/>
              </w:rPr>
            </w:pPr>
          </w:p>
        </w:tc>
      </w:tr>
      <w:tr>
        <w:trPr>
          <w:trHeight w:val="201"/>
        </w:trPr>
        <w:tc>
          <w:tcPr>
            <w:tcW w:w="7200" w:type="dxa"/>
            <w:vAlign w:val="bottom"/>
          </w:tcPr>
          <w:p>
            <w:pPr>
              <w:ind w:left="120"/>
              <w:spacing w:after="0"/>
              <w:rPr>
                <w:sz w:val="20"/>
                <w:szCs w:val="20"/>
                <w:color w:val="auto"/>
              </w:rPr>
            </w:pPr>
            <w:r>
              <w:rPr>
                <w:rFonts w:ascii="Arial" w:cs="Arial" w:eastAsia="Arial" w:hAnsi="Arial"/>
                <w:sz w:val="16"/>
                <w:szCs w:val="16"/>
                <w:b w:val="1"/>
                <w:bCs w:val="1"/>
                <w:color w:val="4B4B4B"/>
              </w:rPr>
              <w:t>Total current liabilities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494949"/>
              </w:rPr>
              <w:t>505,931</w:t>
            </w:r>
          </w:p>
        </w:tc>
        <w:tc>
          <w:tcPr>
            <w:tcW w:w="300" w:type="dxa"/>
            <w:vAlign w:val="bottom"/>
          </w:tcPr>
          <w:p>
            <w:pPr>
              <w:spacing w:after="0"/>
              <w:rPr>
                <w:sz w:val="17"/>
                <w:szCs w:val="17"/>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521,306</w:t>
            </w:r>
          </w:p>
        </w:tc>
        <w:tc>
          <w:tcPr>
            <w:tcW w:w="0" w:type="dxa"/>
            <w:vAlign w:val="bottom"/>
          </w:tcPr>
          <w:p>
            <w:pPr>
              <w:spacing w:after="0"/>
              <w:rPr>
                <w:sz w:val="1"/>
                <w:szCs w:val="1"/>
                <w:color w:val="auto"/>
              </w:rPr>
            </w:pPr>
          </w:p>
        </w:tc>
      </w:tr>
      <w:tr>
        <w:trPr>
          <w:trHeight w:val="197"/>
        </w:trPr>
        <w:tc>
          <w:tcPr>
            <w:tcW w:w="7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Long-term debt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494949"/>
              </w:rPr>
              <w:t>1,369,216</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1,368,260</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Deferred tax liabilities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14,728</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14,902</w:t>
            </w:r>
          </w:p>
        </w:tc>
        <w:tc>
          <w:tcPr>
            <w:tcW w:w="0" w:type="dxa"/>
            <w:vAlign w:val="bottom"/>
          </w:tcPr>
          <w:p>
            <w:pPr>
              <w:spacing w:after="0"/>
              <w:rPr>
                <w:sz w:val="1"/>
                <w:szCs w:val="1"/>
                <w:color w:val="auto"/>
              </w:rPr>
            </w:pPr>
          </w:p>
        </w:tc>
      </w:tr>
      <w:tr>
        <w:trPr>
          <w:trHeight w:val="208"/>
        </w:trPr>
        <w:tc>
          <w:tcPr>
            <w:tcW w:w="7200" w:type="dxa"/>
            <w:vAlign w:val="bottom"/>
          </w:tcPr>
          <w:p>
            <w:pPr>
              <w:ind w:left="120"/>
              <w:spacing w:after="0"/>
              <w:rPr>
                <w:sz w:val="20"/>
                <w:szCs w:val="20"/>
                <w:color w:val="auto"/>
              </w:rPr>
            </w:pPr>
            <w:r>
              <w:rPr>
                <w:rFonts w:ascii="Arial" w:cs="Arial" w:eastAsia="Arial" w:hAnsi="Arial"/>
                <w:sz w:val="16"/>
                <w:szCs w:val="16"/>
                <w:color w:val="4B4B4B"/>
              </w:rPr>
              <w:t>Taxes payable</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494949"/>
              </w:rPr>
              <w:t>41,387</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494949"/>
              </w:rPr>
              <w:t>45,095</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Long-term lease liabilities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150,866</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157,104</w:t>
            </w:r>
          </w:p>
        </w:tc>
        <w:tc>
          <w:tcPr>
            <w:tcW w:w="0" w:type="dxa"/>
            <w:vAlign w:val="bottom"/>
          </w:tcPr>
          <w:p>
            <w:pPr>
              <w:spacing w:after="0"/>
              <w:rPr>
                <w:sz w:val="1"/>
                <w:szCs w:val="1"/>
                <w:color w:val="auto"/>
              </w:rPr>
            </w:pPr>
          </w:p>
        </w:tc>
      </w:tr>
      <w:tr>
        <w:trPr>
          <w:trHeight w:val="208"/>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4B4B4B"/>
              </w:rPr>
              <w:t>Other liabilities</w:t>
            </w:r>
          </w:p>
        </w:tc>
        <w:tc>
          <w:tcPr>
            <w:tcW w:w="220" w:type="dxa"/>
            <w:vAlign w:val="bottom"/>
            <w:tcBorders>
              <w:bottom w:val="single" w:sz="8" w:color="6D6D6D"/>
            </w:tcBorders>
          </w:tcPr>
          <w:p>
            <w:pPr>
              <w:spacing w:after="0"/>
              <w:rPr>
                <w:sz w:val="18"/>
                <w:szCs w:val="18"/>
                <w:color w:val="auto"/>
              </w:rPr>
            </w:pPr>
          </w:p>
        </w:tc>
        <w:tc>
          <w:tcPr>
            <w:tcW w:w="176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494949"/>
              </w:rPr>
              <w:t>8,590</w:t>
            </w:r>
          </w:p>
        </w:tc>
        <w:tc>
          <w:tcPr>
            <w:tcW w:w="300" w:type="dxa"/>
            <w:vAlign w:val="bottom"/>
            <w:tcBorders>
              <w:bottom w:val="single" w:sz="8" w:color="6D6D6D"/>
            </w:tcBorders>
          </w:tcPr>
          <w:p>
            <w:pPr>
              <w:spacing w:after="0"/>
              <w:rPr>
                <w:sz w:val="18"/>
                <w:szCs w:val="18"/>
                <w:color w:val="auto"/>
              </w:rPr>
            </w:pPr>
          </w:p>
        </w:tc>
        <w:tc>
          <w:tcPr>
            <w:tcW w:w="174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494949"/>
              </w:rPr>
              <w:t>11,192</w:t>
            </w:r>
          </w:p>
        </w:tc>
        <w:tc>
          <w:tcPr>
            <w:tcW w:w="0" w:type="dxa"/>
            <w:vAlign w:val="bottom"/>
          </w:tcPr>
          <w:p>
            <w:pPr>
              <w:spacing w:after="0"/>
              <w:rPr>
                <w:sz w:val="1"/>
                <w:szCs w:val="1"/>
                <w:color w:val="auto"/>
              </w:rPr>
            </w:pPr>
          </w:p>
        </w:tc>
      </w:tr>
      <w:tr>
        <w:trPr>
          <w:trHeight w:val="227"/>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4B4B4B"/>
              </w:rPr>
              <w:t>TOTAL LIABILITIES</w:t>
            </w:r>
          </w:p>
        </w:tc>
        <w:tc>
          <w:tcPr>
            <w:tcW w:w="220" w:type="dxa"/>
            <w:vAlign w:val="bottom"/>
            <w:tcBorders>
              <w:bottom w:val="single" w:sz="8" w:color="6D6D6D"/>
            </w:tcBorders>
            <w:shd w:val="clear" w:color="auto" w:fill="CCEEFF"/>
          </w:tcPr>
          <w:p>
            <w:pPr>
              <w:jc w:val="right"/>
              <w:ind w:right="42"/>
              <w:spacing w:after="0"/>
              <w:rPr>
                <w:sz w:val="20"/>
                <w:szCs w:val="20"/>
                <w:color w:val="auto"/>
              </w:rPr>
            </w:pPr>
            <w:r>
              <w:rPr>
                <w:rFonts w:ascii="Arial" w:cs="Arial" w:eastAsia="Arial" w:hAnsi="Arial"/>
                <w:sz w:val="16"/>
                <w:szCs w:val="16"/>
                <w:color w:val="494949"/>
                <w:w w:val="89"/>
              </w:rPr>
              <w:t>$</w:t>
            </w:r>
          </w:p>
        </w:tc>
        <w:tc>
          <w:tcPr>
            <w:tcW w:w="17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494949"/>
              </w:rPr>
              <w:t>2,090,718</w:t>
            </w:r>
          </w:p>
        </w:tc>
        <w:tc>
          <w:tcPr>
            <w:tcW w:w="300" w:type="dxa"/>
            <w:vAlign w:val="bottom"/>
            <w:tcBorders>
              <w:bottom w:val="single" w:sz="8" w:color="6D6D6D"/>
            </w:tcBorders>
            <w:shd w:val="clear" w:color="auto" w:fill="CCEEFF"/>
          </w:tcPr>
          <w:p>
            <w:pPr>
              <w:jc w:val="right"/>
              <w:ind w:right="102"/>
              <w:spacing w:after="0"/>
              <w:rPr>
                <w:sz w:val="20"/>
                <w:szCs w:val="20"/>
                <w:color w:val="auto"/>
              </w:rPr>
            </w:pPr>
            <w:r>
              <w:rPr>
                <w:rFonts w:ascii="Arial" w:cs="Arial" w:eastAsia="Arial" w:hAnsi="Arial"/>
                <w:sz w:val="16"/>
                <w:szCs w:val="16"/>
                <w:color w:val="494949"/>
              </w:rPr>
              <w:t>$</w:t>
            </w:r>
          </w:p>
        </w:tc>
        <w:tc>
          <w:tcPr>
            <w:tcW w:w="174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494949"/>
              </w:rPr>
              <w:t>2,117,859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6D6D6D"/>
            </w:tcBorders>
          </w:tcPr>
          <w:p>
            <w:pPr>
              <w:spacing w:after="0" w:line="20" w:lineRule="exact"/>
              <w:rPr>
                <w:sz w:val="1"/>
                <w:szCs w:val="1"/>
                <w:color w:val="auto"/>
              </w:rPr>
            </w:pPr>
          </w:p>
        </w:tc>
        <w:tc>
          <w:tcPr>
            <w:tcW w:w="1760" w:type="dxa"/>
            <w:vAlign w:val="bottom"/>
            <w:tcBorders>
              <w:top w:val="single" w:sz="8" w:color="CCEEFF"/>
              <w:bottom w:val="single" w:sz="8" w:color="6D6D6D"/>
            </w:tcBorders>
          </w:tcPr>
          <w:p>
            <w:pPr>
              <w:spacing w:after="0" w:line="20" w:lineRule="exact"/>
              <w:rPr>
                <w:sz w:val="1"/>
                <w:szCs w:val="1"/>
                <w:color w:val="auto"/>
              </w:rPr>
            </w:pPr>
          </w:p>
        </w:tc>
        <w:tc>
          <w:tcPr>
            <w:tcW w:w="300" w:type="dxa"/>
            <w:vAlign w:val="bottom"/>
            <w:tcBorders>
              <w:top w:val="single" w:sz="8" w:color="CCEEFF"/>
              <w:bottom w:val="single" w:sz="8" w:color="6D6D6D"/>
            </w:tcBorders>
          </w:tcPr>
          <w:p>
            <w:pPr>
              <w:spacing w:after="0" w:line="20" w:lineRule="exact"/>
              <w:rPr>
                <w:sz w:val="1"/>
                <w:szCs w:val="1"/>
                <w:color w:val="auto"/>
              </w:rPr>
            </w:pPr>
          </w:p>
        </w:tc>
        <w:tc>
          <w:tcPr>
            <w:tcW w:w="1740" w:type="dxa"/>
            <w:vAlign w:val="bottom"/>
            <w:tcBorders>
              <w:top w:val="single" w:sz="8" w:color="CCEEFF"/>
              <w:bottom w:val="single" w:sz="8" w:color="6D6D6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4B4B4B"/>
              </w:rPr>
              <w:t>STOCKHOLDERS’ EQUITY</w:t>
            </w:r>
          </w:p>
        </w:tc>
        <w:tc>
          <w:tcPr>
            <w:tcW w:w="220" w:type="dxa"/>
            <w:vAlign w:val="bottom"/>
            <w:tcBorders>
              <w:bottom w:val="single" w:sz="8" w:color="6D6D6D"/>
            </w:tcBorders>
            <w:shd w:val="clear" w:color="auto" w:fill="CCEEFF"/>
          </w:tcPr>
          <w:p>
            <w:pPr>
              <w:spacing w:after="0"/>
              <w:rPr>
                <w:sz w:val="18"/>
                <w:szCs w:val="18"/>
                <w:color w:val="auto"/>
              </w:rPr>
            </w:pPr>
          </w:p>
        </w:tc>
        <w:tc>
          <w:tcPr>
            <w:tcW w:w="1760" w:type="dxa"/>
            <w:vAlign w:val="bottom"/>
            <w:tcBorders>
              <w:bottom w:val="single" w:sz="8" w:color="6D6D6D"/>
            </w:tcBorders>
            <w:shd w:val="clear" w:color="auto" w:fill="CCEEFF"/>
          </w:tcPr>
          <w:p>
            <w:pPr>
              <w:spacing w:after="0"/>
              <w:rPr>
                <w:sz w:val="18"/>
                <w:szCs w:val="18"/>
                <w:color w:val="auto"/>
              </w:rPr>
            </w:pPr>
          </w:p>
        </w:tc>
        <w:tc>
          <w:tcPr>
            <w:tcW w:w="300" w:type="dxa"/>
            <w:vAlign w:val="bottom"/>
            <w:tcBorders>
              <w:bottom w:val="single" w:sz="8" w:color="6D6D6D"/>
            </w:tcBorders>
            <w:shd w:val="clear" w:color="auto" w:fill="CCEEFF"/>
          </w:tcPr>
          <w:p>
            <w:pPr>
              <w:spacing w:after="0"/>
              <w:rPr>
                <w:sz w:val="18"/>
                <w:szCs w:val="18"/>
                <w:color w:val="auto"/>
              </w:rPr>
            </w:pPr>
          </w:p>
        </w:tc>
        <w:tc>
          <w:tcPr>
            <w:tcW w:w="1740" w:type="dxa"/>
            <w:vAlign w:val="bottom"/>
            <w:tcBorders>
              <w:bottom w:val="single" w:sz="8" w:color="6D6D6D"/>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4B4B4B"/>
              </w:rPr>
              <w:t>TOTAL STOCKHOLDERS’ EQUITY</w:t>
            </w:r>
          </w:p>
        </w:tc>
        <w:tc>
          <w:tcPr>
            <w:tcW w:w="220" w:type="dxa"/>
            <w:vAlign w:val="bottom"/>
            <w:tcBorders>
              <w:bottom w:val="single" w:sz="8" w:color="6D6D6D"/>
            </w:tcBorders>
          </w:tcPr>
          <w:p>
            <w:pPr>
              <w:jc w:val="right"/>
              <w:ind w:right="42"/>
              <w:spacing w:after="0"/>
              <w:rPr>
                <w:sz w:val="20"/>
                <w:szCs w:val="20"/>
                <w:color w:val="auto"/>
              </w:rPr>
            </w:pPr>
            <w:r>
              <w:rPr>
                <w:rFonts w:ascii="Arial" w:cs="Arial" w:eastAsia="Arial" w:hAnsi="Arial"/>
                <w:sz w:val="16"/>
                <w:szCs w:val="16"/>
                <w:color w:val="494949"/>
                <w:w w:val="89"/>
              </w:rPr>
              <w:t>$</w:t>
            </w:r>
          </w:p>
        </w:tc>
        <w:tc>
          <w:tcPr>
            <w:tcW w:w="176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494949"/>
              </w:rPr>
              <w:t>2,129,112</w:t>
            </w:r>
          </w:p>
        </w:tc>
        <w:tc>
          <w:tcPr>
            <w:tcW w:w="300" w:type="dxa"/>
            <w:vAlign w:val="bottom"/>
            <w:tcBorders>
              <w:bottom w:val="single" w:sz="8" w:color="6D6D6D"/>
            </w:tcBorders>
          </w:tcPr>
          <w:p>
            <w:pPr>
              <w:jc w:val="right"/>
              <w:ind w:right="102"/>
              <w:spacing w:after="0"/>
              <w:rPr>
                <w:sz w:val="20"/>
                <w:szCs w:val="20"/>
                <w:color w:val="auto"/>
              </w:rPr>
            </w:pPr>
            <w:r>
              <w:rPr>
                <w:rFonts w:ascii="Arial" w:cs="Arial" w:eastAsia="Arial" w:hAnsi="Arial"/>
                <w:sz w:val="16"/>
                <w:szCs w:val="16"/>
                <w:color w:val="494949"/>
              </w:rPr>
              <w:t>$</w:t>
            </w:r>
          </w:p>
        </w:tc>
        <w:tc>
          <w:tcPr>
            <w:tcW w:w="174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494949"/>
              </w:rPr>
              <w:t>2,186,413</w:t>
            </w:r>
          </w:p>
        </w:tc>
        <w:tc>
          <w:tcPr>
            <w:tcW w:w="0" w:type="dxa"/>
            <w:vAlign w:val="bottom"/>
          </w:tcPr>
          <w:p>
            <w:pPr>
              <w:spacing w:after="0"/>
              <w:rPr>
                <w:sz w:val="1"/>
                <w:szCs w:val="1"/>
                <w:color w:val="auto"/>
              </w:rPr>
            </w:pPr>
          </w:p>
        </w:tc>
      </w:tr>
      <w:tr>
        <w:trPr>
          <w:trHeight w:val="177"/>
        </w:trPr>
        <w:tc>
          <w:tcPr>
            <w:tcW w:w="7200" w:type="dxa"/>
            <w:vAlign w:val="bottom"/>
            <w:shd w:val="clear" w:color="auto" w:fill="CCEEFF"/>
          </w:tcPr>
          <w:p>
            <w:pPr>
              <w:spacing w:after="0"/>
              <w:rPr>
                <w:sz w:val="15"/>
                <w:szCs w:val="15"/>
                <w:color w:val="auto"/>
              </w:rPr>
            </w:pPr>
          </w:p>
        </w:tc>
        <w:tc>
          <w:tcPr>
            <w:tcW w:w="220" w:type="dxa"/>
            <w:vAlign w:val="bottom"/>
            <w:tcBorders>
              <w:bottom w:val="single" w:sz="8" w:color="6D6D6D"/>
            </w:tcBorders>
            <w:shd w:val="clear" w:color="auto" w:fill="CCEEFF"/>
          </w:tcPr>
          <w:p>
            <w:pPr>
              <w:spacing w:after="0"/>
              <w:rPr>
                <w:sz w:val="15"/>
                <w:szCs w:val="15"/>
                <w:color w:val="auto"/>
              </w:rPr>
            </w:pPr>
          </w:p>
        </w:tc>
        <w:tc>
          <w:tcPr>
            <w:tcW w:w="1760" w:type="dxa"/>
            <w:vAlign w:val="bottom"/>
            <w:tcBorders>
              <w:bottom w:val="single" w:sz="8" w:color="6D6D6D"/>
            </w:tcBorders>
            <w:shd w:val="clear" w:color="auto" w:fill="CCEEFF"/>
          </w:tcPr>
          <w:p>
            <w:pPr>
              <w:spacing w:after="0"/>
              <w:rPr>
                <w:sz w:val="15"/>
                <w:szCs w:val="15"/>
                <w:color w:val="auto"/>
              </w:rPr>
            </w:pPr>
          </w:p>
        </w:tc>
        <w:tc>
          <w:tcPr>
            <w:tcW w:w="300" w:type="dxa"/>
            <w:vAlign w:val="bottom"/>
            <w:tcBorders>
              <w:bottom w:val="single" w:sz="8" w:color="6D6D6D"/>
            </w:tcBorders>
            <w:shd w:val="clear" w:color="auto" w:fill="CCEEFF"/>
          </w:tcPr>
          <w:p>
            <w:pPr>
              <w:spacing w:after="0"/>
              <w:rPr>
                <w:sz w:val="15"/>
                <w:szCs w:val="15"/>
                <w:color w:val="auto"/>
              </w:rPr>
            </w:pPr>
          </w:p>
        </w:tc>
        <w:tc>
          <w:tcPr>
            <w:tcW w:w="1740" w:type="dxa"/>
            <w:vAlign w:val="bottom"/>
            <w:tcBorders>
              <w:bottom w:val="single" w:sz="8" w:color="6D6D6D"/>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200" w:type="dxa"/>
            <w:vAlign w:val="bottom"/>
          </w:tcPr>
          <w:p>
            <w:pPr>
              <w:ind w:left="120"/>
              <w:spacing w:after="0"/>
              <w:rPr>
                <w:sz w:val="20"/>
                <w:szCs w:val="20"/>
                <w:color w:val="auto"/>
              </w:rPr>
            </w:pPr>
            <w:r>
              <w:rPr>
                <w:rFonts w:ascii="Arial" w:cs="Arial" w:eastAsia="Arial" w:hAnsi="Arial"/>
                <w:sz w:val="16"/>
                <w:szCs w:val="16"/>
                <w:b w:val="1"/>
                <w:bCs w:val="1"/>
                <w:color w:val="4B4B4B"/>
              </w:rPr>
              <w:t>TOTAL LIABILITIES AND STOCKHOLDERS’ EQUITY</w:t>
            </w:r>
          </w:p>
        </w:tc>
        <w:tc>
          <w:tcPr>
            <w:tcW w:w="220" w:type="dxa"/>
            <w:vAlign w:val="bottom"/>
            <w:tcBorders>
              <w:bottom w:val="single" w:sz="8" w:color="6D6D6D"/>
            </w:tcBorders>
          </w:tcPr>
          <w:p>
            <w:pPr>
              <w:jc w:val="right"/>
              <w:ind w:right="42"/>
              <w:spacing w:after="0"/>
              <w:rPr>
                <w:sz w:val="20"/>
                <w:szCs w:val="20"/>
                <w:color w:val="auto"/>
              </w:rPr>
            </w:pPr>
            <w:r>
              <w:rPr>
                <w:rFonts w:ascii="Arial" w:cs="Arial" w:eastAsia="Arial" w:hAnsi="Arial"/>
                <w:sz w:val="16"/>
                <w:szCs w:val="16"/>
                <w:color w:val="494949"/>
                <w:w w:val="89"/>
              </w:rPr>
              <w:t>$</w:t>
            </w:r>
          </w:p>
        </w:tc>
        <w:tc>
          <w:tcPr>
            <w:tcW w:w="176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494949"/>
              </w:rPr>
              <w:t>4,219,830</w:t>
            </w:r>
          </w:p>
        </w:tc>
        <w:tc>
          <w:tcPr>
            <w:tcW w:w="300" w:type="dxa"/>
            <w:vAlign w:val="bottom"/>
            <w:tcBorders>
              <w:bottom w:val="single" w:sz="8" w:color="6D6D6D"/>
            </w:tcBorders>
          </w:tcPr>
          <w:p>
            <w:pPr>
              <w:jc w:val="right"/>
              <w:ind w:right="102"/>
              <w:spacing w:after="0"/>
              <w:rPr>
                <w:sz w:val="20"/>
                <w:szCs w:val="20"/>
                <w:color w:val="auto"/>
              </w:rPr>
            </w:pPr>
            <w:r>
              <w:rPr>
                <w:rFonts w:ascii="Arial" w:cs="Arial" w:eastAsia="Arial" w:hAnsi="Arial"/>
                <w:sz w:val="16"/>
                <w:szCs w:val="16"/>
                <w:color w:val="494949"/>
              </w:rPr>
              <w:t>$</w:t>
            </w:r>
          </w:p>
        </w:tc>
        <w:tc>
          <w:tcPr>
            <w:tcW w:w="174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494949"/>
              </w:rPr>
              <w:t>4,304,272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6D6D6D"/>
            </w:tcBorders>
          </w:tcPr>
          <w:p>
            <w:pPr>
              <w:spacing w:after="0" w:line="20" w:lineRule="exact"/>
              <w:rPr>
                <w:sz w:val="1"/>
                <w:szCs w:val="1"/>
                <w:color w:val="auto"/>
              </w:rPr>
            </w:pPr>
          </w:p>
        </w:tc>
        <w:tc>
          <w:tcPr>
            <w:tcW w:w="1760" w:type="dxa"/>
            <w:vAlign w:val="bottom"/>
            <w:tcBorders>
              <w:bottom w:val="single" w:sz="8" w:color="6D6D6D"/>
            </w:tcBorders>
          </w:tcPr>
          <w:p>
            <w:pPr>
              <w:spacing w:after="0" w:line="20" w:lineRule="exact"/>
              <w:rPr>
                <w:sz w:val="1"/>
                <w:szCs w:val="1"/>
                <w:color w:val="auto"/>
              </w:rPr>
            </w:pPr>
          </w:p>
        </w:tc>
        <w:tc>
          <w:tcPr>
            <w:tcW w:w="300" w:type="dxa"/>
            <w:vAlign w:val="bottom"/>
            <w:tcBorders>
              <w:bottom w:val="single" w:sz="8" w:color="6D6D6D"/>
            </w:tcBorders>
          </w:tcPr>
          <w:p>
            <w:pPr>
              <w:spacing w:after="0" w:line="20" w:lineRule="exact"/>
              <w:rPr>
                <w:sz w:val="1"/>
                <w:szCs w:val="1"/>
                <w:color w:val="auto"/>
              </w:rPr>
            </w:pPr>
          </w:p>
        </w:tc>
        <w:tc>
          <w:tcPr>
            <w:tcW w:w="174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7</w:t>
      </w:r>
    </w:p>
    <w:p>
      <w:pPr>
        <w:sectPr>
          <w:pgSz w:w="11900" w:h="16838" w:orient="portrait"/>
          <w:cols w:equalWidth="0" w:num="1">
            <w:col w:w="11240"/>
          </w:cols>
          <w:pgMar w:left="320" w:top="143"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004988"/>
        </w:rPr>
        <w:t>Consolidated Statements of Cash Flows (Unaudited)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3"/>
          </w:tcPr>
          <w:p>
            <w:pPr>
              <w:jc w:val="right"/>
              <w:ind w:right="742"/>
              <w:spacing w:after="0"/>
              <w:rPr>
                <w:sz w:val="20"/>
                <w:szCs w:val="20"/>
                <w:color w:val="auto"/>
              </w:rPr>
            </w:pPr>
            <w:r>
              <w:rPr>
                <w:rFonts w:ascii="Arial" w:cs="Arial" w:eastAsia="Arial" w:hAnsi="Arial"/>
                <w:sz w:val="16"/>
                <w:szCs w:val="16"/>
                <w:color w:val="494949"/>
              </w:rPr>
              <w:t>Six Months Ended</w:t>
            </w:r>
          </w:p>
        </w:tc>
      </w:tr>
      <w:tr>
        <w:trPr>
          <w:trHeight w:val="209"/>
        </w:trPr>
        <w:tc>
          <w:tcPr>
            <w:tcW w:w="8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494949"/>
              </w:rPr>
              <w:t>February 28,</w:t>
            </w:r>
          </w:p>
        </w:tc>
        <w:tc>
          <w:tcPr>
            <w:tcW w:w="960" w:type="dxa"/>
            <w:vAlign w:val="bottom"/>
          </w:tcPr>
          <w:p>
            <w:pPr>
              <w:spacing w:after="0"/>
              <w:rPr>
                <w:sz w:val="18"/>
                <w:szCs w:val="18"/>
                <w:color w:val="auto"/>
              </w:rPr>
            </w:pPr>
          </w:p>
        </w:tc>
      </w:tr>
      <w:tr>
        <w:trPr>
          <w:trHeight w:val="21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B4B4B"/>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494949"/>
              </w:rPr>
              <w:t>2026</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494949"/>
              </w:rPr>
              <w:t>2025</w:t>
            </w: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4B4B4B"/>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4B4B4B"/>
              </w:rPr>
              <w:t>Net income</w:t>
            </w:r>
          </w:p>
        </w:tc>
        <w:tc>
          <w:tcPr>
            <w:tcW w:w="320" w:type="dxa"/>
            <w:vAlign w:val="bottom"/>
          </w:tcPr>
          <w:p>
            <w:pPr>
              <w:jc w:val="right"/>
              <w:ind w:right="142"/>
              <w:spacing w:after="0"/>
              <w:rPr>
                <w:sz w:val="20"/>
                <w:szCs w:val="20"/>
                <w:color w:val="auto"/>
              </w:rPr>
            </w:pPr>
            <w:r>
              <w:rPr>
                <w:rFonts w:ascii="Arial" w:cs="Arial" w:eastAsia="Arial" w:hAnsi="Arial"/>
                <w:sz w:val="16"/>
                <w:szCs w:val="16"/>
                <w:color w:val="494949"/>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494949"/>
              </w:rPr>
              <w:t>285,636</w:t>
            </w:r>
          </w:p>
        </w:tc>
        <w:tc>
          <w:tcPr>
            <w:tcW w:w="500" w:type="dxa"/>
            <w:vAlign w:val="bottom"/>
          </w:tcPr>
          <w:p>
            <w:pPr>
              <w:jc w:val="right"/>
              <w:ind w:right="302"/>
              <w:spacing w:after="0"/>
              <w:rPr>
                <w:sz w:val="20"/>
                <w:szCs w:val="20"/>
                <w:color w:val="auto"/>
              </w:rPr>
            </w:pPr>
            <w:r>
              <w:rPr>
                <w:rFonts w:ascii="Arial" w:cs="Arial" w:eastAsia="Arial" w:hAnsi="Arial"/>
                <w:sz w:val="16"/>
                <w:szCs w:val="16"/>
                <w:color w:val="49494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494949"/>
              </w:rPr>
              <w:t>294,882</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8360" w:type="dxa"/>
            <w:vAlign w:val="bottom"/>
          </w:tcPr>
          <w:p>
            <w:pPr>
              <w:ind w:left="120"/>
              <w:spacing w:after="0"/>
              <w:rPr>
                <w:sz w:val="20"/>
                <w:szCs w:val="20"/>
                <w:color w:val="auto"/>
              </w:rPr>
            </w:pPr>
            <w:r>
              <w:rPr>
                <w:rFonts w:ascii="Arial" w:cs="Arial" w:eastAsia="Arial" w:hAnsi="Arial"/>
                <w:sz w:val="16"/>
                <w:szCs w:val="16"/>
                <w:color w:val="4B4B4B"/>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87,838</w:t>
            </w:r>
          </w:p>
        </w:tc>
        <w:tc>
          <w:tcPr>
            <w:tcW w:w="5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494949"/>
              </w:rPr>
              <w:t>74,127</w:t>
            </w:r>
          </w:p>
        </w:tc>
      </w:tr>
      <w:tr>
        <w:trPr>
          <w:trHeight w:val="21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Amortization of lease right-of-use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16,185</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15,177</w:t>
            </w:r>
          </w:p>
        </w:tc>
      </w:tr>
      <w:tr>
        <w:trPr>
          <w:trHeight w:val="208"/>
        </w:trPr>
        <w:tc>
          <w:tcPr>
            <w:tcW w:w="8360" w:type="dxa"/>
            <w:vAlign w:val="bottom"/>
          </w:tcPr>
          <w:p>
            <w:pPr>
              <w:ind w:left="120"/>
              <w:spacing w:after="0"/>
              <w:rPr>
                <w:sz w:val="20"/>
                <w:szCs w:val="20"/>
                <w:color w:val="auto"/>
              </w:rPr>
            </w:pPr>
            <w:r>
              <w:rPr>
                <w:rFonts w:ascii="Arial" w:cs="Arial" w:eastAsia="Arial" w:hAnsi="Arial"/>
                <w:sz w:val="16"/>
                <w:szCs w:val="16"/>
                <w:color w:val="4B4B4B"/>
              </w:rPr>
              <w:t>Stock-based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39,324</w:t>
            </w:r>
          </w:p>
        </w:tc>
        <w:tc>
          <w:tcPr>
            <w:tcW w:w="5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494949"/>
              </w:rPr>
              <w:t>30,139</w:t>
            </w:r>
          </w:p>
        </w:tc>
      </w:tr>
      <w:tr>
        <w:trPr>
          <w:trHeight w:val="21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2,381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8,763</w:t>
            </w:r>
          </w:p>
        </w:tc>
      </w:tr>
      <w:tr>
        <w:trPr>
          <w:trHeight w:val="208"/>
        </w:trPr>
        <w:tc>
          <w:tcPr>
            <w:tcW w:w="8360" w:type="dxa"/>
            <w:vAlign w:val="bottom"/>
          </w:tcPr>
          <w:p>
            <w:pPr>
              <w:ind w:left="120"/>
              <w:spacing w:after="0"/>
              <w:rPr>
                <w:sz w:val="20"/>
                <w:szCs w:val="20"/>
                <w:color w:val="auto"/>
              </w:rPr>
            </w:pPr>
            <w:r>
              <w:rPr>
                <w:rFonts w:ascii="Arial" w:cs="Arial" w:eastAsia="Arial" w:hAnsi="Arial"/>
                <w:sz w:val="16"/>
                <w:szCs w:val="16"/>
                <w:color w:val="4B4B4B"/>
              </w:rPr>
              <w:t>Other,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8,389</w:t>
            </w:r>
          </w:p>
        </w:tc>
        <w:tc>
          <w:tcPr>
            <w:tcW w:w="5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494949"/>
              </w:rPr>
              <w:t>3,268</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Changes in assets and liabilities, net of effects of acquisitions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8360" w:type="dxa"/>
            <w:vAlign w:val="bottom"/>
          </w:tcPr>
          <w:p>
            <w:pPr>
              <w:ind w:left="120"/>
              <w:spacing w:after="0"/>
              <w:rPr>
                <w:sz w:val="20"/>
                <w:szCs w:val="20"/>
                <w:color w:val="auto"/>
              </w:rPr>
            </w:pPr>
            <w:r>
              <w:rPr>
                <w:rFonts w:ascii="Arial" w:cs="Arial" w:eastAsia="Arial" w:hAnsi="Arial"/>
                <w:sz w:val="16"/>
                <w:szCs w:val="16"/>
                <w:color w:val="4B4B4B"/>
              </w:rPr>
              <w:t>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(51,015)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494949"/>
              </w:rPr>
              <w:t>(46,225)</w:t>
            </w:r>
          </w:p>
        </w:tc>
      </w:tr>
      <w:tr>
        <w:trPr>
          <w:trHeight w:val="21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Prepaid expenses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(18,997)</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(3,889)</w:t>
            </w:r>
          </w:p>
        </w:tc>
      </w:tr>
      <w:tr>
        <w:trPr>
          <w:trHeight w:val="208"/>
        </w:trPr>
        <w:tc>
          <w:tcPr>
            <w:tcW w:w="8360" w:type="dxa"/>
            <w:vAlign w:val="bottom"/>
          </w:tcPr>
          <w:p>
            <w:pPr>
              <w:ind w:left="120"/>
              <w:spacing w:after="0"/>
              <w:rPr>
                <w:sz w:val="20"/>
                <w:szCs w:val="20"/>
                <w:color w:val="auto"/>
              </w:rPr>
            </w:pPr>
            <w:r>
              <w:rPr>
                <w:rFonts w:ascii="Arial" w:cs="Arial" w:eastAsia="Arial" w:hAnsi="Arial"/>
                <w:sz w:val="16"/>
                <w:szCs w:val="16"/>
                <w:color w:val="4B4B4B"/>
              </w:rPr>
              <w:t>Accounts payable and accrued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11,948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494949"/>
              </w:rPr>
              <w:t>(61,915)</w:t>
            </w:r>
          </w:p>
        </w:tc>
      </w:tr>
      <w:tr>
        <w:trPr>
          <w:trHeight w:val="21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Accrued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(42,241)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(21,470)</w:t>
            </w:r>
          </w:p>
        </w:tc>
      </w:tr>
      <w:tr>
        <w:trPr>
          <w:trHeight w:val="208"/>
        </w:trPr>
        <w:tc>
          <w:tcPr>
            <w:tcW w:w="8360" w:type="dxa"/>
            <w:vAlign w:val="bottom"/>
          </w:tcPr>
          <w:p>
            <w:pPr>
              <w:ind w:left="120"/>
              <w:spacing w:after="0"/>
              <w:rPr>
                <w:sz w:val="20"/>
                <w:szCs w:val="20"/>
                <w:color w:val="auto"/>
              </w:rPr>
            </w:pPr>
            <w:r>
              <w:rPr>
                <w:rFonts w:ascii="Arial" w:cs="Arial" w:eastAsia="Arial" w:hAnsi="Arial"/>
                <w:sz w:val="16"/>
                <w:szCs w:val="16"/>
                <w:color w:val="4B4B4B"/>
              </w:rPr>
              <w:t>Deferred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20,222</w:t>
            </w:r>
          </w:p>
        </w:tc>
        <w:tc>
          <w:tcPr>
            <w:tcW w:w="5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494949"/>
              </w:rPr>
              <w:t>11,934</w:t>
            </w:r>
          </w:p>
        </w:tc>
      </w:tr>
      <w:tr>
        <w:trPr>
          <w:trHeight w:val="21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4B4B4B"/>
              </w:rPr>
              <w:t>Taxes payable, net of prepaid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(6,101)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(24,810)</w:t>
            </w:r>
          </w:p>
        </w:tc>
      </w:tr>
      <w:tr>
        <w:trPr>
          <w:trHeight w:val="208"/>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4B4B4B"/>
              </w:rPr>
              <w:t>Lease liabilities,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(20,597)</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(19,654)</w:t>
            </w:r>
          </w:p>
        </w:tc>
      </w:tr>
      <w:tr>
        <w:trPr>
          <w:trHeight w:val="202"/>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4B4B4B"/>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332,972</w:t>
            </w: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494949"/>
              </w:rPr>
              <w:t>260,327</w:t>
            </w:r>
          </w:p>
        </w:tc>
      </w:tr>
      <w:tr>
        <w:trPr>
          <w:trHeight w:val="216"/>
        </w:trPr>
        <w:tc>
          <w:tcPr>
            <w:tcW w:w="8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4B4B4B"/>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8"/>
        </w:trPr>
        <w:tc>
          <w:tcPr>
            <w:tcW w:w="8360" w:type="dxa"/>
            <w:vAlign w:val="bottom"/>
          </w:tcPr>
          <w:p>
            <w:pPr>
              <w:ind w:left="20"/>
              <w:spacing w:after="0"/>
              <w:rPr>
                <w:sz w:val="20"/>
                <w:szCs w:val="20"/>
                <w:color w:val="auto"/>
              </w:rPr>
            </w:pPr>
            <w:r>
              <w:rPr>
                <w:rFonts w:ascii="Arial" w:cs="Arial" w:eastAsia="Arial" w:hAnsi="Arial"/>
                <w:sz w:val="16"/>
                <w:szCs w:val="16"/>
                <w:color w:val="4B4B4B"/>
              </w:rPr>
              <w:t>Purchases of property, equipment, leasehold improvements and capitalized internal-use software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(56,844)</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494949"/>
              </w:rPr>
              <w:t>(49,610)</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Acquisition of businesses, net of cash and cash equivalents acquired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(342,461)</w:t>
            </w: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4B4B4B"/>
              </w:rPr>
              <w:t>Purchases of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(1,104)</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494949"/>
              </w:rPr>
              <w:t>(4,208)</w:t>
            </w:r>
          </w:p>
        </w:tc>
      </w:tr>
      <w:tr>
        <w:trPr>
          <w:trHeight w:val="23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Proceeds from maturity or sale of investments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36,050</w:t>
            </w: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494949"/>
              </w:rPr>
              <w:t>58,155</w:t>
            </w:r>
          </w:p>
        </w:tc>
      </w:tr>
      <w:tr>
        <w:trPr>
          <w:trHeight w:val="201"/>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4B4B4B"/>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(21,898)</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(338,124)</w:t>
            </w:r>
          </w:p>
        </w:tc>
      </w:tr>
      <w:tr>
        <w:trPr>
          <w:trHeight w:val="86"/>
        </w:trPr>
        <w:tc>
          <w:tcPr>
            <w:tcW w:w="8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209"/>
        </w:trPr>
        <w:tc>
          <w:tcPr>
            <w:tcW w:w="8360" w:type="dxa"/>
            <w:vAlign w:val="bottom"/>
          </w:tcPr>
          <w:p>
            <w:pPr>
              <w:ind w:left="20"/>
              <w:spacing w:after="0"/>
              <w:rPr>
                <w:sz w:val="20"/>
                <w:szCs w:val="20"/>
                <w:color w:val="auto"/>
              </w:rPr>
            </w:pPr>
            <w:r>
              <w:rPr>
                <w:rFonts w:ascii="Arial" w:cs="Arial" w:eastAsia="Arial" w:hAnsi="Arial"/>
                <w:sz w:val="16"/>
                <w:szCs w:val="16"/>
                <w:b w:val="1"/>
                <w:bCs w:val="1"/>
                <w:color w:val="4B4B4B"/>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Proceeds from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305,000</w:t>
            </w: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4B4B4B"/>
              </w:rPr>
              <w:t>Repayments of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494949"/>
              </w:rPr>
              <w:t>(200,000)</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Dividend payments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(82,379)</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(78,817)</w:t>
            </w: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4B4B4B"/>
              </w:rPr>
              <w:t>Proceeds from employee stock plans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16,663</w:t>
            </w:r>
          </w:p>
        </w:tc>
        <w:tc>
          <w:tcPr>
            <w:tcW w:w="5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494949"/>
              </w:rPr>
              <w:t>60,344</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Repurchases of common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(302,930)</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(113,142)</w:t>
            </w: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4B4B4B"/>
              </w:rPr>
              <w:t>Deferred acquisition consideration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94949"/>
              </w:rPr>
              <w:t>(12,052)</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494949"/>
              </w:rPr>
              <w:t>(4,699)</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Other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(5,958)</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(14,228)</w:t>
            </w:r>
          </w:p>
        </w:tc>
      </w:tr>
      <w:tr>
        <w:trPr>
          <w:trHeight w:val="201"/>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4B4B4B"/>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(386,656)</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(45,542)</w:t>
            </w:r>
          </w:p>
        </w:tc>
      </w:tr>
      <w:tr>
        <w:trPr>
          <w:trHeight w:val="216"/>
        </w:trPr>
        <w:tc>
          <w:tcPr>
            <w:tcW w:w="8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B4B4B"/>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1,299</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(8,048)</w:t>
            </w: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(74,283)</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(131,387)</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B4B4B"/>
              </w:rPr>
              <w:t>Cash, cash equivalents and restricted cash at beginning of period</w:t>
            </w:r>
          </w:p>
        </w:tc>
        <w:tc>
          <w:tcPr>
            <w:tcW w:w="320" w:type="dxa"/>
            <w:vAlign w:val="bottom"/>
            <w:tcBorders>
              <w:bottom w:val="single" w:sz="8" w:color="6D6D6D"/>
            </w:tcBorders>
          </w:tcPr>
          <w:p>
            <w:pPr>
              <w:spacing w:after="0"/>
              <w:rPr>
                <w:sz w:val="18"/>
                <w:szCs w:val="18"/>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494949"/>
              </w:rPr>
              <w:t>351,695</w:t>
            </w:r>
          </w:p>
        </w:tc>
        <w:tc>
          <w:tcPr>
            <w:tcW w:w="500" w:type="dxa"/>
            <w:vAlign w:val="bottom"/>
            <w:tcBorders>
              <w:bottom w:val="single" w:sz="8" w:color="6D6D6D"/>
            </w:tcBorders>
          </w:tcPr>
          <w:p>
            <w:pPr>
              <w:spacing w:after="0"/>
              <w:rPr>
                <w:sz w:val="18"/>
                <w:szCs w:val="18"/>
                <w:color w:val="auto"/>
              </w:rPr>
            </w:pPr>
          </w:p>
        </w:tc>
        <w:tc>
          <w:tcPr>
            <w:tcW w:w="96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494949"/>
              </w:rPr>
              <w:t>422,979</w:t>
            </w:r>
          </w:p>
        </w:tc>
      </w:tr>
      <w:tr>
        <w:trPr>
          <w:trHeight w:val="227"/>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4B4B4B"/>
              </w:rPr>
              <w:t>Cash, cash equivalents and restricted cash at end of period</w:t>
            </w:r>
          </w:p>
        </w:tc>
        <w:tc>
          <w:tcPr>
            <w:tcW w:w="320" w:type="dxa"/>
            <w:vAlign w:val="bottom"/>
            <w:tcBorders>
              <w:bottom w:val="single" w:sz="8" w:color="6D6D6D"/>
            </w:tcBorders>
            <w:shd w:val="clear" w:color="auto" w:fill="CCEEFF"/>
          </w:tcPr>
          <w:p>
            <w:pPr>
              <w:jc w:val="right"/>
              <w:ind w:right="142"/>
              <w:spacing w:after="0"/>
              <w:rPr>
                <w:sz w:val="20"/>
                <w:szCs w:val="20"/>
                <w:color w:val="auto"/>
              </w:rPr>
            </w:pPr>
            <w:r>
              <w:rPr>
                <w:rFonts w:ascii="Arial" w:cs="Arial" w:eastAsia="Arial" w:hAnsi="Arial"/>
                <w:sz w:val="16"/>
                <w:szCs w:val="16"/>
                <w:color w:val="494949"/>
                <w:w w:val="89"/>
              </w:rPr>
              <w:t>$</w:t>
            </w:r>
          </w:p>
        </w:tc>
        <w:tc>
          <w:tcPr>
            <w:tcW w:w="110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494949"/>
              </w:rPr>
              <w:t>277,412</w:t>
            </w:r>
          </w:p>
        </w:tc>
        <w:tc>
          <w:tcPr>
            <w:tcW w:w="500" w:type="dxa"/>
            <w:vAlign w:val="bottom"/>
            <w:tcBorders>
              <w:bottom w:val="single" w:sz="8" w:color="6D6D6D"/>
            </w:tcBorders>
            <w:shd w:val="clear" w:color="auto" w:fill="CCEEFF"/>
          </w:tcPr>
          <w:p>
            <w:pPr>
              <w:jc w:val="right"/>
              <w:ind w:right="302"/>
              <w:spacing w:after="0"/>
              <w:rPr>
                <w:sz w:val="20"/>
                <w:szCs w:val="20"/>
                <w:color w:val="auto"/>
              </w:rPr>
            </w:pPr>
            <w:r>
              <w:rPr>
                <w:rFonts w:ascii="Arial" w:cs="Arial" w:eastAsia="Arial" w:hAnsi="Arial"/>
                <w:sz w:val="16"/>
                <w:szCs w:val="16"/>
                <w:color w:val="494949"/>
              </w:rPr>
              <w:t>$</w:t>
            </w:r>
          </w:p>
        </w:tc>
        <w:tc>
          <w:tcPr>
            <w:tcW w:w="96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494949"/>
              </w:rPr>
              <w:t>291,592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6D6D6D"/>
            </w:tcBorders>
          </w:tcPr>
          <w:p>
            <w:pPr>
              <w:spacing w:after="0" w:line="20" w:lineRule="exact"/>
              <w:rPr>
                <w:sz w:val="1"/>
                <w:szCs w:val="1"/>
                <w:color w:val="auto"/>
              </w:rPr>
            </w:pPr>
          </w:p>
        </w:tc>
        <w:tc>
          <w:tcPr>
            <w:tcW w:w="1100" w:type="dxa"/>
            <w:vAlign w:val="bottom"/>
            <w:tcBorders>
              <w:top w:val="single" w:sz="8" w:color="CCEEFF"/>
              <w:bottom w:val="single" w:sz="8" w:color="6D6D6D"/>
            </w:tcBorders>
          </w:tcPr>
          <w:p>
            <w:pPr>
              <w:spacing w:after="0" w:line="20" w:lineRule="exact"/>
              <w:rPr>
                <w:sz w:val="1"/>
                <w:szCs w:val="1"/>
                <w:color w:val="auto"/>
              </w:rPr>
            </w:pPr>
          </w:p>
        </w:tc>
        <w:tc>
          <w:tcPr>
            <w:tcW w:w="500" w:type="dxa"/>
            <w:vAlign w:val="bottom"/>
            <w:tcBorders>
              <w:top w:val="single" w:sz="8" w:color="CCEEFF"/>
              <w:bottom w:val="single" w:sz="8" w:color="6D6D6D"/>
            </w:tcBorders>
          </w:tcPr>
          <w:p>
            <w:pPr>
              <w:spacing w:after="0" w:line="20" w:lineRule="exact"/>
              <w:rPr>
                <w:sz w:val="1"/>
                <w:szCs w:val="1"/>
                <w:color w:val="auto"/>
              </w:rPr>
            </w:pPr>
          </w:p>
        </w:tc>
        <w:tc>
          <w:tcPr>
            <w:tcW w:w="960" w:type="dxa"/>
            <w:vAlign w:val="bottom"/>
            <w:tcBorders>
              <w:top w:val="single" w:sz="8" w:color="CCEEFF"/>
              <w:bottom w:val="single" w:sz="8" w:color="6D6D6D"/>
            </w:tcBorders>
          </w:tcPr>
          <w:p>
            <w:pPr>
              <w:spacing w:after="0" w:line="20" w:lineRule="exact"/>
              <w:rPr>
                <w:sz w:val="1"/>
                <w:szCs w:val="1"/>
                <w:color w:val="auto"/>
              </w:rPr>
            </w:pPr>
          </w:p>
        </w:tc>
      </w:tr>
      <w:tr>
        <w:trPr>
          <w:trHeight w:val="52"/>
        </w:trPr>
        <w:tc>
          <w:tcPr>
            <w:tcW w:w="8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4B4B4B"/>
              </w:rPr>
              <w:t>Reconciliation of total cash, cash equivalents and restricted cash:</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4B4B4B"/>
              </w:rPr>
              <w:t>Cash and cash equivalents</w:t>
            </w:r>
          </w:p>
        </w:tc>
        <w:tc>
          <w:tcPr>
            <w:tcW w:w="320" w:type="dxa"/>
            <w:vAlign w:val="bottom"/>
          </w:tcPr>
          <w:p>
            <w:pPr>
              <w:jc w:val="right"/>
              <w:ind w:right="142"/>
              <w:spacing w:after="0"/>
              <w:rPr>
                <w:sz w:val="20"/>
                <w:szCs w:val="20"/>
                <w:color w:val="auto"/>
              </w:rPr>
            </w:pPr>
            <w:r>
              <w:rPr>
                <w:rFonts w:ascii="Arial" w:cs="Arial" w:eastAsia="Arial" w:hAnsi="Arial"/>
                <w:sz w:val="16"/>
                <w:szCs w:val="16"/>
                <w:color w:val="494949"/>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494949"/>
              </w:rPr>
              <w:t>268,338</w:t>
            </w:r>
          </w:p>
        </w:tc>
        <w:tc>
          <w:tcPr>
            <w:tcW w:w="500" w:type="dxa"/>
            <w:vAlign w:val="bottom"/>
          </w:tcPr>
          <w:p>
            <w:pPr>
              <w:jc w:val="right"/>
              <w:ind w:right="302"/>
              <w:spacing w:after="0"/>
              <w:rPr>
                <w:sz w:val="20"/>
                <w:szCs w:val="20"/>
                <w:color w:val="auto"/>
              </w:rPr>
            </w:pPr>
            <w:r>
              <w:rPr>
                <w:rFonts w:ascii="Arial" w:cs="Arial" w:eastAsia="Arial" w:hAnsi="Arial"/>
                <w:sz w:val="16"/>
                <w:szCs w:val="16"/>
                <w:color w:val="49494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494949"/>
              </w:rPr>
              <w:t>278,548</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Restricted cash included in Prepaid expenses and other 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3,202</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94949"/>
              </w:rPr>
              <w:t>6,522</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B4B4B"/>
              </w:rPr>
              <w:t>Restricted cash included in Other assets</w:t>
            </w:r>
          </w:p>
        </w:tc>
        <w:tc>
          <w:tcPr>
            <w:tcW w:w="320" w:type="dxa"/>
            <w:vAlign w:val="bottom"/>
            <w:tcBorders>
              <w:bottom w:val="single" w:sz="8" w:color="6D6D6D"/>
            </w:tcBorders>
          </w:tcPr>
          <w:p>
            <w:pPr>
              <w:spacing w:after="0"/>
              <w:rPr>
                <w:sz w:val="18"/>
                <w:szCs w:val="18"/>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494949"/>
              </w:rPr>
              <w:t>5,872</w:t>
            </w:r>
          </w:p>
        </w:tc>
        <w:tc>
          <w:tcPr>
            <w:tcW w:w="500" w:type="dxa"/>
            <w:vAlign w:val="bottom"/>
            <w:tcBorders>
              <w:bottom w:val="single" w:sz="8" w:color="6D6D6D"/>
            </w:tcBorders>
          </w:tcPr>
          <w:p>
            <w:pPr>
              <w:spacing w:after="0"/>
              <w:rPr>
                <w:sz w:val="18"/>
                <w:szCs w:val="18"/>
                <w:color w:val="auto"/>
              </w:rPr>
            </w:pPr>
          </w:p>
        </w:tc>
        <w:tc>
          <w:tcPr>
            <w:tcW w:w="96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494949"/>
              </w:rPr>
              <w:t>6,522</w:t>
            </w:r>
          </w:p>
        </w:tc>
      </w:tr>
      <w:tr>
        <w:trPr>
          <w:trHeight w:val="227"/>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4B4B4B"/>
              </w:rPr>
              <w:t>Total cash, cash equivalents and restricted cash</w:t>
            </w:r>
          </w:p>
        </w:tc>
        <w:tc>
          <w:tcPr>
            <w:tcW w:w="320" w:type="dxa"/>
            <w:vAlign w:val="bottom"/>
            <w:tcBorders>
              <w:bottom w:val="single" w:sz="8" w:color="6D6D6D"/>
            </w:tcBorders>
            <w:shd w:val="clear" w:color="auto" w:fill="CCEEFF"/>
          </w:tcPr>
          <w:p>
            <w:pPr>
              <w:jc w:val="right"/>
              <w:ind w:right="142"/>
              <w:spacing w:after="0"/>
              <w:rPr>
                <w:sz w:val="20"/>
                <w:szCs w:val="20"/>
                <w:color w:val="auto"/>
              </w:rPr>
            </w:pPr>
            <w:r>
              <w:rPr>
                <w:rFonts w:ascii="Arial" w:cs="Arial" w:eastAsia="Arial" w:hAnsi="Arial"/>
                <w:sz w:val="16"/>
                <w:szCs w:val="16"/>
                <w:color w:val="494949"/>
                <w:w w:val="89"/>
              </w:rPr>
              <w:t>$</w:t>
            </w:r>
          </w:p>
        </w:tc>
        <w:tc>
          <w:tcPr>
            <w:tcW w:w="110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494949"/>
              </w:rPr>
              <w:t>277,412</w:t>
            </w:r>
          </w:p>
        </w:tc>
        <w:tc>
          <w:tcPr>
            <w:tcW w:w="500" w:type="dxa"/>
            <w:vAlign w:val="bottom"/>
            <w:tcBorders>
              <w:bottom w:val="single" w:sz="8" w:color="6D6D6D"/>
            </w:tcBorders>
            <w:shd w:val="clear" w:color="auto" w:fill="CCEEFF"/>
          </w:tcPr>
          <w:p>
            <w:pPr>
              <w:jc w:val="right"/>
              <w:ind w:right="302"/>
              <w:spacing w:after="0"/>
              <w:rPr>
                <w:sz w:val="20"/>
                <w:szCs w:val="20"/>
                <w:color w:val="auto"/>
              </w:rPr>
            </w:pPr>
            <w:r>
              <w:rPr>
                <w:rFonts w:ascii="Arial" w:cs="Arial" w:eastAsia="Arial" w:hAnsi="Arial"/>
                <w:sz w:val="16"/>
                <w:szCs w:val="16"/>
                <w:color w:val="494949"/>
              </w:rPr>
              <w:t>$</w:t>
            </w:r>
          </w:p>
        </w:tc>
        <w:tc>
          <w:tcPr>
            <w:tcW w:w="96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494949"/>
              </w:rPr>
              <w:t>291,592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6D6D6D"/>
            </w:tcBorders>
          </w:tcPr>
          <w:p>
            <w:pPr>
              <w:spacing w:after="0" w:line="20" w:lineRule="exact"/>
              <w:rPr>
                <w:sz w:val="1"/>
                <w:szCs w:val="1"/>
                <w:color w:val="auto"/>
              </w:rPr>
            </w:pPr>
          </w:p>
        </w:tc>
        <w:tc>
          <w:tcPr>
            <w:tcW w:w="1100" w:type="dxa"/>
            <w:vAlign w:val="bottom"/>
            <w:tcBorders>
              <w:top w:val="single" w:sz="8" w:color="CCEEFF"/>
              <w:bottom w:val="single" w:sz="8" w:color="6D6D6D"/>
            </w:tcBorders>
          </w:tcPr>
          <w:p>
            <w:pPr>
              <w:spacing w:after="0" w:line="20" w:lineRule="exact"/>
              <w:rPr>
                <w:sz w:val="1"/>
                <w:szCs w:val="1"/>
                <w:color w:val="auto"/>
              </w:rPr>
            </w:pPr>
          </w:p>
        </w:tc>
        <w:tc>
          <w:tcPr>
            <w:tcW w:w="500" w:type="dxa"/>
            <w:vAlign w:val="bottom"/>
            <w:tcBorders>
              <w:top w:val="single" w:sz="8" w:color="CCEEFF"/>
              <w:bottom w:val="single" w:sz="8" w:color="6D6D6D"/>
            </w:tcBorders>
          </w:tcPr>
          <w:p>
            <w:pPr>
              <w:spacing w:after="0" w:line="20" w:lineRule="exact"/>
              <w:rPr>
                <w:sz w:val="1"/>
                <w:szCs w:val="1"/>
                <w:color w:val="auto"/>
              </w:rPr>
            </w:pPr>
          </w:p>
        </w:tc>
        <w:tc>
          <w:tcPr>
            <w:tcW w:w="960" w:type="dxa"/>
            <w:vAlign w:val="bottom"/>
            <w:tcBorders>
              <w:top w:val="single" w:sz="8" w:color="CCEEFF"/>
              <w:bottom w:val="single" w:sz="8" w:color="6D6D6D"/>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Certain prior year figures have been conformed to the current year's presentation.</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8</w:t>
      </w:r>
    </w:p>
    <w:p>
      <w:pPr>
        <w:sectPr>
          <w:pgSz w:w="11900" w:h="16838" w:orient="portrait"/>
          <w:cols w:equalWidth="0" w:num="1">
            <w:col w:w="11240"/>
          </w:cols>
          <w:pgMar w:left="320" w:top="143"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004988"/>
        </w:rPr>
        <w:t>Reconciliation of U.S. GAAP Results to Adjusted Financial Measures</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6A6A6"/>
        </w:rPr>
        <w:t>Organic Revenues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Organic revenues exclude the current year impact of revenues from acquisitions and dispositions completed within the past 12 months and the current year impact from changes in foreign currency. The table below provides a reconciliation of revenues to organic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ind w:left="20"/>
              <w:spacing w:after="0"/>
              <w:rPr>
                <w:sz w:val="20"/>
                <w:szCs w:val="20"/>
                <w:color w:val="auto"/>
              </w:rPr>
            </w:pPr>
            <w:r>
              <w:rPr>
                <w:rFonts w:ascii="Arial" w:cs="Arial" w:eastAsia="Arial" w:hAnsi="Arial"/>
                <w:sz w:val="16"/>
                <w:szCs w:val="16"/>
                <w:i w:val="1"/>
                <w:iCs w:val="1"/>
                <w:color w:val="494949"/>
              </w:rPr>
              <w:t>(Unaudited)</w:t>
            </w:r>
          </w:p>
        </w:tc>
        <w:tc>
          <w:tcPr>
            <w:tcW w:w="280" w:type="dxa"/>
            <w:vAlign w:val="bottom"/>
          </w:tcPr>
          <w:p>
            <w:pPr>
              <w:spacing w:after="0"/>
              <w:rPr>
                <w:sz w:val="17"/>
                <w:szCs w:val="17"/>
                <w:color w:val="auto"/>
              </w:rPr>
            </w:pPr>
          </w:p>
        </w:tc>
        <w:tc>
          <w:tcPr>
            <w:tcW w:w="2280" w:type="dxa"/>
            <w:vAlign w:val="bottom"/>
            <w:gridSpan w:val="3"/>
          </w:tcPr>
          <w:p>
            <w:pPr>
              <w:jc w:val="right"/>
              <w:ind w:right="462"/>
              <w:spacing w:after="0"/>
              <w:rPr>
                <w:sz w:val="20"/>
                <w:szCs w:val="20"/>
                <w:color w:val="auto"/>
              </w:rPr>
            </w:pPr>
            <w:r>
              <w:rPr>
                <w:rFonts w:ascii="Arial" w:cs="Arial" w:eastAsia="Arial" w:hAnsi="Arial"/>
                <w:sz w:val="16"/>
                <w:szCs w:val="16"/>
                <w:color w:val="494949"/>
              </w:rPr>
              <w:t>Three Months Ended</w:t>
            </w:r>
          </w:p>
        </w:tc>
        <w:tc>
          <w:tcPr>
            <w:tcW w:w="1060" w:type="dxa"/>
            <w:vAlign w:val="bottom"/>
          </w:tcPr>
          <w:p>
            <w:pPr>
              <w:spacing w:after="0"/>
              <w:rPr>
                <w:sz w:val="17"/>
                <w:szCs w:val="17"/>
                <w:color w:val="auto"/>
              </w:rPr>
            </w:pPr>
          </w:p>
        </w:tc>
      </w:tr>
      <w:tr>
        <w:trPr>
          <w:trHeight w:val="209"/>
        </w:trPr>
        <w:tc>
          <w:tcPr>
            <w:tcW w:w="7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494949"/>
              </w:rPr>
              <w:t>February 28,</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94949"/>
              </w:rPr>
              <w:t>(In thousands)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494949"/>
              </w:rPr>
              <w:t>2026</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494949"/>
                <w:w w:val="95"/>
              </w:rPr>
              <w:t>2025</w:t>
            </w:r>
          </w:p>
        </w:tc>
        <w:tc>
          <w:tcPr>
            <w:tcW w:w="10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494949"/>
              </w:rPr>
              <w:t>Change</w:t>
            </w: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Revenues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494949"/>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611,019</w:t>
            </w: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494949"/>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570,660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7.1 %</w:t>
            </w:r>
          </w:p>
        </w:tc>
      </w:tr>
      <w:tr>
        <w:trPr>
          <w:trHeight w:val="208"/>
        </w:trPr>
        <w:tc>
          <w:tcPr>
            <w:tcW w:w="7620" w:type="dxa"/>
            <w:vAlign w:val="bottom"/>
          </w:tcPr>
          <w:p>
            <w:pPr>
              <w:ind w:left="240"/>
              <w:spacing w:after="0"/>
              <w:rPr>
                <w:sz w:val="20"/>
                <w:szCs w:val="20"/>
                <w:color w:val="auto"/>
              </w:rPr>
            </w:pPr>
            <w:r>
              <w:rPr>
                <w:rFonts w:ascii="Arial" w:cs="Arial" w:eastAsia="Arial" w:hAnsi="Arial"/>
                <w:sz w:val="16"/>
                <w:szCs w:val="16"/>
                <w:color w:val="494949"/>
              </w:rPr>
              <w:t>Acquisition revenues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494949"/>
              </w:rPr>
              <w:t>(3,392)</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494949"/>
              </w:rPr>
              <w:t>—</w:t>
            </w:r>
          </w:p>
        </w:tc>
        <w:tc>
          <w:tcPr>
            <w:tcW w:w="1060" w:type="dxa"/>
            <w:vAlign w:val="bottom"/>
          </w:tcPr>
          <w:p>
            <w:pPr>
              <w:spacing w:after="0"/>
              <w:rPr>
                <w:sz w:val="18"/>
                <w:szCs w:val="18"/>
                <w:color w:val="auto"/>
              </w:rPr>
            </w:pPr>
          </w:p>
        </w:tc>
      </w:tr>
      <w:tr>
        <w:trPr>
          <w:trHeight w:val="210"/>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494949"/>
              </w:rPr>
              <w:t>Disposition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(3,117)</w:t>
            </w:r>
          </w:p>
        </w:tc>
        <w:tc>
          <w:tcPr>
            <w:tcW w:w="1060" w:type="dxa"/>
            <w:vAlign w:val="bottom"/>
            <w:shd w:val="clear" w:color="auto" w:fill="CCEEFF"/>
          </w:tcPr>
          <w:p>
            <w:pPr>
              <w:spacing w:after="0"/>
              <w:rPr>
                <w:sz w:val="18"/>
                <w:szCs w:val="18"/>
                <w:color w:val="auto"/>
              </w:rPr>
            </w:pPr>
          </w:p>
        </w:tc>
      </w:tr>
      <w:tr>
        <w:trPr>
          <w:trHeight w:val="208"/>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494949"/>
              </w:rPr>
              <w:t>Currency impact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(1,451)</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w:t>
            </w:r>
          </w:p>
        </w:tc>
        <w:tc>
          <w:tcPr>
            <w:tcW w:w="1060" w:type="dxa"/>
            <w:vAlign w:val="bottom"/>
            <w:tcBorders>
              <w:bottom w:val="single" w:sz="8" w:color="CCEEFF"/>
            </w:tcBorders>
          </w:tcPr>
          <w:p>
            <w:pPr>
              <w:spacing w:after="0"/>
              <w:rPr>
                <w:sz w:val="18"/>
                <w:szCs w:val="18"/>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Organic revenues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494949"/>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606,176</w:t>
            </w: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494949"/>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567,543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6.8 %</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6A6A6"/>
        </w:rPr>
        <w:t>Non-GAAP Financial Measures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table below provides a reconciliation of operating income, operating margin, net income and diluted EPS to adjusted operating income, adjusted operating margin, adjusted net income, EBITDA, adjusted EBITDA, and adjusted diluted EPS.</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operating income and margin, adjusted net income, and adjusted diluted earnings per share exclude acquisition-related intangible asset amortization and non-recurring items. EBITDA represents earnings before interest expense, provision for income taxes and depreciation and amortization expense, while adjusted EBITDA further excludes non-recurring non-cash expenses.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9</w:t>
      </w:r>
    </w:p>
    <w:p>
      <w:pPr>
        <w:sectPr>
          <w:pgSz w:w="11900" w:h="16838" w:orient="portrait"/>
          <w:cols w:equalWidth="0" w:num="1">
            <w:col w:w="11240"/>
          </w:cols>
          <w:pgMar w:left="320" w:top="143"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3"/>
          </w:tcPr>
          <w:p>
            <w:pPr>
              <w:jc w:val="right"/>
              <w:ind w:right="402"/>
              <w:spacing w:after="0"/>
              <w:rPr>
                <w:sz w:val="20"/>
                <w:szCs w:val="20"/>
                <w:color w:val="auto"/>
              </w:rPr>
            </w:pPr>
            <w:r>
              <w:rPr>
                <w:rFonts w:ascii="Arial" w:cs="Arial" w:eastAsia="Arial" w:hAnsi="Arial"/>
                <w:sz w:val="16"/>
                <w:szCs w:val="16"/>
                <w:color w:val="494949"/>
              </w:rPr>
              <w:t>Three Months Ended</w:t>
            </w:r>
          </w:p>
        </w:tc>
        <w:tc>
          <w:tcPr>
            <w:tcW w:w="1220" w:type="dxa"/>
            <w:vAlign w:val="bottom"/>
          </w:tcPr>
          <w:p>
            <w:pPr>
              <w:spacing w:after="0"/>
              <w:rPr>
                <w:sz w:val="17"/>
                <w:szCs w:val="17"/>
                <w:color w:val="auto"/>
              </w:rPr>
            </w:pPr>
          </w:p>
        </w:tc>
      </w:tr>
      <w:tr>
        <w:trPr>
          <w:trHeight w:val="222"/>
        </w:trPr>
        <w:tc>
          <w:tcPr>
            <w:tcW w:w="7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3"/>
          </w:tcPr>
          <w:p>
            <w:pPr>
              <w:jc w:val="right"/>
              <w:ind w:right="682"/>
              <w:spacing w:after="0"/>
              <w:rPr>
                <w:sz w:val="20"/>
                <w:szCs w:val="20"/>
                <w:color w:val="auto"/>
              </w:rPr>
            </w:pPr>
            <w:r>
              <w:rPr>
                <w:rFonts w:ascii="Arial" w:cs="Arial" w:eastAsia="Arial" w:hAnsi="Arial"/>
                <w:sz w:val="16"/>
                <w:szCs w:val="16"/>
                <w:color w:val="494949"/>
              </w:rPr>
              <w:t>February 28,</w:t>
            </w:r>
          </w:p>
        </w:tc>
        <w:tc>
          <w:tcPr>
            <w:tcW w:w="1220" w:type="dxa"/>
            <w:vAlign w:val="bottom"/>
          </w:tcPr>
          <w:p>
            <w:pPr>
              <w:spacing w:after="0"/>
              <w:rPr>
                <w:sz w:val="19"/>
                <w:szCs w:val="19"/>
                <w:color w:val="auto"/>
              </w:rPr>
            </w:pPr>
          </w:p>
        </w:tc>
      </w:tr>
      <w:tr>
        <w:trPr>
          <w:trHeight w:val="231"/>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94949"/>
              </w:rPr>
              <w:t>(in thousands, except per share data)</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494949"/>
              </w:rPr>
              <w:t>2026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494949"/>
              </w:rPr>
              <w:t>2025</w:t>
            </w: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494949"/>
              </w:rPr>
              <w:t>% Change</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Operating income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184,961</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185,492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(0.3)%</w:t>
            </w: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Intangible asset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19,179</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18,137</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494949"/>
              </w:rPr>
              <w:t>CEO compensation costs</w:t>
            </w:r>
            <w:r>
              <w:rPr>
                <w:rFonts w:ascii="Arial" w:cs="Arial" w:eastAsia="Arial" w:hAnsi="Arial"/>
                <w:sz w:val="20"/>
                <w:szCs w:val="20"/>
                <w:color w:val="494949"/>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3,944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India labor codes reform</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2,883</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Business disposition, acquisitions and related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2,043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9,040</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Asset impairment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887</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Restructuring/severance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171</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1"/>
        </w:trPr>
        <w:tc>
          <w:tcPr>
            <w:tcW w:w="7600" w:type="dxa"/>
            <w:vAlign w:val="bottom"/>
          </w:tcPr>
          <w:p>
            <w:pPr>
              <w:ind w:left="240"/>
              <w:spacing w:after="0"/>
              <w:rPr>
                <w:sz w:val="20"/>
                <w:szCs w:val="20"/>
                <w:color w:val="auto"/>
              </w:rPr>
            </w:pPr>
            <w:r>
              <w:rPr>
                <w:rFonts w:ascii="Arial" w:cs="Arial" w:eastAsia="Arial" w:hAnsi="Arial"/>
                <w:sz w:val="16"/>
                <w:szCs w:val="16"/>
                <w:color w:val="494949"/>
              </w:rPr>
              <w:t>Adjusted operating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tcPr>
          <w:p>
            <w:pPr>
              <w:jc w:val="right"/>
              <w:spacing w:after="0"/>
              <w:rPr>
                <w:sz w:val="20"/>
                <w:szCs w:val="20"/>
                <w:color w:val="auto"/>
              </w:rPr>
            </w:pPr>
            <w:r>
              <w:rPr>
                <w:rFonts w:ascii="Arial" w:cs="Arial" w:eastAsia="Arial" w:hAnsi="Arial"/>
                <w:sz w:val="16"/>
                <w:szCs w:val="16"/>
                <w:color w:val="494949"/>
              </w:rPr>
              <w:t>214,068</w:t>
            </w:r>
          </w:p>
        </w:tc>
        <w:tc>
          <w:tcPr>
            <w:tcW w:w="320" w:type="dxa"/>
            <w:vAlign w:val="bottom"/>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212,669</w:t>
            </w:r>
          </w:p>
        </w:tc>
        <w:tc>
          <w:tcPr>
            <w:tcW w:w="1220" w:type="dxa"/>
            <w:vAlign w:val="bottom"/>
          </w:tcPr>
          <w:p>
            <w:pPr>
              <w:jc w:val="right"/>
              <w:spacing w:after="0"/>
              <w:rPr>
                <w:sz w:val="20"/>
                <w:szCs w:val="20"/>
                <w:color w:val="auto"/>
              </w:rPr>
            </w:pPr>
            <w:r>
              <w:rPr>
                <w:rFonts w:ascii="Arial" w:cs="Arial" w:eastAsia="Arial" w:hAnsi="Arial"/>
                <w:sz w:val="16"/>
                <w:szCs w:val="16"/>
                <w:color w:val="494949"/>
              </w:rPr>
              <w:t>0.7 %</w:t>
            </w:r>
          </w:p>
        </w:tc>
      </w:tr>
      <w:tr>
        <w:trPr>
          <w:trHeight w:val="210"/>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494949"/>
              </w:rPr>
              <w:t>Operating margin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494949"/>
              </w:rPr>
              <w:t>30.3%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i w:val="1"/>
                <w:iCs w:val="1"/>
                <w:color w:val="494949"/>
              </w:rPr>
              <w:t>32.5%</w:t>
            </w:r>
          </w:p>
        </w:tc>
        <w:tc>
          <w:tcPr>
            <w:tcW w:w="1220" w:type="dxa"/>
            <w:vAlign w:val="bottom"/>
            <w:shd w:val="clear" w:color="auto" w:fill="CCEEFF"/>
          </w:tcPr>
          <w:p>
            <w:pPr>
              <w:spacing w:after="0"/>
              <w:rPr>
                <w:sz w:val="18"/>
                <w:szCs w:val="18"/>
                <w:color w:val="auto"/>
              </w:rPr>
            </w:pPr>
          </w:p>
        </w:tc>
      </w:tr>
      <w:tr>
        <w:trPr>
          <w:trHeight w:val="209"/>
        </w:trPr>
        <w:tc>
          <w:tcPr>
            <w:tcW w:w="7600" w:type="dxa"/>
            <w:vAlign w:val="bottom"/>
            <w:tcBorders>
              <w:bottom w:val="single" w:sz="8" w:color="auto"/>
            </w:tcBorders>
          </w:tcPr>
          <w:p>
            <w:pPr>
              <w:ind w:left="240"/>
              <w:spacing w:after="0" w:line="209" w:lineRule="exact"/>
              <w:rPr>
                <w:sz w:val="20"/>
                <w:szCs w:val="20"/>
                <w:color w:val="auto"/>
              </w:rPr>
            </w:pPr>
            <w:r>
              <w:rPr>
                <w:rFonts w:ascii="Arial" w:cs="Arial" w:eastAsia="Arial" w:hAnsi="Arial"/>
                <w:sz w:val="16"/>
                <w:szCs w:val="16"/>
                <w:i w:val="1"/>
                <w:iCs w:val="1"/>
                <w:color w:val="494949"/>
              </w:rPr>
              <w:t>Adjusted operating margin</w:t>
            </w:r>
            <w:r>
              <w:rPr>
                <w:rFonts w:ascii="Arial" w:cs="Arial" w:eastAsia="Arial" w:hAnsi="Arial"/>
                <w:sz w:val="20"/>
                <w:szCs w:val="20"/>
                <w:color w:val="494949"/>
                <w:vertAlign w:val="superscript"/>
              </w:rPr>
              <w:t>(2)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494949"/>
              </w:rPr>
              <w:t>35.0%</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i w:val="1"/>
                <w:iCs w:val="1"/>
                <w:color w:val="494949"/>
              </w:rPr>
              <w:t>37.3%</w:t>
            </w:r>
          </w:p>
        </w:tc>
        <w:tc>
          <w:tcPr>
            <w:tcW w:w="1220" w:type="dxa"/>
            <w:vAlign w:val="bottom"/>
            <w:tcBorders>
              <w:bottom w:val="single" w:sz="8" w:color="auto"/>
            </w:tcBorders>
          </w:tcPr>
          <w:p>
            <w:pPr>
              <w:spacing w:after="0"/>
              <w:rPr>
                <w:sz w:val="18"/>
                <w:szCs w:val="18"/>
                <w:color w:val="auto"/>
              </w:rPr>
            </w:pP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Net income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133,056</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144,860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(8.1)%</w:t>
            </w: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Intangible asset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15,121</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13,425</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494949"/>
              </w:rPr>
              <w:t>Impairment within Other assets</w:t>
            </w:r>
            <w:r>
              <w:rPr>
                <w:rFonts w:ascii="Arial" w:cs="Arial" w:eastAsia="Arial" w:hAnsi="Arial"/>
                <w:sz w:val="20"/>
                <w:szCs w:val="20"/>
                <w:color w:val="494949"/>
                <w:vertAlign w:val="superscript"/>
              </w:rPr>
              <w:t>(3)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10,249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9"/>
        </w:trPr>
        <w:tc>
          <w:tcPr>
            <w:tcW w:w="7600" w:type="dxa"/>
            <w:vAlign w:val="bottom"/>
          </w:tcPr>
          <w:p>
            <w:pPr>
              <w:ind w:left="20"/>
              <w:spacing w:after="0" w:line="209" w:lineRule="exact"/>
              <w:rPr>
                <w:sz w:val="20"/>
                <w:szCs w:val="20"/>
                <w:color w:val="auto"/>
              </w:rPr>
            </w:pPr>
            <w:r>
              <w:rPr>
                <w:rFonts w:ascii="Arial" w:cs="Arial" w:eastAsia="Arial" w:hAnsi="Arial"/>
                <w:sz w:val="16"/>
                <w:szCs w:val="16"/>
                <w:color w:val="494949"/>
              </w:rPr>
              <w:t>CEO compensation costs</w:t>
            </w:r>
            <w:r>
              <w:rPr>
                <w:rFonts w:ascii="Arial" w:cs="Arial" w:eastAsia="Arial" w:hAnsi="Arial"/>
                <w:sz w:val="20"/>
                <w:szCs w:val="20"/>
                <w:color w:val="494949"/>
                <w:vertAlign w:val="superscript"/>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3,109</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Pr>
          <w:p>
            <w:pPr>
              <w:spacing w:after="0"/>
              <w:rPr>
                <w:sz w:val="18"/>
                <w:szCs w:val="18"/>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India labor codes reform</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2,273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Business disposition, acquisitions and related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1,611</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6,691</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Asset impairment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699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Restructuring/severance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135</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Non-operating income from business disposition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(130)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94949"/>
              </w:rPr>
              <w:t>Income tax items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(852)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Borders>
              <w:bottom w:val="single" w:sz="8" w:color="CCEEFF"/>
            </w:tcBorders>
          </w:tcPr>
          <w:p>
            <w:pPr>
              <w:spacing w:after="0"/>
              <w:rPr>
                <w:sz w:val="18"/>
                <w:szCs w:val="18"/>
                <w:color w:val="auto"/>
              </w:rPr>
            </w:pPr>
          </w:p>
        </w:tc>
      </w:tr>
      <w:tr>
        <w:trPr>
          <w:trHeight w:val="203"/>
        </w:trPr>
        <w:tc>
          <w:tcPr>
            <w:tcW w:w="7600" w:type="dxa"/>
            <w:vAlign w:val="bottom"/>
            <w:tcBorders>
              <w:bottom w:val="single" w:sz="8" w:color="auto"/>
            </w:tcBorders>
            <w:shd w:val="clear" w:color="auto" w:fill="CCEEFF"/>
          </w:tcPr>
          <w:p>
            <w:pPr>
              <w:ind w:left="240"/>
              <w:spacing w:after="0" w:line="204" w:lineRule="exact"/>
              <w:rPr>
                <w:sz w:val="20"/>
                <w:szCs w:val="20"/>
                <w:color w:val="auto"/>
              </w:rPr>
            </w:pPr>
            <w:r>
              <w:rPr>
                <w:rFonts w:ascii="Arial" w:cs="Arial" w:eastAsia="Arial" w:hAnsi="Arial"/>
                <w:sz w:val="16"/>
                <w:szCs w:val="16"/>
                <w:color w:val="494949"/>
              </w:rPr>
              <w:t>Adjusted net income</w:t>
            </w:r>
            <w:r>
              <w:rPr>
                <w:rFonts w:ascii="Arial" w:cs="Arial" w:eastAsia="Arial" w:hAnsi="Arial"/>
                <w:sz w:val="20"/>
                <w:szCs w:val="20"/>
                <w:color w:val="494949"/>
                <w:vertAlign w:val="superscript"/>
              </w:rPr>
              <w:t>(4)</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165,271</w:t>
            </w:r>
          </w:p>
        </w:tc>
        <w:tc>
          <w:tcPr>
            <w:tcW w:w="3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494949"/>
              </w:rPr>
              <w:t>164,976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0.2 %</w:t>
            </w:r>
          </w:p>
        </w:tc>
      </w:tr>
      <w:tr>
        <w:trPr>
          <w:trHeight w:val="201"/>
        </w:trPr>
        <w:tc>
          <w:tcPr>
            <w:tcW w:w="7600" w:type="dxa"/>
            <w:vAlign w:val="bottom"/>
          </w:tcPr>
          <w:p>
            <w:pPr>
              <w:ind w:left="20"/>
              <w:spacing w:after="0"/>
              <w:rPr>
                <w:sz w:val="20"/>
                <w:szCs w:val="20"/>
                <w:color w:val="auto"/>
              </w:rPr>
            </w:pPr>
            <w:r>
              <w:rPr>
                <w:rFonts w:ascii="Arial" w:cs="Arial" w:eastAsia="Arial" w:hAnsi="Arial"/>
                <w:sz w:val="16"/>
                <w:szCs w:val="16"/>
                <w:color w:val="494949"/>
              </w:rPr>
              <w:t>Net income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133,056</w:t>
            </w:r>
          </w:p>
        </w:tc>
        <w:tc>
          <w:tcPr>
            <w:tcW w:w="32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144,860</w:t>
            </w:r>
          </w:p>
        </w:tc>
        <w:tc>
          <w:tcPr>
            <w:tcW w:w="1220" w:type="dxa"/>
            <w:vAlign w:val="bottom"/>
          </w:tcPr>
          <w:p>
            <w:pPr>
              <w:jc w:val="right"/>
              <w:spacing w:after="0"/>
              <w:rPr>
                <w:sz w:val="20"/>
                <w:szCs w:val="20"/>
                <w:color w:val="auto"/>
              </w:rPr>
            </w:pPr>
            <w:r>
              <w:rPr>
                <w:rFonts w:ascii="Arial" w:cs="Arial" w:eastAsia="Arial" w:hAnsi="Arial"/>
                <w:sz w:val="16"/>
                <w:szCs w:val="16"/>
                <w:color w:val="494949"/>
              </w:rPr>
              <w:t>(8.1)%</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Interest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13,062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13,916</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28,055</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27,460</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Depreciation and amortization expense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43,690</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494949"/>
              </w:rPr>
              <w:t>38,410</w:t>
            </w:r>
          </w:p>
        </w:tc>
        <w:tc>
          <w:tcPr>
            <w:tcW w:w="1220" w:type="dxa"/>
            <w:vAlign w:val="bottom"/>
            <w:shd w:val="clear" w:color="auto" w:fill="CCEEFF"/>
          </w:tcPr>
          <w:p>
            <w:pPr>
              <w:spacing w:after="0"/>
              <w:rPr>
                <w:sz w:val="18"/>
                <w:szCs w:val="18"/>
                <w:color w:val="auto"/>
              </w:rPr>
            </w:pPr>
          </w:p>
        </w:tc>
      </w:tr>
      <w:tr>
        <w:trPr>
          <w:trHeight w:val="201"/>
        </w:trPr>
        <w:tc>
          <w:tcPr>
            <w:tcW w:w="7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494949"/>
              </w:rPr>
              <w:t>EBITDA</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217,863</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494949"/>
              </w:rPr>
              <w:t>224,646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(3.0)%</w:t>
            </w:r>
          </w:p>
        </w:tc>
      </w:tr>
      <w:tr>
        <w:trPr>
          <w:trHeight w:val="203"/>
        </w:trPr>
        <w:tc>
          <w:tcPr>
            <w:tcW w:w="760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494949"/>
              </w:rPr>
              <w:t>Non-recurring non-cash expenses</w:t>
            </w:r>
            <w:r>
              <w:rPr>
                <w:rFonts w:ascii="Arial" w:cs="Arial" w:eastAsia="Arial" w:hAnsi="Arial"/>
                <w:sz w:val="20"/>
                <w:szCs w:val="20"/>
                <w:color w:val="494949"/>
                <w:vertAlign w:val="superscript"/>
              </w:rPr>
              <w:t>(5)</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94949"/>
              </w:rPr>
              <w:t>15,331</w:t>
            </w: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7"/>
                <w:szCs w:val="17"/>
                <w:color w:val="auto"/>
              </w:rPr>
            </w:pPr>
          </w:p>
        </w:tc>
      </w:tr>
      <w:tr>
        <w:trPr>
          <w:trHeight w:val="201"/>
        </w:trPr>
        <w:tc>
          <w:tcPr>
            <w:tcW w:w="7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494949"/>
              </w:rPr>
              <w:t>Adjusted EBITDA</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233,194</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494949"/>
              </w:rPr>
              <w:t>224,646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3.8 %</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Diluted EPS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3.59</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3.76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(4.5)%</w:t>
            </w: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Intangible asset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0.41</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0.35</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494949"/>
              </w:rPr>
              <w:t>Impairment within Other assets</w:t>
            </w:r>
            <w:r>
              <w:rPr>
                <w:rFonts w:ascii="Arial" w:cs="Arial" w:eastAsia="Arial" w:hAnsi="Arial"/>
                <w:sz w:val="20"/>
                <w:szCs w:val="20"/>
                <w:color w:val="494949"/>
                <w:vertAlign w:val="superscript"/>
              </w:rPr>
              <w:t>(3)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0.28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9"/>
        </w:trPr>
        <w:tc>
          <w:tcPr>
            <w:tcW w:w="7600" w:type="dxa"/>
            <w:vAlign w:val="bottom"/>
          </w:tcPr>
          <w:p>
            <w:pPr>
              <w:ind w:left="20"/>
              <w:spacing w:after="0" w:line="209" w:lineRule="exact"/>
              <w:rPr>
                <w:sz w:val="20"/>
                <w:szCs w:val="20"/>
                <w:color w:val="auto"/>
              </w:rPr>
            </w:pPr>
            <w:r>
              <w:rPr>
                <w:rFonts w:ascii="Arial" w:cs="Arial" w:eastAsia="Arial" w:hAnsi="Arial"/>
                <w:sz w:val="16"/>
                <w:szCs w:val="16"/>
                <w:color w:val="494949"/>
              </w:rPr>
              <w:t>CEO compensation costs</w:t>
            </w:r>
            <w:r>
              <w:rPr>
                <w:rFonts w:ascii="Arial" w:cs="Arial" w:eastAsia="Arial" w:hAnsi="Arial"/>
                <w:sz w:val="20"/>
                <w:szCs w:val="20"/>
                <w:color w:val="494949"/>
                <w:vertAlign w:val="superscript"/>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0.08</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Pr>
          <w:p>
            <w:pPr>
              <w:spacing w:after="0"/>
              <w:rPr>
                <w:sz w:val="18"/>
                <w:szCs w:val="18"/>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India labor codes reform</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0.06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Business disposition, acquisitions and related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0.04</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0.17</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Asset impairment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0.02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494949"/>
              </w:rPr>
              <w:t>Restructuring/severance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494949"/>
              </w:rPr>
              <w:t>0.00</w:t>
            </w:r>
          </w:p>
        </w:tc>
        <w:tc>
          <w:tcPr>
            <w:tcW w:w="3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Non-operating income from business disposition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0.00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shd w:val="clear" w:color="auto" w:fill="CCEEFF"/>
          </w:tcPr>
          <w:p>
            <w:pPr>
              <w:spacing w:after="0"/>
              <w:rPr>
                <w:sz w:val="18"/>
                <w:szCs w:val="18"/>
                <w:color w:val="auto"/>
              </w:rPr>
            </w:pPr>
          </w:p>
        </w:tc>
      </w:tr>
      <w:tr>
        <w:trPr>
          <w:trHeight w:val="20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94949"/>
              </w:rPr>
              <w:t>Income tax items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(0.02)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494949"/>
              </w:rPr>
              <w:t>—</w:t>
            </w:r>
          </w:p>
        </w:tc>
        <w:tc>
          <w:tcPr>
            <w:tcW w:w="1220" w:type="dxa"/>
            <w:vAlign w:val="bottom"/>
            <w:tcBorders>
              <w:bottom w:val="single" w:sz="8" w:color="CCEEFF"/>
            </w:tcBorders>
          </w:tcPr>
          <w:p>
            <w:pPr>
              <w:spacing w:after="0"/>
              <w:rPr>
                <w:sz w:val="18"/>
                <w:szCs w:val="18"/>
                <w:color w:val="auto"/>
              </w:rPr>
            </w:pPr>
          </w:p>
        </w:tc>
      </w:tr>
      <w:tr>
        <w:trPr>
          <w:trHeight w:val="203"/>
        </w:trPr>
        <w:tc>
          <w:tcPr>
            <w:tcW w:w="7600" w:type="dxa"/>
            <w:vAlign w:val="bottom"/>
            <w:shd w:val="clear" w:color="auto" w:fill="CCEEFF"/>
          </w:tcPr>
          <w:p>
            <w:pPr>
              <w:ind w:left="240"/>
              <w:spacing w:after="0" w:line="204" w:lineRule="exact"/>
              <w:rPr>
                <w:sz w:val="20"/>
                <w:szCs w:val="20"/>
                <w:color w:val="auto"/>
              </w:rPr>
            </w:pPr>
            <w:r>
              <w:rPr>
                <w:rFonts w:ascii="Arial" w:cs="Arial" w:eastAsia="Arial" w:hAnsi="Arial"/>
                <w:sz w:val="16"/>
                <w:szCs w:val="16"/>
                <w:color w:val="494949"/>
              </w:rPr>
              <w:t>Adjusted diluted EPS</w:t>
            </w:r>
            <w:r>
              <w:rPr>
                <w:rFonts w:ascii="Arial" w:cs="Arial" w:eastAsia="Arial" w:hAnsi="Arial"/>
                <w:sz w:val="20"/>
                <w:szCs w:val="20"/>
                <w:color w:val="494949"/>
                <w:vertAlign w:val="superscript"/>
              </w:rPr>
              <w:t>(4)</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4.46</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49494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494949"/>
              </w:rPr>
              <w:t>4.28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4.2 %</w:t>
            </w:r>
          </w:p>
        </w:tc>
      </w:tr>
      <w:tr>
        <w:trPr>
          <w:trHeight w:val="208"/>
        </w:trPr>
        <w:tc>
          <w:tcPr>
            <w:tcW w:w="7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494949"/>
              </w:rPr>
              <w:t>Weighted average common shares (diluted)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94949"/>
              </w:rPr>
              <w:t>37,063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494949"/>
              </w:rPr>
              <w:t>38,510</w:t>
            </w:r>
          </w:p>
        </w:tc>
        <w:tc>
          <w:tcPr>
            <w:tcW w:w="12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300" w:hanging="295"/>
        <w:spacing w:after="0"/>
        <w:tabs>
          <w:tab w:leader="none" w:pos="300" w:val="left"/>
        </w:tabs>
        <w:numPr>
          <w:ilvl w:val="0"/>
          <w:numId w:val="8"/>
        </w:numPr>
        <w:rPr>
          <w:rFonts w:ascii="Arial" w:cs="Arial" w:eastAsia="Arial" w:hAnsi="Arial"/>
          <w:sz w:val="14"/>
          <w:szCs w:val="14"/>
          <w:color w:val="4B4B4B"/>
        </w:rPr>
      </w:pPr>
      <w:r>
        <w:rPr>
          <w:rFonts w:ascii="Arial" w:cs="Arial" w:eastAsia="Arial" w:hAnsi="Arial"/>
          <w:sz w:val="14"/>
          <w:szCs w:val="14"/>
          <w:color w:val="4B4B4B"/>
        </w:rPr>
        <w:t>Related to the recognition of one-time make-whole cash and equity awards issued to our CEO, with the majority of the awards recognized over their respective service periods.</w:t>
      </w:r>
    </w:p>
    <w:p>
      <w:pPr>
        <w:spacing w:after="0" w:line="74" w:lineRule="exact"/>
        <w:rPr>
          <w:rFonts w:ascii="Arial" w:cs="Arial" w:eastAsia="Arial" w:hAnsi="Arial"/>
          <w:sz w:val="14"/>
          <w:szCs w:val="14"/>
          <w:color w:val="4B4B4B"/>
        </w:rPr>
      </w:pPr>
    </w:p>
    <w:p>
      <w:pPr>
        <w:ind w:left="300" w:hanging="295"/>
        <w:spacing w:after="0"/>
        <w:tabs>
          <w:tab w:leader="none" w:pos="300" w:val="left"/>
        </w:tabs>
        <w:numPr>
          <w:ilvl w:val="0"/>
          <w:numId w:val="8"/>
        </w:numPr>
        <w:rPr>
          <w:rFonts w:ascii="Arial" w:cs="Arial" w:eastAsia="Arial" w:hAnsi="Arial"/>
          <w:sz w:val="14"/>
          <w:szCs w:val="14"/>
          <w:color w:val="4B4B4B"/>
        </w:rPr>
      </w:pPr>
      <w:r>
        <w:rPr>
          <w:rFonts w:ascii="Arial" w:cs="Arial" w:eastAsia="Arial" w:hAnsi="Arial"/>
          <w:sz w:val="14"/>
          <w:szCs w:val="14"/>
          <w:color w:val="4B4B4B"/>
        </w:rPr>
        <w:t>Adjusted operating margin is calculated as Adjusted operating income divided by Revenues.</w:t>
      </w:r>
    </w:p>
    <w:p>
      <w:pPr>
        <w:spacing w:after="0" w:line="87" w:lineRule="exact"/>
        <w:rPr>
          <w:rFonts w:ascii="Arial" w:cs="Arial" w:eastAsia="Arial" w:hAnsi="Arial"/>
          <w:sz w:val="14"/>
          <w:szCs w:val="14"/>
          <w:color w:val="4B4B4B"/>
        </w:rPr>
      </w:pPr>
    </w:p>
    <w:p>
      <w:pPr>
        <w:ind w:left="300" w:hanging="295"/>
        <w:spacing w:after="0"/>
        <w:tabs>
          <w:tab w:leader="none" w:pos="300" w:val="left"/>
        </w:tabs>
        <w:numPr>
          <w:ilvl w:val="0"/>
          <w:numId w:val="8"/>
        </w:numPr>
        <w:rPr>
          <w:rFonts w:ascii="Arial" w:cs="Arial" w:eastAsia="Arial" w:hAnsi="Arial"/>
          <w:sz w:val="14"/>
          <w:szCs w:val="14"/>
          <w:color w:val="4B4B4B"/>
        </w:rPr>
      </w:pPr>
      <w:r>
        <w:rPr>
          <w:rFonts w:ascii="Arial" w:cs="Arial" w:eastAsia="Arial" w:hAnsi="Arial"/>
          <w:sz w:val="14"/>
          <w:szCs w:val="14"/>
          <w:color w:val="4B4B4B"/>
        </w:rPr>
        <w:t>Related to the impairment of an equity investment.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10</w:t>
      </w:r>
    </w:p>
    <w:p>
      <w:pPr>
        <w:sectPr>
          <w:pgSz w:w="11900" w:h="16838" w:orient="portrait"/>
          <w:cols w:equalWidth="0" w:num="1">
            <w:col w:w="11240"/>
          </w:cols>
          <w:pgMar w:left="320" w:top="143"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right="80" w:hanging="315"/>
        <w:spacing w:after="0" w:line="268" w:lineRule="auto"/>
        <w:tabs>
          <w:tab w:leader="none" w:pos="307" w:val="left"/>
        </w:tabs>
        <w:numPr>
          <w:ilvl w:val="0"/>
          <w:numId w:val="9"/>
        </w:numPr>
        <w:rPr>
          <w:rFonts w:ascii="Arial" w:cs="Arial" w:eastAsia="Arial" w:hAnsi="Arial"/>
          <w:sz w:val="14"/>
          <w:szCs w:val="14"/>
          <w:color w:val="4B4B4B"/>
        </w:rPr>
      </w:pPr>
      <w:r>
        <w:rPr>
          <w:rFonts w:ascii="Arial" w:cs="Arial" w:eastAsia="Arial" w:hAnsi="Arial"/>
          <w:sz w:val="14"/>
          <w:szCs w:val="14"/>
          <w:color w:val="4B4B4B"/>
        </w:rPr>
        <w:t>For purposes of calculating Adjusted net income and Adjusted diluted EPS, all adjustments for the three months ended February 28, 2026 and February 28, 2025 were taxed at an adjusted tax rate of 21.2% and 26.0%, respectively.</w:t>
      </w:r>
    </w:p>
    <w:p>
      <w:pPr>
        <w:spacing w:after="0" w:line="19" w:lineRule="exact"/>
        <w:rPr>
          <w:rFonts w:ascii="Arial" w:cs="Arial" w:eastAsia="Arial" w:hAnsi="Arial"/>
          <w:sz w:val="14"/>
          <w:szCs w:val="14"/>
          <w:color w:val="4B4B4B"/>
        </w:rPr>
      </w:pPr>
    </w:p>
    <w:p>
      <w:pPr>
        <w:ind w:left="300" w:hanging="295"/>
        <w:spacing w:after="0"/>
        <w:tabs>
          <w:tab w:leader="none" w:pos="300" w:val="left"/>
        </w:tabs>
        <w:numPr>
          <w:ilvl w:val="0"/>
          <w:numId w:val="9"/>
        </w:numPr>
        <w:rPr>
          <w:rFonts w:ascii="Arial" w:cs="Arial" w:eastAsia="Arial" w:hAnsi="Arial"/>
          <w:sz w:val="14"/>
          <w:szCs w:val="14"/>
          <w:color w:val="4B4B4B"/>
        </w:rPr>
      </w:pPr>
      <w:r>
        <w:rPr>
          <w:rFonts w:ascii="Arial" w:cs="Arial" w:eastAsia="Arial" w:hAnsi="Arial"/>
          <w:sz w:val="14"/>
          <w:szCs w:val="14"/>
          <w:color w:val="4B4B4B"/>
        </w:rPr>
        <w:t>Primarily related to the impairment of an equity investment.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6A6A6"/>
        </w:rPr>
        <w:t>Business Outlook Operating Margin, Net Income and Diluted EPS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4B4B4B"/>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Figures may not foot due to rounding</w:t>
            </w:r>
          </w:p>
        </w:tc>
        <w:tc>
          <w:tcPr>
            <w:tcW w:w="100" w:type="dxa"/>
            <w:vAlign w:val="bottom"/>
          </w:tcPr>
          <w:p>
            <w:pPr>
              <w:spacing w:after="0"/>
              <w:rPr>
                <w:sz w:val="19"/>
                <w:szCs w:val="19"/>
                <w:color w:val="auto"/>
              </w:rPr>
            </w:pPr>
          </w:p>
        </w:tc>
        <w:tc>
          <w:tcPr>
            <w:tcW w:w="3560" w:type="dxa"/>
            <w:vAlign w:val="bottom"/>
            <w:gridSpan w:val="3"/>
          </w:tcPr>
          <w:p>
            <w:pPr>
              <w:jc w:val="right"/>
              <w:ind w:right="622"/>
              <w:spacing w:after="0"/>
              <w:rPr>
                <w:sz w:val="20"/>
                <w:szCs w:val="20"/>
                <w:color w:val="auto"/>
              </w:rPr>
            </w:pPr>
            <w:r>
              <w:rPr>
                <w:rFonts w:ascii="Arial" w:cs="Arial" w:eastAsia="Arial" w:hAnsi="Arial"/>
                <w:sz w:val="17"/>
                <w:szCs w:val="17"/>
                <w:color w:val="4B4B4B"/>
              </w:rPr>
              <w:t>Annual Fiscal 2026 Guidance</w:t>
            </w:r>
          </w:p>
        </w:tc>
      </w:tr>
      <w:tr>
        <w:trPr>
          <w:trHeight w:val="20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4B4B4B"/>
              </w:rPr>
              <w:t>(In millions, except per share data)</w:t>
            </w: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4B4B4B"/>
              </w:rPr>
              <w:t>Low end of range</w:t>
            </w: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4B4B4B"/>
              </w:rPr>
              <w:t>High end of range</w:t>
            </w: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4B4B4B"/>
              </w:rPr>
              <w:t>2,450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2,470</w:t>
            </w:r>
          </w:p>
        </w:tc>
      </w:tr>
      <w:tr>
        <w:trPr>
          <w:trHeight w:val="208"/>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4B4B4B"/>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w w:val="89"/>
              </w:rPr>
              <w:t>$</w:t>
            </w:r>
          </w:p>
        </w:tc>
        <w:tc>
          <w:tcPr>
            <w:tcW w:w="17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4B4B4B"/>
              </w:rPr>
              <w:t>760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w w:val="89"/>
              </w:rPr>
              <w:t>$</w:t>
            </w:r>
          </w:p>
        </w:tc>
        <w:tc>
          <w:tcPr>
            <w:tcW w:w="1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4B4B4B"/>
              </w:rPr>
              <w:t>729</w:t>
            </w: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Operating margin</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4B4B4B"/>
              </w:rPr>
              <w:t>31.0 %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4B4B4B"/>
              </w:rPr>
              <w:t>29.5 %</w:t>
            </w:r>
          </w:p>
        </w:tc>
      </w:tr>
      <w:tr>
        <w:trPr>
          <w:trHeight w:val="157"/>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Intangible asset amortization</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4B4B4B"/>
              </w:rPr>
              <w:t>75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75</w:t>
            </w:r>
          </w:p>
        </w:tc>
      </w:tr>
      <w:tr>
        <w:trPr>
          <w:trHeight w:val="208"/>
        </w:trPr>
        <w:tc>
          <w:tcPr>
            <w:tcW w:w="7560" w:type="dxa"/>
            <w:vAlign w:val="bottom"/>
          </w:tcPr>
          <w:p>
            <w:pPr>
              <w:ind w:left="20"/>
              <w:spacing w:after="0"/>
              <w:rPr>
                <w:sz w:val="20"/>
                <w:szCs w:val="20"/>
                <w:color w:val="auto"/>
              </w:rPr>
            </w:pPr>
            <w:r>
              <w:rPr>
                <w:rFonts w:ascii="Arial" w:cs="Arial" w:eastAsia="Arial" w:hAnsi="Arial"/>
                <w:sz w:val="16"/>
                <w:szCs w:val="16"/>
                <w:color w:val="4B4B4B"/>
              </w:rPr>
              <w:t>CEO compensation</w:t>
            </w:r>
          </w:p>
        </w:tc>
        <w:tc>
          <w:tcPr>
            <w:tcW w:w="100" w:type="dxa"/>
            <w:vAlign w:val="bottom"/>
          </w:tcPr>
          <w:p>
            <w:pPr>
              <w:spacing w:after="0"/>
              <w:rPr>
                <w:sz w:val="18"/>
                <w:szCs w:val="18"/>
                <w:color w:val="auto"/>
              </w:rPr>
            </w:pPr>
          </w:p>
        </w:tc>
        <w:tc>
          <w:tcPr>
            <w:tcW w:w="1740" w:type="dxa"/>
            <w:vAlign w:val="bottom"/>
          </w:tcPr>
          <w:p>
            <w:pPr>
              <w:jc w:val="right"/>
              <w:ind w:right="141"/>
              <w:spacing w:after="0"/>
              <w:rPr>
                <w:sz w:val="20"/>
                <w:szCs w:val="20"/>
                <w:color w:val="auto"/>
              </w:rPr>
            </w:pPr>
            <w:r>
              <w:rPr>
                <w:rFonts w:ascii="Arial" w:cs="Arial" w:eastAsia="Arial" w:hAnsi="Arial"/>
                <w:sz w:val="16"/>
                <w:szCs w:val="16"/>
                <w:color w:val="4B4B4B"/>
              </w:rPr>
              <w:t>25</w:t>
            </w:r>
          </w:p>
        </w:tc>
        <w:tc>
          <w:tcPr>
            <w:tcW w:w="100" w:type="dxa"/>
            <w:vAlign w:val="bottom"/>
          </w:tcPr>
          <w:p>
            <w:pPr>
              <w:spacing w:after="0"/>
              <w:rPr>
                <w:sz w:val="18"/>
                <w:szCs w:val="18"/>
                <w:color w:val="auto"/>
              </w:rPr>
            </w:pPr>
          </w:p>
        </w:tc>
        <w:tc>
          <w:tcPr>
            <w:tcW w:w="1720" w:type="dxa"/>
            <w:vAlign w:val="bottom"/>
          </w:tcPr>
          <w:p>
            <w:pPr>
              <w:jc w:val="right"/>
              <w:ind w:right="122"/>
              <w:spacing w:after="0"/>
              <w:rPr>
                <w:sz w:val="20"/>
                <w:szCs w:val="20"/>
                <w:color w:val="auto"/>
              </w:rPr>
            </w:pPr>
            <w:r>
              <w:rPr>
                <w:rFonts w:ascii="Arial" w:cs="Arial" w:eastAsia="Arial" w:hAnsi="Arial"/>
                <w:sz w:val="16"/>
                <w:szCs w:val="16"/>
                <w:color w:val="4B4B4B"/>
              </w:rPr>
              <w:t>25</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Discrete items</w:t>
            </w: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4B4B4B"/>
              </w:rPr>
              <w:t>10</w:t>
            </w:r>
          </w:p>
        </w:tc>
        <w:tc>
          <w:tcPr>
            <w:tcW w:w="1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4B4B4B"/>
              </w:rPr>
              <w:t>12</w:t>
            </w:r>
          </w:p>
        </w:tc>
      </w:tr>
      <w:tr>
        <w:trPr>
          <w:trHeight w:val="201"/>
        </w:trPr>
        <w:tc>
          <w:tcPr>
            <w:tcW w:w="7560" w:type="dxa"/>
            <w:vAlign w:val="bottom"/>
          </w:tcPr>
          <w:p>
            <w:pPr>
              <w:ind w:left="20"/>
              <w:spacing w:after="0"/>
              <w:rPr>
                <w:sz w:val="20"/>
                <w:szCs w:val="20"/>
                <w:color w:val="auto"/>
              </w:rPr>
            </w:pPr>
            <w:r>
              <w:rPr>
                <w:rFonts w:ascii="Arial" w:cs="Arial" w:eastAsia="Arial" w:hAnsi="Arial"/>
                <w:sz w:val="16"/>
                <w:szCs w:val="16"/>
                <w:color w:val="4B4B4B"/>
              </w:rPr>
              <w:t>Adjusted operating income</w:t>
            </w:r>
          </w:p>
        </w:tc>
        <w:tc>
          <w:tcPr>
            <w:tcW w:w="100" w:type="dxa"/>
            <w:vAlign w:val="bottom"/>
          </w:tcPr>
          <w:p>
            <w:pPr>
              <w:jc w:val="right"/>
              <w:spacing w:after="0"/>
              <w:rPr>
                <w:sz w:val="20"/>
                <w:szCs w:val="20"/>
                <w:color w:val="auto"/>
              </w:rPr>
            </w:pPr>
            <w:r>
              <w:rPr>
                <w:rFonts w:ascii="Arial" w:cs="Arial" w:eastAsia="Arial" w:hAnsi="Arial"/>
                <w:sz w:val="16"/>
                <w:szCs w:val="16"/>
                <w:color w:val="4B4B4B"/>
                <w:w w:val="89"/>
              </w:rPr>
              <w:t>$</w:t>
            </w:r>
          </w:p>
        </w:tc>
        <w:tc>
          <w:tcPr>
            <w:tcW w:w="1740" w:type="dxa"/>
            <w:vAlign w:val="bottom"/>
          </w:tcPr>
          <w:p>
            <w:pPr>
              <w:jc w:val="right"/>
              <w:ind w:right="141"/>
              <w:spacing w:after="0"/>
              <w:rPr>
                <w:sz w:val="20"/>
                <w:szCs w:val="20"/>
                <w:color w:val="auto"/>
              </w:rPr>
            </w:pPr>
            <w:r>
              <w:rPr>
                <w:rFonts w:ascii="Arial" w:cs="Arial" w:eastAsia="Arial" w:hAnsi="Arial"/>
                <w:sz w:val="16"/>
                <w:szCs w:val="16"/>
                <w:color w:val="4B4B4B"/>
              </w:rPr>
              <w:t>870</w:t>
            </w:r>
          </w:p>
        </w:tc>
        <w:tc>
          <w:tcPr>
            <w:tcW w:w="100" w:type="dxa"/>
            <w:vAlign w:val="bottom"/>
          </w:tcPr>
          <w:p>
            <w:pPr>
              <w:jc w:val="right"/>
              <w:spacing w:after="0"/>
              <w:rPr>
                <w:sz w:val="20"/>
                <w:szCs w:val="20"/>
                <w:color w:val="auto"/>
              </w:rPr>
            </w:pPr>
            <w:r>
              <w:rPr>
                <w:rFonts w:ascii="Arial" w:cs="Arial" w:eastAsia="Arial" w:hAnsi="Arial"/>
                <w:sz w:val="16"/>
                <w:szCs w:val="16"/>
                <w:color w:val="4B4B4B"/>
                <w:w w:val="89"/>
              </w:rPr>
              <w:t>$</w:t>
            </w:r>
          </w:p>
        </w:tc>
        <w:tc>
          <w:tcPr>
            <w:tcW w:w="1720" w:type="dxa"/>
            <w:vAlign w:val="bottom"/>
          </w:tcPr>
          <w:p>
            <w:pPr>
              <w:jc w:val="right"/>
              <w:ind w:right="122"/>
              <w:spacing w:after="0"/>
              <w:rPr>
                <w:sz w:val="20"/>
                <w:szCs w:val="20"/>
                <w:color w:val="auto"/>
              </w:rPr>
            </w:pPr>
            <w:r>
              <w:rPr>
                <w:rFonts w:ascii="Arial" w:cs="Arial" w:eastAsia="Arial" w:hAnsi="Arial"/>
                <w:sz w:val="16"/>
                <w:szCs w:val="16"/>
                <w:color w:val="4B4B4B"/>
              </w:rPr>
              <w:t>840</w:t>
            </w:r>
          </w:p>
        </w:tc>
      </w:tr>
      <w:tr>
        <w:trPr>
          <w:trHeight w:val="210"/>
        </w:trPr>
        <w:tc>
          <w:tcPr>
            <w:tcW w:w="7560" w:type="dxa"/>
            <w:vAlign w:val="bottom"/>
            <w:tcBorders>
              <w:bottom w:val="single" w:sz="8" w:color="494949"/>
            </w:tcBorders>
            <w:shd w:val="clear" w:color="auto" w:fill="CCEEFF"/>
          </w:tcPr>
          <w:p>
            <w:pPr>
              <w:ind w:left="20"/>
              <w:spacing w:after="0" w:line="210" w:lineRule="exact"/>
              <w:rPr>
                <w:sz w:val="20"/>
                <w:szCs w:val="20"/>
                <w:color w:val="auto"/>
              </w:rPr>
            </w:pPr>
            <w:r>
              <w:rPr>
                <w:rFonts w:ascii="Arial" w:cs="Arial" w:eastAsia="Arial" w:hAnsi="Arial"/>
                <w:sz w:val="16"/>
                <w:szCs w:val="16"/>
                <w:i w:val="1"/>
                <w:iCs w:val="1"/>
                <w:color w:val="4B4B4B"/>
              </w:rPr>
              <w:t>Adjusted operating margin</w:t>
            </w:r>
            <w:r>
              <w:rPr>
                <w:rFonts w:ascii="Arial" w:cs="Arial" w:eastAsia="Arial" w:hAnsi="Arial"/>
                <w:sz w:val="20"/>
                <w:szCs w:val="20"/>
                <w:i w:val="1"/>
                <w:iCs w:val="1"/>
                <w:color w:val="4B4B4B"/>
                <w:vertAlign w:val="superscript"/>
              </w:rPr>
              <w:t>(a)</w:t>
            </w:r>
          </w:p>
        </w:tc>
        <w:tc>
          <w:tcPr>
            <w:tcW w:w="100" w:type="dxa"/>
            <w:vAlign w:val="bottom"/>
            <w:tcBorders>
              <w:bottom w:val="single" w:sz="8" w:color="494949"/>
            </w:tcBorders>
            <w:shd w:val="clear" w:color="auto" w:fill="CCEEFF"/>
          </w:tcPr>
          <w:p>
            <w:pPr>
              <w:spacing w:after="0"/>
              <w:rPr>
                <w:sz w:val="18"/>
                <w:szCs w:val="18"/>
                <w:color w:val="auto"/>
              </w:rPr>
            </w:pPr>
          </w:p>
        </w:tc>
        <w:tc>
          <w:tcPr>
            <w:tcW w:w="1740" w:type="dxa"/>
            <w:vAlign w:val="bottom"/>
            <w:tcBorders>
              <w:bottom w:val="single" w:sz="8" w:color="494949"/>
            </w:tcBorders>
            <w:shd w:val="clear" w:color="auto" w:fill="CCEEFF"/>
          </w:tcPr>
          <w:p>
            <w:pPr>
              <w:jc w:val="right"/>
              <w:spacing w:after="0"/>
              <w:rPr>
                <w:sz w:val="20"/>
                <w:szCs w:val="20"/>
                <w:color w:val="auto"/>
              </w:rPr>
            </w:pPr>
            <w:r>
              <w:rPr>
                <w:rFonts w:ascii="Arial" w:cs="Arial" w:eastAsia="Arial" w:hAnsi="Arial"/>
                <w:sz w:val="16"/>
                <w:szCs w:val="16"/>
                <w:i w:val="1"/>
                <w:iCs w:val="1"/>
                <w:color w:val="4B4B4B"/>
              </w:rPr>
              <w:t>35.5 %</w:t>
            </w:r>
          </w:p>
        </w:tc>
        <w:tc>
          <w:tcPr>
            <w:tcW w:w="100" w:type="dxa"/>
            <w:vAlign w:val="bottom"/>
            <w:tcBorders>
              <w:bottom w:val="single" w:sz="8" w:color="494949"/>
            </w:tcBorders>
            <w:shd w:val="clear" w:color="auto" w:fill="CCEEFF"/>
          </w:tcPr>
          <w:p>
            <w:pPr>
              <w:spacing w:after="0"/>
              <w:rPr>
                <w:sz w:val="18"/>
                <w:szCs w:val="18"/>
                <w:color w:val="auto"/>
              </w:rPr>
            </w:pPr>
          </w:p>
        </w:tc>
        <w:tc>
          <w:tcPr>
            <w:tcW w:w="1720" w:type="dxa"/>
            <w:vAlign w:val="bottom"/>
            <w:tcBorders>
              <w:bottom w:val="single" w:sz="8" w:color="494949"/>
            </w:tcBorders>
            <w:shd w:val="clear" w:color="auto" w:fill="CCEEFF"/>
          </w:tcPr>
          <w:p>
            <w:pPr>
              <w:jc w:val="right"/>
              <w:spacing w:after="0"/>
              <w:rPr>
                <w:sz w:val="20"/>
                <w:szCs w:val="20"/>
                <w:color w:val="auto"/>
              </w:rPr>
            </w:pPr>
            <w:r>
              <w:rPr>
                <w:rFonts w:ascii="Arial" w:cs="Arial" w:eastAsia="Arial" w:hAnsi="Arial"/>
                <w:sz w:val="16"/>
                <w:szCs w:val="16"/>
                <w:i w:val="1"/>
                <w:iCs w:val="1"/>
                <w:color w:val="4B4B4B"/>
              </w:rPr>
              <w:t>34.0 %</w:t>
            </w:r>
          </w:p>
        </w:tc>
      </w:tr>
      <w:tr>
        <w:trPr>
          <w:trHeight w:val="137"/>
        </w:trPr>
        <w:tc>
          <w:tcPr>
            <w:tcW w:w="7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4B4B4B"/>
              </w:rPr>
              <w:t>582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555</w:t>
            </w:r>
          </w:p>
        </w:tc>
      </w:tr>
      <w:tr>
        <w:trPr>
          <w:trHeight w:val="208"/>
        </w:trPr>
        <w:tc>
          <w:tcPr>
            <w:tcW w:w="7560" w:type="dxa"/>
            <w:vAlign w:val="bottom"/>
          </w:tcPr>
          <w:p>
            <w:pPr>
              <w:ind w:left="20"/>
              <w:spacing w:after="0"/>
              <w:rPr>
                <w:sz w:val="20"/>
                <w:szCs w:val="20"/>
                <w:color w:val="auto"/>
              </w:rPr>
            </w:pPr>
            <w:r>
              <w:rPr>
                <w:rFonts w:ascii="Arial" w:cs="Arial" w:eastAsia="Arial" w:hAnsi="Arial"/>
                <w:sz w:val="16"/>
                <w:szCs w:val="16"/>
                <w:color w:val="4B4B4B"/>
              </w:rPr>
              <w:t>Intangible asset amortization</w:t>
            </w:r>
          </w:p>
        </w:tc>
        <w:tc>
          <w:tcPr>
            <w:tcW w:w="100" w:type="dxa"/>
            <w:vAlign w:val="bottom"/>
          </w:tcPr>
          <w:p>
            <w:pPr>
              <w:spacing w:after="0"/>
              <w:rPr>
                <w:sz w:val="18"/>
                <w:szCs w:val="18"/>
                <w:color w:val="auto"/>
              </w:rPr>
            </w:pPr>
          </w:p>
        </w:tc>
        <w:tc>
          <w:tcPr>
            <w:tcW w:w="1740" w:type="dxa"/>
            <w:vAlign w:val="bottom"/>
          </w:tcPr>
          <w:p>
            <w:pPr>
              <w:jc w:val="right"/>
              <w:ind w:right="141"/>
              <w:spacing w:after="0"/>
              <w:rPr>
                <w:sz w:val="20"/>
                <w:szCs w:val="20"/>
                <w:color w:val="auto"/>
              </w:rPr>
            </w:pPr>
            <w:r>
              <w:rPr>
                <w:rFonts w:ascii="Arial" w:cs="Arial" w:eastAsia="Arial" w:hAnsi="Arial"/>
                <w:sz w:val="16"/>
                <w:szCs w:val="16"/>
                <w:color w:val="4B4B4B"/>
              </w:rPr>
              <w:t>60</w:t>
            </w:r>
          </w:p>
        </w:tc>
        <w:tc>
          <w:tcPr>
            <w:tcW w:w="100" w:type="dxa"/>
            <w:vAlign w:val="bottom"/>
          </w:tcPr>
          <w:p>
            <w:pPr>
              <w:spacing w:after="0"/>
              <w:rPr>
                <w:sz w:val="18"/>
                <w:szCs w:val="18"/>
                <w:color w:val="auto"/>
              </w:rPr>
            </w:pPr>
          </w:p>
        </w:tc>
        <w:tc>
          <w:tcPr>
            <w:tcW w:w="1720" w:type="dxa"/>
            <w:vAlign w:val="bottom"/>
          </w:tcPr>
          <w:p>
            <w:pPr>
              <w:jc w:val="right"/>
              <w:ind w:right="122"/>
              <w:spacing w:after="0"/>
              <w:rPr>
                <w:sz w:val="20"/>
                <w:szCs w:val="20"/>
                <w:color w:val="auto"/>
              </w:rPr>
            </w:pPr>
            <w:r>
              <w:rPr>
                <w:rFonts w:ascii="Arial" w:cs="Arial" w:eastAsia="Arial" w:hAnsi="Arial"/>
                <w:sz w:val="16"/>
                <w:szCs w:val="16"/>
                <w:color w:val="4B4B4B"/>
              </w:rPr>
              <w:t>60</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CEO compensation</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4B4B4B"/>
              </w:rPr>
              <w:t>20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20</w:t>
            </w:r>
          </w:p>
        </w:tc>
      </w:tr>
      <w:tr>
        <w:trPr>
          <w:trHeight w:val="20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B4B4B"/>
              </w:rPr>
              <w:t>Discrete items</w:t>
            </w:r>
          </w:p>
        </w:tc>
        <w:tc>
          <w:tcPr>
            <w:tcW w:w="100" w:type="dxa"/>
            <w:vAlign w:val="bottom"/>
            <w:tcBorders>
              <w:bottom w:val="single" w:sz="8" w:color="494949"/>
            </w:tcBorders>
          </w:tcPr>
          <w:p>
            <w:pPr>
              <w:spacing w:after="0"/>
              <w:rPr>
                <w:sz w:val="18"/>
                <w:szCs w:val="18"/>
                <w:color w:val="auto"/>
              </w:rPr>
            </w:pPr>
          </w:p>
        </w:tc>
        <w:tc>
          <w:tcPr>
            <w:tcW w:w="1740" w:type="dxa"/>
            <w:vAlign w:val="bottom"/>
            <w:tcBorders>
              <w:bottom w:val="single" w:sz="8" w:color="494949"/>
            </w:tcBorders>
          </w:tcPr>
          <w:p>
            <w:pPr>
              <w:jc w:val="right"/>
              <w:ind w:right="141"/>
              <w:spacing w:after="0"/>
              <w:rPr>
                <w:sz w:val="20"/>
                <w:szCs w:val="20"/>
                <w:color w:val="auto"/>
              </w:rPr>
            </w:pPr>
            <w:r>
              <w:rPr>
                <w:rFonts w:ascii="Arial" w:cs="Arial" w:eastAsia="Arial" w:hAnsi="Arial"/>
                <w:sz w:val="16"/>
                <w:szCs w:val="16"/>
                <w:color w:val="4B4B4B"/>
              </w:rPr>
              <w:t>8</w:t>
            </w:r>
          </w:p>
        </w:tc>
        <w:tc>
          <w:tcPr>
            <w:tcW w:w="100" w:type="dxa"/>
            <w:vAlign w:val="bottom"/>
            <w:tcBorders>
              <w:bottom w:val="single" w:sz="8" w:color="494949"/>
            </w:tcBorders>
          </w:tcPr>
          <w:p>
            <w:pPr>
              <w:spacing w:after="0"/>
              <w:rPr>
                <w:sz w:val="18"/>
                <w:szCs w:val="18"/>
                <w:color w:val="auto"/>
              </w:rPr>
            </w:pPr>
          </w:p>
        </w:tc>
        <w:tc>
          <w:tcPr>
            <w:tcW w:w="1720" w:type="dxa"/>
            <w:vAlign w:val="bottom"/>
            <w:tcBorders>
              <w:bottom w:val="single" w:sz="8" w:color="494949"/>
            </w:tcBorders>
          </w:tcPr>
          <w:p>
            <w:pPr>
              <w:jc w:val="right"/>
              <w:ind w:right="122"/>
              <w:spacing w:after="0"/>
              <w:rPr>
                <w:sz w:val="20"/>
                <w:szCs w:val="20"/>
                <w:color w:val="auto"/>
              </w:rPr>
            </w:pPr>
            <w:r>
              <w:rPr>
                <w:rFonts w:ascii="Arial" w:cs="Arial" w:eastAsia="Arial" w:hAnsi="Arial"/>
                <w:sz w:val="16"/>
                <w:szCs w:val="16"/>
                <w:color w:val="4B4B4B"/>
              </w:rPr>
              <w:t>10</w:t>
            </w:r>
          </w:p>
        </w:tc>
      </w:tr>
      <w:tr>
        <w:trPr>
          <w:trHeight w:val="202"/>
        </w:trPr>
        <w:tc>
          <w:tcPr>
            <w:tcW w:w="7560" w:type="dxa"/>
            <w:vAlign w:val="bottom"/>
            <w:tcBorders>
              <w:bottom w:val="single" w:sz="8" w:color="494949"/>
            </w:tcBorders>
            <w:shd w:val="clear" w:color="auto" w:fill="CCEEFF"/>
          </w:tcPr>
          <w:p>
            <w:pPr>
              <w:ind w:left="20"/>
              <w:spacing w:after="0"/>
              <w:rPr>
                <w:sz w:val="20"/>
                <w:szCs w:val="20"/>
                <w:color w:val="auto"/>
              </w:rPr>
            </w:pPr>
            <w:r>
              <w:rPr>
                <w:rFonts w:ascii="Arial" w:cs="Arial" w:eastAsia="Arial" w:hAnsi="Arial"/>
                <w:sz w:val="16"/>
                <w:szCs w:val="16"/>
                <w:color w:val="4B4B4B"/>
              </w:rPr>
              <w:t>Adjusted net income</w:t>
            </w:r>
          </w:p>
        </w:tc>
        <w:tc>
          <w:tcPr>
            <w:tcW w:w="100" w:type="dxa"/>
            <w:vAlign w:val="bottom"/>
            <w:tcBorders>
              <w:bottom w:val="single" w:sz="8" w:color="494949"/>
            </w:tcBorders>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40" w:type="dxa"/>
            <w:vAlign w:val="bottom"/>
            <w:tcBorders>
              <w:bottom w:val="single" w:sz="8" w:color="494949"/>
            </w:tcBorders>
            <w:shd w:val="clear" w:color="auto" w:fill="CCEEFF"/>
          </w:tcPr>
          <w:p>
            <w:pPr>
              <w:jc w:val="right"/>
              <w:ind w:right="141"/>
              <w:spacing w:after="0"/>
              <w:rPr>
                <w:sz w:val="20"/>
                <w:szCs w:val="20"/>
                <w:color w:val="auto"/>
              </w:rPr>
            </w:pPr>
            <w:r>
              <w:rPr>
                <w:rFonts w:ascii="Arial" w:cs="Arial" w:eastAsia="Arial" w:hAnsi="Arial"/>
                <w:sz w:val="16"/>
                <w:szCs w:val="16"/>
                <w:color w:val="4B4B4B"/>
              </w:rPr>
              <w:t>670</w:t>
            </w:r>
          </w:p>
        </w:tc>
        <w:tc>
          <w:tcPr>
            <w:tcW w:w="100" w:type="dxa"/>
            <w:vAlign w:val="bottom"/>
            <w:tcBorders>
              <w:bottom w:val="single" w:sz="8" w:color="494949"/>
            </w:tcBorders>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20" w:type="dxa"/>
            <w:vAlign w:val="bottom"/>
            <w:tcBorders>
              <w:bottom w:val="single" w:sz="8" w:color="494949"/>
            </w:tcBorders>
            <w:shd w:val="clear" w:color="auto" w:fill="CCEEFF"/>
          </w:tcPr>
          <w:p>
            <w:pPr>
              <w:jc w:val="right"/>
              <w:ind w:right="122"/>
              <w:spacing w:after="0"/>
              <w:rPr>
                <w:sz w:val="20"/>
                <w:szCs w:val="20"/>
                <w:color w:val="auto"/>
              </w:rPr>
            </w:pPr>
            <w:r>
              <w:rPr>
                <w:rFonts w:ascii="Arial" w:cs="Arial" w:eastAsia="Arial" w:hAnsi="Arial"/>
                <w:sz w:val="16"/>
                <w:szCs w:val="16"/>
                <w:color w:val="4B4B4B"/>
              </w:rPr>
              <w:t>645</w:t>
            </w:r>
          </w:p>
        </w:tc>
      </w:tr>
      <w:tr>
        <w:trPr>
          <w:trHeight w:val="138"/>
        </w:trPr>
        <w:tc>
          <w:tcPr>
            <w:tcW w:w="7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shd w:val="clear" w:color="auto" w:fill="CCEEFF"/>
              </w:rPr>
              <w:t>$</w:t>
            </w:r>
          </w:p>
        </w:tc>
        <w:tc>
          <w:tcPr>
            <w:tcW w:w="1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4B4B4B"/>
                <w:shd w:val="clear" w:color="auto" w:fill="CCEEFF"/>
              </w:rPr>
              <w:t>15.35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shd w:val="clear" w:color="auto" w:fill="CCEEFF"/>
              </w:rPr>
              <w:t>$</w:t>
            </w:r>
          </w:p>
        </w:tc>
        <w:tc>
          <w:tcPr>
            <w:tcW w:w="17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shd w:val="clear" w:color="auto" w:fill="CCEEFF"/>
              </w:rPr>
              <w:t>14.85</w:t>
            </w:r>
          </w:p>
        </w:tc>
      </w:tr>
      <w:tr>
        <w:trPr>
          <w:trHeight w:val="208"/>
        </w:trPr>
        <w:tc>
          <w:tcPr>
            <w:tcW w:w="7560" w:type="dxa"/>
            <w:vAlign w:val="bottom"/>
          </w:tcPr>
          <w:p>
            <w:pPr>
              <w:ind w:left="20"/>
              <w:spacing w:after="0"/>
              <w:rPr>
                <w:sz w:val="20"/>
                <w:szCs w:val="20"/>
                <w:color w:val="auto"/>
              </w:rPr>
            </w:pPr>
            <w:r>
              <w:rPr>
                <w:rFonts w:ascii="Arial" w:cs="Arial" w:eastAsia="Arial" w:hAnsi="Arial"/>
                <w:sz w:val="16"/>
                <w:szCs w:val="16"/>
                <w:color w:val="4B4B4B"/>
              </w:rPr>
              <w:t>Intangible asset amortization</w:t>
            </w:r>
          </w:p>
        </w:tc>
        <w:tc>
          <w:tcPr>
            <w:tcW w:w="100" w:type="dxa"/>
            <w:vAlign w:val="bottom"/>
          </w:tcPr>
          <w:p>
            <w:pPr>
              <w:spacing w:after="0"/>
              <w:rPr>
                <w:sz w:val="18"/>
                <w:szCs w:val="18"/>
                <w:color w:val="auto"/>
              </w:rPr>
            </w:pPr>
          </w:p>
        </w:tc>
        <w:tc>
          <w:tcPr>
            <w:tcW w:w="1740" w:type="dxa"/>
            <w:vAlign w:val="bottom"/>
          </w:tcPr>
          <w:p>
            <w:pPr>
              <w:jc w:val="right"/>
              <w:ind w:right="141"/>
              <w:spacing w:after="0"/>
              <w:rPr>
                <w:sz w:val="20"/>
                <w:szCs w:val="20"/>
                <w:color w:val="auto"/>
              </w:rPr>
            </w:pPr>
            <w:r>
              <w:rPr>
                <w:rFonts w:ascii="Arial" w:cs="Arial" w:eastAsia="Arial" w:hAnsi="Arial"/>
                <w:sz w:val="16"/>
                <w:szCs w:val="16"/>
                <w:color w:val="4B4B4B"/>
              </w:rPr>
              <w:t>1.63</w:t>
            </w:r>
          </w:p>
        </w:tc>
        <w:tc>
          <w:tcPr>
            <w:tcW w:w="100" w:type="dxa"/>
            <w:vAlign w:val="bottom"/>
          </w:tcPr>
          <w:p>
            <w:pPr>
              <w:spacing w:after="0"/>
              <w:rPr>
                <w:sz w:val="18"/>
                <w:szCs w:val="18"/>
                <w:color w:val="auto"/>
              </w:rPr>
            </w:pPr>
          </w:p>
        </w:tc>
        <w:tc>
          <w:tcPr>
            <w:tcW w:w="1720" w:type="dxa"/>
            <w:vAlign w:val="bottom"/>
          </w:tcPr>
          <w:p>
            <w:pPr>
              <w:jc w:val="right"/>
              <w:ind w:right="122"/>
              <w:spacing w:after="0"/>
              <w:rPr>
                <w:sz w:val="20"/>
                <w:szCs w:val="20"/>
                <w:color w:val="auto"/>
              </w:rPr>
            </w:pPr>
            <w:r>
              <w:rPr>
                <w:rFonts w:ascii="Arial" w:cs="Arial" w:eastAsia="Arial" w:hAnsi="Arial"/>
                <w:sz w:val="16"/>
                <w:szCs w:val="16"/>
                <w:color w:val="4B4B4B"/>
              </w:rPr>
              <w:t>1.63</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CEO compensation</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4B4B4B"/>
              </w:rPr>
              <w:t>0.54</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0.54</w:t>
            </w:r>
          </w:p>
        </w:tc>
      </w:tr>
      <w:tr>
        <w:trPr>
          <w:trHeight w:val="20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B4B4B"/>
              </w:rPr>
              <w:t>Discrete items</w:t>
            </w:r>
          </w:p>
        </w:tc>
        <w:tc>
          <w:tcPr>
            <w:tcW w:w="100" w:type="dxa"/>
            <w:vAlign w:val="bottom"/>
            <w:tcBorders>
              <w:bottom w:val="single" w:sz="8" w:color="494949"/>
            </w:tcBorders>
          </w:tcPr>
          <w:p>
            <w:pPr>
              <w:spacing w:after="0"/>
              <w:rPr>
                <w:sz w:val="18"/>
                <w:szCs w:val="18"/>
                <w:color w:val="auto"/>
              </w:rPr>
            </w:pPr>
          </w:p>
        </w:tc>
        <w:tc>
          <w:tcPr>
            <w:tcW w:w="1740" w:type="dxa"/>
            <w:vAlign w:val="bottom"/>
            <w:tcBorders>
              <w:bottom w:val="single" w:sz="8" w:color="494949"/>
            </w:tcBorders>
          </w:tcPr>
          <w:p>
            <w:pPr>
              <w:jc w:val="right"/>
              <w:ind w:right="141"/>
              <w:spacing w:after="0"/>
              <w:rPr>
                <w:sz w:val="20"/>
                <w:szCs w:val="20"/>
                <w:color w:val="auto"/>
              </w:rPr>
            </w:pPr>
            <w:r>
              <w:rPr>
                <w:rFonts w:ascii="Arial" w:cs="Arial" w:eastAsia="Arial" w:hAnsi="Arial"/>
                <w:sz w:val="16"/>
                <w:szCs w:val="16"/>
                <w:color w:val="4B4B4B"/>
              </w:rPr>
              <w:t>0.23</w:t>
            </w:r>
          </w:p>
        </w:tc>
        <w:tc>
          <w:tcPr>
            <w:tcW w:w="100" w:type="dxa"/>
            <w:vAlign w:val="bottom"/>
            <w:tcBorders>
              <w:bottom w:val="single" w:sz="8" w:color="494949"/>
            </w:tcBorders>
          </w:tcPr>
          <w:p>
            <w:pPr>
              <w:spacing w:after="0"/>
              <w:rPr>
                <w:sz w:val="18"/>
                <w:szCs w:val="18"/>
                <w:color w:val="auto"/>
              </w:rPr>
            </w:pPr>
          </w:p>
        </w:tc>
        <w:tc>
          <w:tcPr>
            <w:tcW w:w="1720" w:type="dxa"/>
            <w:vAlign w:val="bottom"/>
            <w:tcBorders>
              <w:bottom w:val="single" w:sz="8" w:color="494949"/>
            </w:tcBorders>
          </w:tcPr>
          <w:p>
            <w:pPr>
              <w:jc w:val="right"/>
              <w:ind w:right="122"/>
              <w:spacing w:after="0"/>
              <w:rPr>
                <w:sz w:val="20"/>
                <w:szCs w:val="20"/>
                <w:color w:val="auto"/>
              </w:rPr>
            </w:pPr>
            <w:r>
              <w:rPr>
                <w:rFonts w:ascii="Arial" w:cs="Arial" w:eastAsia="Arial" w:hAnsi="Arial"/>
                <w:sz w:val="16"/>
                <w:szCs w:val="16"/>
                <w:color w:val="4B4B4B"/>
              </w:rPr>
              <w:t>0.23</w:t>
            </w: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Adjusted 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4B4B4B"/>
              </w:rPr>
              <w:t>17.75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17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17.25</w:t>
            </w:r>
          </w:p>
        </w:tc>
      </w:tr>
    </w:tbl>
    <w:p>
      <w:pPr>
        <w:spacing w:after="0" w:line="187" w:lineRule="exact"/>
        <w:rPr>
          <w:sz w:val="20"/>
          <w:szCs w:val="20"/>
          <w:color w:val="auto"/>
        </w:rPr>
      </w:pPr>
    </w:p>
    <w:p>
      <w:pPr>
        <w:ind w:left="300" w:hanging="295"/>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4B4B4B"/>
        </w:rPr>
        <w:t>Adjusted operating margin is calculated as Adjusted operating income divided by Revenues.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6A6A6"/>
        </w:rPr>
        <w:t>Free Cash Flow</w:t>
      </w:r>
    </w:p>
    <w:p>
      <w:pPr>
        <w:spacing w:after="0" w:line="138" w:lineRule="exact"/>
        <w:rPr>
          <w:sz w:val="20"/>
          <w:szCs w:val="20"/>
          <w:color w:val="auto"/>
        </w:rPr>
      </w:pPr>
    </w:p>
    <w:p>
      <w:pPr>
        <w:ind w:right="560"/>
        <w:spacing w:after="0" w:line="284" w:lineRule="auto"/>
        <w:rPr>
          <w:sz w:val="20"/>
          <w:szCs w:val="20"/>
          <w:color w:val="auto"/>
        </w:rPr>
      </w:pPr>
      <w:r>
        <w:rPr>
          <w:rFonts w:ascii="Arial" w:cs="Arial" w:eastAsia="Arial" w:hAnsi="Arial"/>
          <w:sz w:val="16"/>
          <w:szCs w:val="16"/>
          <w:color w:val="auto"/>
        </w:rPr>
        <w:t>Cash flows provided by operating activities have been reduced by purchases of property, equipment, leasehold improvements and capitalized internal-use software to report non-GAAP free cash flow.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ind w:left="20"/>
              <w:spacing w:after="0"/>
              <w:rPr>
                <w:sz w:val="20"/>
                <w:szCs w:val="20"/>
                <w:color w:val="auto"/>
              </w:rPr>
            </w:pPr>
            <w:r>
              <w:rPr>
                <w:rFonts w:ascii="Arial" w:cs="Arial" w:eastAsia="Arial" w:hAnsi="Arial"/>
                <w:sz w:val="16"/>
                <w:szCs w:val="16"/>
                <w:i w:val="1"/>
                <w:iCs w:val="1"/>
                <w:color w:val="4B4B4B"/>
              </w:rPr>
              <w:t>(Unaudited)</w:t>
            </w:r>
          </w:p>
        </w:tc>
        <w:tc>
          <w:tcPr>
            <w:tcW w:w="280" w:type="dxa"/>
            <w:vAlign w:val="bottom"/>
          </w:tcPr>
          <w:p>
            <w:pPr>
              <w:spacing w:after="0"/>
              <w:rPr>
                <w:sz w:val="17"/>
                <w:szCs w:val="17"/>
                <w:color w:val="auto"/>
              </w:rPr>
            </w:pPr>
          </w:p>
        </w:tc>
        <w:tc>
          <w:tcPr>
            <w:tcW w:w="2200" w:type="dxa"/>
            <w:vAlign w:val="bottom"/>
            <w:gridSpan w:val="3"/>
          </w:tcPr>
          <w:p>
            <w:pPr>
              <w:jc w:val="right"/>
              <w:ind w:right="442"/>
              <w:spacing w:after="0"/>
              <w:rPr>
                <w:sz w:val="20"/>
                <w:szCs w:val="20"/>
                <w:color w:val="auto"/>
              </w:rPr>
            </w:pPr>
            <w:r>
              <w:rPr>
                <w:rFonts w:ascii="Arial" w:cs="Arial" w:eastAsia="Arial" w:hAnsi="Arial"/>
                <w:sz w:val="16"/>
                <w:szCs w:val="16"/>
                <w:color w:val="4B4B4B"/>
              </w:rPr>
              <w:t>Three Months Ended</w:t>
            </w:r>
          </w:p>
        </w:tc>
        <w:tc>
          <w:tcPr>
            <w:tcW w:w="980" w:type="dxa"/>
            <w:vAlign w:val="bottom"/>
          </w:tcPr>
          <w:p>
            <w:pPr>
              <w:spacing w:after="0"/>
              <w:rPr>
                <w:sz w:val="17"/>
                <w:szCs w:val="17"/>
                <w:color w:val="auto"/>
              </w:rPr>
            </w:pPr>
          </w:p>
        </w:tc>
      </w:tr>
      <w:tr>
        <w:trPr>
          <w:trHeight w:val="209"/>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4B4B4B"/>
              </w:rPr>
              <w:t>February 28,</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B4B4B"/>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4B4B4B"/>
              </w:rPr>
              <w:t>2026</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4B4B4B"/>
                <w:w w:val="95"/>
              </w:rPr>
              <w:t>2025</w:t>
            </w: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4B4B4B"/>
              </w:rPr>
              <w:t>Change</w:t>
            </w: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Net Cash Provided for Operating Activities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4B4B4B"/>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211,688</w:t>
            </w: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4B4B4B"/>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173,955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21.7 %</w:t>
            </w:r>
          </w:p>
        </w:tc>
      </w:tr>
      <w:tr>
        <w:trPr>
          <w:trHeight w:val="20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4B4B4B"/>
              </w:rPr>
              <w:t>Less: purchases of property, equipment, leasehold improvements and capitalized internal-use software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(25,997)</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(23,736)</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4B4B4B"/>
              </w:rPr>
              <w:t>9.5 %</w:t>
            </w: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Free Cash Flow</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4B4B4B"/>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185,691</w:t>
            </w: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4B4B4B"/>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4B4B4B"/>
              </w:rPr>
              <w:t>150,219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23.6 %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11</w:t>
      </w:r>
    </w:p>
    <w:p>
      <w:pPr>
        <w:sectPr>
          <w:pgSz w:w="11900" w:h="16838" w:orient="portrait"/>
          <w:cols w:equalWidth="0" w:num="1">
            <w:col w:w="11240"/>
          </w:cols>
          <w:pgMar w:left="320" w:top="143"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FAFAF"/>
        </w:rPr>
        <w:t>News Release I 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40" w:type="dxa"/>
            <w:vAlign w:val="bottom"/>
          </w:tcPr>
          <w:p>
            <w:pPr>
              <w:spacing w:after="0"/>
              <w:rPr>
                <w:sz w:val="20"/>
                <w:szCs w:val="20"/>
                <w:color w:val="auto"/>
              </w:rPr>
            </w:pPr>
            <w:r>
              <w:rPr>
                <w:rFonts w:ascii="Arial" w:cs="Arial" w:eastAsia="Arial" w:hAnsi="Arial"/>
                <w:sz w:val="16"/>
                <w:szCs w:val="16"/>
                <w:color w:val="4B4B4B"/>
              </w:rPr>
              <w:t>The following table presents the calculation of organic ASV.</w:t>
            </w:r>
          </w:p>
        </w:tc>
        <w:tc>
          <w:tcPr>
            <w:tcW w:w="25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85"/>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4B4B4B"/>
              </w:rPr>
              <w:t>(In millions)</w:t>
            </w:r>
          </w:p>
        </w:tc>
        <w:tc>
          <w:tcPr>
            <w:tcW w:w="25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4B4B4B"/>
              </w:rPr>
              <w:t>As of February 28, 2026</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As reported ASV</w:t>
            </w:r>
          </w:p>
        </w:tc>
        <w:tc>
          <w:tcPr>
            <w:tcW w:w="25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4B4B4B"/>
              </w:rPr>
              <w:t>$</w:t>
            </w:r>
          </w:p>
        </w:tc>
        <w:tc>
          <w:tcPr>
            <w:tcW w:w="2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2,450.2</w:t>
            </w:r>
          </w:p>
        </w:tc>
      </w:tr>
      <w:tr>
        <w:trPr>
          <w:trHeight w:val="208"/>
        </w:trPr>
        <w:tc>
          <w:tcPr>
            <w:tcW w:w="6440" w:type="dxa"/>
            <w:vAlign w:val="bottom"/>
          </w:tcPr>
          <w:p>
            <w:pPr>
              <w:ind w:left="120"/>
              <w:spacing w:after="0"/>
              <w:rPr>
                <w:sz w:val="20"/>
                <w:szCs w:val="20"/>
                <w:color w:val="auto"/>
              </w:rPr>
            </w:pPr>
            <w:r>
              <w:rPr>
                <w:rFonts w:ascii="Arial" w:cs="Arial" w:eastAsia="Arial" w:hAnsi="Arial"/>
                <w:sz w:val="16"/>
                <w:szCs w:val="16"/>
                <w:color w:val="4B4B4B"/>
              </w:rPr>
              <w:t>Impact from foreign currency movements</w:t>
            </w:r>
          </w:p>
        </w:tc>
        <w:tc>
          <w:tcPr>
            <w:tcW w:w="2560" w:type="dxa"/>
            <w:vAlign w:val="bottom"/>
          </w:tcPr>
          <w:p>
            <w:pPr>
              <w:spacing w:after="0"/>
              <w:rPr>
                <w:sz w:val="18"/>
                <w:szCs w:val="18"/>
                <w:color w:val="auto"/>
              </w:rPr>
            </w:pPr>
          </w:p>
        </w:tc>
        <w:tc>
          <w:tcPr>
            <w:tcW w:w="2240" w:type="dxa"/>
            <w:vAlign w:val="bottom"/>
          </w:tcPr>
          <w:p>
            <w:pPr>
              <w:jc w:val="right"/>
              <w:ind w:right="82"/>
              <w:spacing w:after="0"/>
              <w:rPr>
                <w:sz w:val="20"/>
                <w:szCs w:val="20"/>
                <w:color w:val="auto"/>
              </w:rPr>
            </w:pPr>
            <w:r>
              <w:rPr>
                <w:rFonts w:ascii="Arial" w:cs="Arial" w:eastAsia="Arial" w:hAnsi="Arial"/>
                <w:sz w:val="16"/>
                <w:szCs w:val="16"/>
                <w:color w:val="4B4B4B"/>
              </w:rPr>
              <w:t>(1.1)</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Organic ASV</w:t>
            </w:r>
          </w:p>
        </w:tc>
        <w:tc>
          <w:tcPr>
            <w:tcW w:w="25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4B4B4B"/>
              </w:rPr>
              <w:t>$</w:t>
            </w:r>
          </w:p>
        </w:tc>
        <w:tc>
          <w:tcPr>
            <w:tcW w:w="2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4B4B4B"/>
              </w:rPr>
              <w:t>2,449.1</w:t>
            </w:r>
          </w:p>
        </w:tc>
      </w:tr>
      <w:tr>
        <w:trPr>
          <w:trHeight w:val="275"/>
        </w:trPr>
        <w:tc>
          <w:tcPr>
            <w:tcW w:w="6440" w:type="dxa"/>
            <w:vAlign w:val="bottom"/>
          </w:tcPr>
          <w:p>
            <w:pPr>
              <w:ind w:left="20"/>
              <w:spacing w:after="0"/>
              <w:rPr>
                <w:sz w:val="20"/>
                <w:szCs w:val="20"/>
                <w:color w:val="auto"/>
              </w:rPr>
            </w:pPr>
            <w:r>
              <w:rPr>
                <w:rFonts w:ascii="Arial" w:cs="Arial" w:eastAsia="Arial" w:hAnsi="Arial"/>
                <w:sz w:val="16"/>
                <w:szCs w:val="16"/>
                <w:i w:val="1"/>
                <w:iCs w:val="1"/>
                <w:color w:val="4B4B4B"/>
              </w:rPr>
              <w:t>Organic ASV annual growth rate</w:t>
            </w:r>
            <w:r>
              <w:rPr>
                <w:rFonts w:ascii="Arial" w:cs="Arial" w:eastAsia="Arial" w:hAnsi="Arial"/>
                <w:sz w:val="20"/>
                <w:szCs w:val="20"/>
                <w:i w:val="1"/>
                <w:iCs w:val="1"/>
                <w:color w:val="4B4B4B"/>
                <w:vertAlign w:val="superscript"/>
              </w:rPr>
              <w:t>(a)</w:t>
            </w:r>
          </w:p>
        </w:tc>
        <w:tc>
          <w:tcPr>
            <w:tcW w:w="25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6"/>
                <w:szCs w:val="16"/>
                <w:i w:val="1"/>
                <w:iCs w:val="1"/>
                <w:color w:val="4B4B4B"/>
              </w:rPr>
              <w:t>6.7 %</w:t>
            </w:r>
          </w:p>
        </w:tc>
      </w:tr>
    </w:tbl>
    <w:p>
      <w:pPr>
        <w:spacing w:after="0" w:line="13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4B4B4B"/>
        </w:rPr>
        <w:t>(a)</w:t>
      </w:r>
      <w:r>
        <w:rPr>
          <w:sz w:val="20"/>
          <w:szCs w:val="20"/>
          <w:color w:val="auto"/>
        </w:rPr>
        <w:tab/>
      </w:r>
      <w:r>
        <w:rPr>
          <w:rFonts w:ascii="Arial" w:cs="Arial" w:eastAsia="Arial" w:hAnsi="Arial"/>
          <w:sz w:val="13"/>
          <w:szCs w:val="13"/>
          <w:color w:val="4B4B4B"/>
        </w:rPr>
        <w:t>For comparability purposes, in calculating the organic ASV annual growth rate, the prior year excludes ASV from dispositions completed in the last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12</w:t>
      </w:r>
    </w:p>
    <w:sectPr>
      <w:pgSz w:w="11900" w:h="16838" w:orient="portrait"/>
      <w:cols w:equalWidth="0" w:num="1">
        <w:col w:w="11240"/>
      </w:cols>
      <w:pgMar w:left="320" w:top="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2026-03-31T05:58:00Z</dcterms:created>
  <dcterms:modified xsi:type="dcterms:W3CDTF">2026-03-31T05:58:00Z</dcterms:modified>
</cp:coreProperties>
</file>