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32"/>
        </w:rPr>
      </w:pPr>
      <w:r>
        <w:rPr>
          <w:rFonts w:ascii="Times New Roman;serif" w:hAnsi="Times New Roman;serif"/>
          <w:b w:val="false"/>
          <w:color w:val="000000"/>
          <w:sz w:val="32"/>
        </w:rPr>
        <w:t>Form 10-K</w:t>
      </w:r>
    </w:p>
    <w:tbl>
      <w:tblPr>
        <w:tblW w:w="7466" w:type="dxa"/>
        <w:jc w:val="center"/>
        <w:tblInd w:w="0" w:type="dxa"/>
        <w:tblLayout w:type="fixed"/>
        <w:tblCellMar>
          <w:top w:w="28" w:type="dxa"/>
          <w:left w:w="28" w:type="dxa"/>
          <w:bottom w:w="28" w:type="dxa"/>
          <w:right w:w="28" w:type="dxa"/>
        </w:tblCellMar>
      </w:tblPr>
      <w:tblGrid>
        <w:gridCol w:w="124"/>
        <w:gridCol w:w="109"/>
        <w:gridCol w:w="109"/>
        <w:gridCol w:w="2083"/>
        <w:gridCol w:w="2083"/>
        <w:gridCol w:w="2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4"/>
        </w:rPr>
        <w:t>For the fiscal year</w:t>
      </w:r>
      <w:r>
        <w:rPr>
          <w:color w:val="000000"/>
        </w:rPr>
        <w:t xml:space="preserve"> </w:t>
      </w:r>
      <w:r>
        <w:rPr>
          <w:rFonts w:ascii="Times New Roman;serif" w:hAnsi="Times New Roman;serif"/>
          <w:b/>
          <w:color w:val="000000"/>
          <w:sz w:val="24"/>
        </w:rPr>
        <w:t>ended August 31, 2025</w:t>
      </w:r>
    </w:p>
    <w:tbl>
      <w:tblPr>
        <w:tblW w:w="7706" w:type="dxa"/>
        <w:jc w:val="center"/>
        <w:tblInd w:w="0" w:type="dxa"/>
        <w:tblLayout w:type="fixed"/>
        <w:tblCellMar>
          <w:top w:w="28" w:type="dxa"/>
          <w:left w:w="28" w:type="dxa"/>
          <w:bottom w:w="28" w:type="dxa"/>
          <w:right w:w="28" w:type="dxa"/>
        </w:tblCellMar>
      </w:tblPr>
      <w:tblGrid>
        <w:gridCol w:w="124"/>
        <w:gridCol w:w="109"/>
        <w:gridCol w:w="109"/>
        <w:gridCol w:w="2155"/>
        <w:gridCol w:w="2155"/>
        <w:gridCol w:w="30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val="false"/>
          <w:color w:val="000000"/>
          <w:sz w:val="20"/>
        </w:rPr>
        <w:t xml:space="preserve">For the transition period from </w:t>
      </w:r>
      <w:r>
        <w:rPr>
          <w:color w:val="000000"/>
          <w:u w:val="single"/>
        </w:rPr>
        <w:t>            </w:t>
      </w:r>
      <w:r>
        <w:rPr>
          <w:rFonts w:ascii="Times New Roman;serif" w:hAnsi="Times New Roman;serif"/>
          <w:b w:val="false"/>
          <w:color w:val="000000"/>
          <w:sz w:val="20"/>
        </w:rPr>
        <w:t xml:space="preserve">to </w:t>
      </w:r>
      <w:r>
        <w:rPr>
          <w:color w:val="000000"/>
          <w:u w:val="single"/>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1-11869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FACTSET RESEARCH SYSTEMS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drawing>
          <wp:inline distT="0" distB="0" distL="0" distR="0">
            <wp:extent cx="2028825"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28825" cy="342900"/>
                    </a:xfrm>
                    <a:prstGeom prst="rect">
                      <a:avLst/>
                    </a:prstGeom>
                  </pic:spPr>
                </pic:pic>
              </a:graphicData>
            </a:graphic>
          </wp:inline>
        </w:drawing>
      </w:r>
      <w:bookmarkStart w:id="0" w:name="i-1"/>
      <w:bookmarkEnd w:id="0"/>
    </w:p>
    <w:tbl>
      <w:tblPr>
        <w:tblW w:w="8321"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885"/>
        <w:gridCol w:w="885"/>
        <w:gridCol w:w="1259"/>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13-3362547</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pPr>
      <w:r>
        <w:rPr>
          <w:rFonts w:ascii="Times New Roman;serif" w:hAnsi="Times New Roman;serif"/>
          <w:b/>
          <w:color w:val="000000"/>
          <w:sz w:val="20"/>
        </w:rPr>
        <w:t>45 Glover Avenue,</w:t>
      </w:r>
      <w:r>
        <w:rPr>
          <w:color w:val="000000"/>
        </w:rPr>
        <w:t xml:space="preserve"> </w:t>
      </w:r>
      <w:r>
        <w:rPr>
          <w:rFonts w:ascii="Times New Roman;serif" w:hAnsi="Times New Roman;serif"/>
          <w:b/>
          <w:color w:val="000000"/>
          <w:sz w:val="20"/>
        </w:rPr>
        <w:t>Norwalk, Connecticut 06850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(203) 810-1000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158" w:type="dxa"/>
        <w:jc w:val="center"/>
        <w:tblInd w:w="0" w:type="dxa"/>
        <w:tblLayout w:type="fixed"/>
        <w:tblCellMar>
          <w:top w:w="28" w:type="dxa"/>
          <w:left w:w="28" w:type="dxa"/>
          <w:bottom w:w="28" w:type="dxa"/>
          <w:right w:w="28" w:type="dxa"/>
        </w:tblCellMar>
      </w:tblPr>
      <w:tblGrid>
        <w:gridCol w:w="999"/>
        <w:gridCol w:w="875"/>
        <w:gridCol w:w="885"/>
        <w:gridCol w:w="564"/>
        <w:gridCol w:w="564"/>
        <w:gridCol w:w="566"/>
        <w:gridCol w:w="1085"/>
        <w:gridCol w:w="1085"/>
        <w:gridCol w:w="1535"/>
      </w:tblGrid>
      <w:tr>
        <w:trPr/>
        <w:tc>
          <w:tcPr>
            <w:tcW w:w="99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59" w:type="dxa"/>
            <w:gridSpan w:val="3"/>
            <w:vMerge w:val="restart"/>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94" w:type="dxa"/>
            <w:gridSpan w:val="3"/>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FDS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 LLC</w:t>
            </w:r>
          </w:p>
        </w:tc>
      </w:tr>
      <w:tr>
        <w:trPr/>
        <w:tc>
          <w:tcPr>
            <w:tcW w:w="2759"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1694"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 None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a well-known seasoned issuer, as defined in Rule 405 of the Securities Act.</w:t>
      </w:r>
    </w:p>
    <w:p>
      <w:pPr>
        <w:pStyle w:val="TextBody"/>
        <w:bidi w:val="0"/>
        <w:spacing w:lineRule="auto" w:line="288" w:before="0" w:after="0"/>
        <w:jc w:val="both"/>
        <w:rPr/>
      </w:pPr>
      <w:r>
        <w:rPr>
          <w:rFonts w:ascii="Times New Roman;serif" w:hAnsi="Times New Roman;serif"/>
          <w:b w:val="false"/>
          <w:color w:val="000000"/>
          <w:sz w:val="20"/>
        </w:rPr>
        <w:t>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not required to file reports pursuant to Section 13 or Section 15(d) of the Act.</w:t>
      </w:r>
    </w:p>
    <w:p>
      <w:pPr>
        <w:pStyle w:val="TextBody"/>
        <w:bidi w:val="0"/>
        <w:spacing w:lineRule="auto" w:line="288" w:before="0" w:after="120"/>
        <w:jc w:val="both"/>
        <w:rPr/>
      </w:pPr>
      <w:r>
        <w:rPr>
          <w:rFonts w:ascii="Times New Roman;serif" w:hAnsi="Times New Roman;serif"/>
          <w:b w:val="false"/>
          <w:color w:val="000000"/>
          <w:sz w:val="20"/>
        </w:rPr>
        <w:t>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x</w:t>
      </w:r>
    </w:p>
    <w:p>
      <w:pPr>
        <w:pStyle w:val="TextBody"/>
        <w:bidi w:val="0"/>
        <w:spacing w:lineRule="auto" w:line="288" w:before="0" w:after="12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0" w:after="12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w:t>
      </w:r>
    </w:p>
    <w:tbl>
      <w:tblPr>
        <w:tblW w:w="5301" w:type="dxa"/>
        <w:jc w:val="left"/>
        <w:tblInd w:w="0" w:type="dxa"/>
        <w:tblLayout w:type="fixed"/>
        <w:tblCellMar>
          <w:top w:w="28" w:type="dxa"/>
          <w:left w:w="28" w:type="dxa"/>
          <w:bottom w:w="28" w:type="dxa"/>
          <w:right w:w="28" w:type="dxa"/>
        </w:tblCellMar>
      </w:tblPr>
      <w:tblGrid>
        <w:gridCol w:w="711"/>
        <w:gridCol w:w="626"/>
        <w:gridCol w:w="628"/>
        <w:gridCol w:w="109"/>
        <w:gridCol w:w="109"/>
        <w:gridCol w:w="109"/>
        <w:gridCol w:w="109"/>
        <w:gridCol w:w="109"/>
        <w:gridCol w:w="109"/>
        <w:gridCol w:w="769"/>
        <w:gridCol w:w="769"/>
        <w:gridCol w:w="772"/>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2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Wingdings;sans-serif" w:hAnsi="Wingdings;sans-serif"/>
          <w:b w:val="false"/>
          <w:color w:val="000000"/>
          <w:sz w:val="20"/>
        </w:rPr>
        <w:t>o</w:t>
      </w:r>
      <w:r>
        <w:rPr>
          <w:color w:val="000000"/>
        </w:rPr>
        <w:t>  </w:t>
      </w:r>
    </w:p>
    <w:p>
      <w:pPr>
        <w:pStyle w:val="TextBody"/>
        <w:bidi w:val="0"/>
        <w:spacing w:lineRule="auto" w:line="288" w:before="0" w:after="120"/>
        <w:jc w:val="both"/>
        <w:rPr/>
      </w:pPr>
      <w:r>
        <w:rPr>
          <w:rFonts w:ascii="Times New Roman;serif" w:hAnsi="Times New Roman;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20"/>
        </w:rPr>
        <w:t>x</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Indicated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120"/>
        <w:jc w:val="both"/>
        <w:rPr/>
      </w:pPr>
      <w:r>
        <w:rPr>
          <w:rFonts w:ascii="Times New Roman;serif" w:hAnsi="Times New Roman;serif"/>
          <w:b w:val="false"/>
          <w:color w:val="000000"/>
          <w:sz w:val="20"/>
        </w:rPr>
        <w:t>Indicate by check mark whether the registrant is a shell company (as defined in Rule 12b-2 of the Act).      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aggregate market value of the registrant’s common stock held by non-affiliates of the registrant based upon the closing price of a share of the registrant’s common stock on February 28, 2025, the last business day of the registrant’s most recently completed second fiscal quarter, as reported by the New York Stock Exchange on that date, was $17,509,083,420.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October 15, 2025, there were 37,456,326 shares of the registrant's common stock outstanding.</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Certain information required by Part III of this Annual Report on Form 10-K is incorporated by reference to our definitive Proxy Statement for our 2025 Annual Meeting of Stockholders, which will be filed with the Securities and Exchange Commission not later than 120 days after August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FactSet Research Systems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Form 10-K</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For The Fiscal Year Ended August 31, 2025 </w:t>
      </w:r>
    </w:p>
    <w:tbl>
      <w:tblPr>
        <w:tblW w:w="10205" w:type="dxa"/>
        <w:jc w:val="left"/>
        <w:tblInd w:w="0" w:type="dxa"/>
        <w:tblLayout w:type="fixed"/>
        <w:tblCellMar>
          <w:top w:w="28" w:type="dxa"/>
          <w:left w:w="28" w:type="dxa"/>
          <w:bottom w:w="28" w:type="dxa"/>
          <w:right w:w="28" w:type="dxa"/>
        </w:tblCellMar>
      </w:tblPr>
      <w:tblGrid>
        <w:gridCol w:w="472"/>
        <w:gridCol w:w="415"/>
        <w:gridCol w:w="419"/>
        <w:gridCol w:w="264"/>
        <w:gridCol w:w="264"/>
        <w:gridCol w:w="268"/>
        <w:gridCol w:w="2598"/>
        <w:gridCol w:w="2466"/>
        <w:gridCol w:w="2467"/>
        <w:gridCol w:w="167"/>
        <w:gridCol w:w="167"/>
        <w:gridCol w:w="238"/>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0">
              <w:r>
                <w:rPr>
                  <w:rStyle w:val="InternetLink"/>
                  <w:rFonts w:ascii="Times New Roman;serif" w:hAnsi="Times New Roman;serif"/>
                  <w:b w:val="false"/>
                  <w:color w:val="0000FF"/>
                  <w:sz w:val="20"/>
                  <w:u w:val="single"/>
                </w:rPr>
                <w:t>PART I</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3">
              <w:r>
                <w:rPr>
                  <w:rStyle w:val="InternetLink"/>
                  <w:rFonts w:ascii="Times New Roman;serif" w:hAnsi="Times New Roman;serif"/>
                  <w:b w:val="false"/>
                  <w:color w:val="0000FF"/>
                  <w:sz w:val="20"/>
                  <w:u w:val="single"/>
                </w:rPr>
                <w:t>Item 1.</w:t>
              </w:r>
            </w:hyperlink>
          </w:p>
        </w:tc>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3">
              <w:r>
                <w:rPr>
                  <w:rStyle w:val="InternetLink"/>
                  <w:rFonts w:ascii="Times New Roman;serif" w:hAnsi="Times New Roman;serif"/>
                  <w:b w:val="false"/>
                  <w:color w:val="0000FF"/>
                  <w:sz w:val="20"/>
                  <w:u w:val="single"/>
                </w:rPr>
                <w:t>Business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13">
              <w:r>
                <w:rPr>
                  <w:rStyle w:val="InternetLink"/>
                  <w:rFonts w:ascii="Times New Roman;serif" w:hAnsi="Times New Roman;serif"/>
                  <w:b w:val="false"/>
                  <w:color w:val="0000FF"/>
                  <w:sz w:val="20"/>
                  <w:u w:val="single"/>
                </w:rPr>
                <w:t>5</w:t>
              </w:r>
            </w:hyperlink>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6">
              <w:r>
                <w:rPr>
                  <w:rStyle w:val="InternetLink"/>
                  <w:rFonts w:ascii="Times New Roman;serif" w:hAnsi="Times New Roman;serif"/>
                  <w:b w:val="false"/>
                  <w:color w:val="0000FF"/>
                  <w:sz w:val="20"/>
                  <w:u w:val="single"/>
                </w:rPr>
                <w:t>Item 1A.</w:t>
              </w:r>
            </w:hyperlink>
          </w:p>
        </w:tc>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6">
              <w:r>
                <w:rPr>
                  <w:rStyle w:val="InternetLink"/>
                  <w:rFonts w:ascii="Times New Roman;serif" w:hAnsi="Times New Roman;serif"/>
                  <w:b w:val="false"/>
                  <w:color w:val="0000FF"/>
                  <w:sz w:val="20"/>
                  <w:u w:val="single"/>
                </w:rPr>
                <w:t>Risk Factors</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16">
              <w:r>
                <w:rPr>
                  <w:rStyle w:val="InternetLink"/>
                  <w:rFonts w:ascii="Times New Roman;serif" w:hAnsi="Times New Roman;serif"/>
                  <w:b w:val="false"/>
                  <w:color w:val="0000FF"/>
                  <w:sz w:val="20"/>
                  <w:u w:val="single"/>
                </w:rPr>
                <w:t>14</w:t>
              </w:r>
            </w:hyperlink>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9">
              <w:r>
                <w:rPr>
                  <w:rStyle w:val="InternetLink"/>
                  <w:rFonts w:ascii="Times New Roman;serif" w:hAnsi="Times New Roman;serif"/>
                  <w:b w:val="false"/>
                  <w:color w:val="0000FF"/>
                  <w:sz w:val="20"/>
                  <w:u w:val="single"/>
                </w:rPr>
                <w:t>Item 1B.</w:t>
              </w:r>
            </w:hyperlink>
          </w:p>
        </w:tc>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9">
              <w:r>
                <w:rPr>
                  <w:rStyle w:val="InternetLink"/>
                  <w:rFonts w:ascii="Times New Roman;serif" w:hAnsi="Times New Roman;serif"/>
                  <w:b w:val="false"/>
                  <w:color w:val="0000FF"/>
                  <w:sz w:val="20"/>
                  <w:u w:val="single"/>
                </w:rPr>
                <w:t>Unresolved Staff Comments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19">
              <w:r>
                <w:rPr>
                  <w:rStyle w:val="InternetLink"/>
                  <w:rFonts w:ascii="Times New Roman;serif" w:hAnsi="Times New Roman;serif"/>
                  <w:b w:val="false"/>
                  <w:color w:val="0000FF"/>
                  <w:sz w:val="20"/>
                  <w:u w:val="single"/>
                </w:rPr>
                <w:t>23</w:t>
              </w:r>
            </w:hyperlink>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22">
              <w:r>
                <w:rPr>
                  <w:rStyle w:val="InternetLink"/>
                  <w:rFonts w:ascii="Times New Roman;serif" w:hAnsi="Times New Roman;serif"/>
                  <w:b w:val="false"/>
                  <w:color w:val="000080"/>
                  <w:sz w:val="20"/>
                  <w:u w:val="single"/>
                </w:rPr>
                <w:t>Item 1C</w:t>
              </w:r>
            </w:hyperlink>
            <w:r>
              <w:rPr>
                <w:rFonts w:ascii="Times New Roman;serif" w:hAnsi="Times New Roman;serif"/>
                <w:b w:val="false"/>
                <w:color w:val="0000FF"/>
                <w:sz w:val="20"/>
                <w:u w:val="single"/>
              </w:rPr>
              <w:t>.</w:t>
            </w:r>
          </w:p>
        </w:tc>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22">
              <w:r>
                <w:rPr>
                  <w:rStyle w:val="InternetLink"/>
                  <w:rFonts w:ascii="Times New Roman;serif" w:hAnsi="Times New Roman;serif"/>
                  <w:b w:val="false"/>
                  <w:color w:val="0000FF"/>
                  <w:sz w:val="20"/>
                  <w:u w:val="single"/>
                </w:rPr>
                <w:t>Cybersecurity</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22">
              <w:r>
                <w:rPr>
                  <w:rStyle w:val="InternetLink"/>
                  <w:rFonts w:ascii="Times New Roman;serif" w:hAnsi="Times New Roman;serif"/>
                  <w:b w:val="false"/>
                  <w:color w:val="0000FF"/>
                  <w:sz w:val="20"/>
                  <w:u w:val="single"/>
                </w:rPr>
                <w:t>23</w:t>
              </w:r>
            </w:hyperlink>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25">
              <w:r>
                <w:rPr>
                  <w:rStyle w:val="InternetLink"/>
                  <w:rFonts w:ascii="Times New Roman;serif" w:hAnsi="Times New Roman;serif"/>
                  <w:b w:val="false"/>
                  <w:color w:val="0000FF"/>
                  <w:sz w:val="20"/>
                  <w:u w:val="single"/>
                </w:rPr>
                <w:t>Item 2.</w:t>
              </w:r>
            </w:hyperlink>
          </w:p>
        </w:tc>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25">
              <w:r>
                <w:rPr>
                  <w:rStyle w:val="InternetLink"/>
                  <w:rFonts w:ascii="Times New Roman;serif" w:hAnsi="Times New Roman;serif"/>
                  <w:b w:val="false"/>
                  <w:color w:val="0000FF"/>
                  <w:sz w:val="20"/>
                  <w:u w:val="single"/>
                </w:rPr>
                <w:t>Properties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25">
              <w:r>
                <w:rPr>
                  <w:rStyle w:val="InternetLink"/>
                  <w:rFonts w:ascii="Times New Roman;serif" w:hAnsi="Times New Roman;serif"/>
                  <w:b w:val="false"/>
                  <w:color w:val="0000FF"/>
                  <w:sz w:val="20"/>
                  <w:u w:val="single"/>
                </w:rPr>
                <w:t>25</w:t>
              </w:r>
            </w:hyperlink>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28">
              <w:r>
                <w:rPr>
                  <w:rStyle w:val="InternetLink"/>
                  <w:rFonts w:ascii="Times New Roman;serif" w:hAnsi="Times New Roman;serif"/>
                  <w:b w:val="false"/>
                  <w:color w:val="0000FF"/>
                  <w:sz w:val="20"/>
                  <w:u w:val="single"/>
                </w:rPr>
                <w:t>Item 3.</w:t>
              </w:r>
            </w:hyperlink>
          </w:p>
        </w:tc>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28">
              <w:r>
                <w:rPr>
                  <w:rStyle w:val="InternetLink"/>
                  <w:rFonts w:ascii="Times New Roman;serif" w:hAnsi="Times New Roman;serif"/>
                  <w:b w:val="false"/>
                  <w:color w:val="0000FF"/>
                  <w:sz w:val="20"/>
                  <w:u w:val="single"/>
                </w:rPr>
                <w:t>Legal Proceedings</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28">
              <w:r>
                <w:rPr>
                  <w:rStyle w:val="InternetLink"/>
                  <w:rFonts w:ascii="Times New Roman;serif" w:hAnsi="Times New Roman;serif"/>
                  <w:b w:val="false"/>
                  <w:color w:val="0000FF"/>
                  <w:sz w:val="20"/>
                  <w:u w:val="single"/>
                </w:rPr>
                <w:t>26</w:t>
              </w:r>
            </w:hyperlink>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31">
              <w:r>
                <w:rPr>
                  <w:rStyle w:val="InternetLink"/>
                  <w:rFonts w:ascii="Times New Roman;serif" w:hAnsi="Times New Roman;serif"/>
                  <w:b w:val="false"/>
                  <w:color w:val="0000FF"/>
                  <w:sz w:val="20"/>
                  <w:u w:val="single"/>
                </w:rPr>
                <w:t>Item 4.</w:t>
              </w:r>
            </w:hyperlink>
          </w:p>
        </w:tc>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31">
              <w:r>
                <w:rPr>
                  <w:rStyle w:val="InternetLink"/>
                  <w:rFonts w:ascii="Times New Roman;serif" w:hAnsi="Times New Roman;serif"/>
                  <w:b w:val="false"/>
                  <w:color w:val="0000FF"/>
                  <w:sz w:val="20"/>
                  <w:u w:val="single"/>
                </w:rPr>
                <w:t>Mine Safety Disclosures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31">
              <w:r>
                <w:rPr>
                  <w:rStyle w:val="InternetLink"/>
                  <w:rFonts w:ascii="Times New Roman;serif" w:hAnsi="Times New Roman;serif"/>
                  <w:b w:val="false"/>
                  <w:color w:val="0000FF"/>
                  <w:sz w:val="20"/>
                  <w:u w:val="single"/>
                </w:rPr>
                <w:t>26</w:t>
              </w:r>
            </w:hyperlink>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34">
              <w:r>
                <w:rPr>
                  <w:rStyle w:val="InternetLink"/>
                  <w:rFonts w:ascii="Times New Roman;serif" w:hAnsi="Times New Roman;serif"/>
                  <w:b w:val="false"/>
                  <w:color w:val="0000FF"/>
                  <w:sz w:val="20"/>
                  <w:u w:val="single"/>
                </w:rPr>
                <w:t>PART II</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37">
              <w:r>
                <w:rPr>
                  <w:rStyle w:val="InternetLink"/>
                  <w:rFonts w:ascii="Times New Roman;serif" w:hAnsi="Times New Roman;serif"/>
                  <w:b w:val="false"/>
                  <w:color w:val="0000FF"/>
                  <w:sz w:val="20"/>
                  <w:u w:val="single"/>
                </w:rPr>
                <w:t>Item 5.</w:t>
              </w:r>
            </w:hyperlink>
          </w:p>
        </w:tc>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37">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37">
              <w:r>
                <w:rPr>
                  <w:rStyle w:val="InternetLink"/>
                  <w:rFonts w:ascii="Times New Roman;serif" w:hAnsi="Times New Roman;serif"/>
                  <w:b w:val="false"/>
                  <w:color w:val="0000FF"/>
                  <w:sz w:val="20"/>
                  <w:u w:val="single"/>
                </w:rPr>
                <w:t>27</w:t>
              </w:r>
            </w:hyperlink>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40">
              <w:r>
                <w:rPr>
                  <w:rStyle w:val="InternetLink"/>
                  <w:rFonts w:ascii="Times New Roman;serif" w:hAnsi="Times New Roman;serif"/>
                  <w:b w:val="false"/>
                  <w:color w:val="0000FF"/>
                  <w:sz w:val="20"/>
                  <w:u w:val="single"/>
                </w:rPr>
                <w:t>Item 6.</w:t>
              </w:r>
            </w:hyperlink>
          </w:p>
        </w:tc>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40">
              <w:r>
                <w:rPr>
                  <w:rStyle w:val="InternetLink"/>
                  <w:rFonts w:ascii="Times New Roman;serif" w:hAnsi="Times New Roman;serif"/>
                  <w:b w:val="false"/>
                  <w:color w:val="0000FF"/>
                  <w:sz w:val="20"/>
                  <w:u w:val="single"/>
                </w:rPr>
                <w:t>Reserved</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40">
              <w:r>
                <w:rPr>
                  <w:rStyle w:val="InternetLink"/>
                  <w:rFonts w:ascii="Times New Roman;serif" w:hAnsi="Times New Roman;serif"/>
                  <w:b w:val="false"/>
                  <w:color w:val="0000FF"/>
                  <w:sz w:val="20"/>
                  <w:u w:val="single"/>
                </w:rPr>
                <w:t>28</w:t>
              </w:r>
            </w:hyperlink>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43">
              <w:r>
                <w:rPr>
                  <w:rStyle w:val="InternetLink"/>
                  <w:rFonts w:ascii="Times New Roman;serif" w:hAnsi="Times New Roman;serif"/>
                  <w:b w:val="false"/>
                  <w:color w:val="0000FF"/>
                  <w:sz w:val="20"/>
                  <w:u w:val="single"/>
                </w:rPr>
                <w:t>Item 7.</w:t>
              </w:r>
            </w:hyperlink>
          </w:p>
        </w:tc>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4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43">
              <w:r>
                <w:rPr>
                  <w:rStyle w:val="InternetLink"/>
                  <w:rFonts w:ascii="Times New Roman;serif" w:hAnsi="Times New Roman;serif"/>
                  <w:b w:val="false"/>
                  <w:color w:val="0000FF"/>
                  <w:sz w:val="20"/>
                  <w:u w:val="single"/>
                </w:rPr>
                <w:t>29</w:t>
              </w:r>
            </w:hyperlink>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73">
              <w:r>
                <w:rPr>
                  <w:rStyle w:val="InternetLink"/>
                  <w:rFonts w:ascii="Times New Roman;serif" w:hAnsi="Times New Roman;serif"/>
                  <w:b w:val="false"/>
                  <w:color w:val="0000FF"/>
                  <w:sz w:val="20"/>
                  <w:u w:val="single"/>
                </w:rPr>
                <w:t>Item 7A.</w:t>
              </w:r>
            </w:hyperlink>
          </w:p>
        </w:tc>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73">
              <w:r>
                <w:rPr>
                  <w:rStyle w:val="InternetLink"/>
                  <w:rFonts w:ascii="Times New Roman;serif" w:hAnsi="Times New Roman;serif"/>
                  <w:b w:val="false"/>
                  <w:color w:val="0000FF"/>
                  <w:sz w:val="20"/>
                  <w:u w:val="single"/>
                </w:rPr>
                <w:t>Quantitative and Qualitative Disclosures About Market Risk</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73">
              <w:r>
                <w:rPr>
                  <w:rStyle w:val="InternetLink"/>
                  <w:rFonts w:ascii="Times New Roman;serif" w:hAnsi="Times New Roman;serif"/>
                  <w:b w:val="false"/>
                  <w:color w:val="0000FF"/>
                  <w:sz w:val="20"/>
                  <w:u w:val="single"/>
                </w:rPr>
                <w:t>47</w:t>
              </w:r>
            </w:hyperlink>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76">
              <w:r>
                <w:rPr>
                  <w:rStyle w:val="InternetLink"/>
                  <w:rFonts w:ascii="Times New Roman;serif" w:hAnsi="Times New Roman;serif"/>
                  <w:b w:val="false"/>
                  <w:color w:val="0000FF"/>
                  <w:sz w:val="20"/>
                  <w:u w:val="single"/>
                </w:rPr>
                <w:t>Item 8.</w:t>
              </w:r>
            </w:hyperlink>
          </w:p>
        </w:tc>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76">
              <w:r>
                <w:rPr>
                  <w:rStyle w:val="InternetLink"/>
                  <w:rFonts w:ascii="Times New Roman;serif" w:hAnsi="Times New Roman;serif"/>
                  <w:b w:val="false"/>
                  <w:color w:val="0000FF"/>
                  <w:sz w:val="20"/>
                  <w:u w:val="single"/>
                </w:rPr>
                <w:t>Financial Statements and Supplementary Data</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76">
              <w:r>
                <w:rPr>
                  <w:rStyle w:val="InternetLink"/>
                  <w:rFonts w:ascii="Times New Roman;serif" w:hAnsi="Times New Roman;serif"/>
                  <w:b w:val="false"/>
                  <w:color w:val="0000FF"/>
                  <w:sz w:val="20"/>
                  <w:u w:val="single"/>
                </w:rPr>
                <w:t>49</w:t>
              </w:r>
            </w:hyperlink>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66">
              <w:r>
                <w:rPr>
                  <w:rStyle w:val="InternetLink"/>
                  <w:rFonts w:ascii="Times New Roman;serif" w:hAnsi="Times New Roman;serif"/>
                  <w:b w:val="false"/>
                  <w:color w:val="0000FF"/>
                  <w:sz w:val="20"/>
                  <w:u w:val="single"/>
                </w:rPr>
                <w:t>Item 9.</w:t>
              </w:r>
            </w:hyperlink>
          </w:p>
        </w:tc>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66">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166">
              <w:r>
                <w:rPr>
                  <w:rStyle w:val="InternetLink"/>
                  <w:rFonts w:ascii="Times New Roman;serif" w:hAnsi="Times New Roman;serif"/>
                  <w:b w:val="false"/>
                  <w:color w:val="0000FF"/>
                  <w:sz w:val="20"/>
                  <w:u w:val="single"/>
                </w:rPr>
                <w:t>93</w:t>
              </w:r>
            </w:hyperlink>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69">
              <w:r>
                <w:rPr>
                  <w:rStyle w:val="InternetLink"/>
                  <w:rFonts w:ascii="Times New Roman;serif" w:hAnsi="Times New Roman;serif"/>
                  <w:b w:val="false"/>
                  <w:color w:val="0000FF"/>
                  <w:sz w:val="20"/>
                  <w:u w:val="single"/>
                </w:rPr>
                <w:t>Item 9A.</w:t>
              </w:r>
            </w:hyperlink>
          </w:p>
        </w:tc>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69">
              <w:r>
                <w:rPr>
                  <w:rStyle w:val="InternetLink"/>
                  <w:rFonts w:ascii="Times New Roman;serif" w:hAnsi="Times New Roman;serif"/>
                  <w:b w:val="false"/>
                  <w:color w:val="0000FF"/>
                  <w:sz w:val="20"/>
                  <w:u w:val="single"/>
                </w:rPr>
                <w:t>Controls and Procedures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169">
              <w:r>
                <w:rPr>
                  <w:rStyle w:val="InternetLink"/>
                  <w:rFonts w:ascii="Times New Roman;serif" w:hAnsi="Times New Roman;serif"/>
                  <w:b w:val="false"/>
                  <w:color w:val="0000FF"/>
                  <w:sz w:val="20"/>
                  <w:u w:val="single"/>
                </w:rPr>
                <w:t>93</w:t>
              </w:r>
            </w:hyperlink>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72">
              <w:r>
                <w:rPr>
                  <w:rStyle w:val="InternetLink"/>
                  <w:rFonts w:ascii="Times New Roman;serif" w:hAnsi="Times New Roman;serif"/>
                  <w:b w:val="false"/>
                  <w:color w:val="0000FF"/>
                  <w:sz w:val="20"/>
                  <w:u w:val="single"/>
                </w:rPr>
                <w:t>Item 9B.</w:t>
              </w:r>
            </w:hyperlink>
          </w:p>
        </w:tc>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72">
              <w:r>
                <w:rPr>
                  <w:rStyle w:val="InternetLink"/>
                  <w:rFonts w:ascii="Times New Roman;serif" w:hAnsi="Times New Roman;serif"/>
                  <w:b w:val="false"/>
                  <w:color w:val="0000FF"/>
                  <w:sz w:val="20"/>
                  <w:u w:val="single"/>
                </w:rPr>
                <w:t>Other Information</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172">
              <w:r>
                <w:rPr>
                  <w:rStyle w:val="InternetLink"/>
                  <w:rFonts w:ascii="Times New Roman;serif" w:hAnsi="Times New Roman;serif"/>
                  <w:b w:val="false"/>
                  <w:color w:val="0000FF"/>
                  <w:sz w:val="20"/>
                  <w:u w:val="single"/>
                </w:rPr>
                <w:t>95</w:t>
              </w:r>
            </w:hyperlink>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75">
              <w:r>
                <w:rPr>
                  <w:rStyle w:val="InternetLink"/>
                  <w:rFonts w:ascii="Times New Roman;serif" w:hAnsi="Times New Roman;serif"/>
                  <w:b w:val="false"/>
                  <w:color w:val="0000FF"/>
                  <w:sz w:val="20"/>
                  <w:u w:val="single"/>
                </w:rPr>
                <w:t>PART III</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78">
              <w:r>
                <w:rPr>
                  <w:rStyle w:val="InternetLink"/>
                  <w:rFonts w:ascii="Times New Roman;serif" w:hAnsi="Times New Roman;serif"/>
                  <w:b w:val="false"/>
                  <w:color w:val="0000FF"/>
                  <w:sz w:val="20"/>
                  <w:u w:val="single"/>
                </w:rPr>
                <w:t>Item 10.</w:t>
              </w:r>
            </w:hyperlink>
          </w:p>
        </w:tc>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78">
              <w:r>
                <w:rPr>
                  <w:rStyle w:val="InternetLink"/>
                  <w:rFonts w:ascii="Times New Roman;serif" w:hAnsi="Times New Roman;serif"/>
                  <w:b w:val="false"/>
                  <w:color w:val="0000FF"/>
                  <w:sz w:val="20"/>
                  <w:u w:val="single"/>
                </w:rPr>
                <w:t>Directors, Executive Officers and Corporate Governance</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178">
              <w:r>
                <w:rPr>
                  <w:rStyle w:val="InternetLink"/>
                  <w:rFonts w:ascii="Times New Roman;serif" w:hAnsi="Times New Roman;serif"/>
                  <w:b w:val="false"/>
                  <w:color w:val="0000FF"/>
                  <w:sz w:val="20"/>
                  <w:u w:val="single"/>
                </w:rPr>
                <w:t>96</w:t>
              </w:r>
            </w:hyperlink>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81">
              <w:r>
                <w:rPr>
                  <w:rStyle w:val="InternetLink"/>
                  <w:rFonts w:ascii="Times New Roman;serif" w:hAnsi="Times New Roman;serif"/>
                  <w:b w:val="false"/>
                  <w:color w:val="0000FF"/>
                  <w:sz w:val="20"/>
                  <w:u w:val="single"/>
                </w:rPr>
                <w:t>Item 11.</w:t>
              </w:r>
            </w:hyperlink>
          </w:p>
        </w:tc>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81">
              <w:r>
                <w:rPr>
                  <w:rStyle w:val="InternetLink"/>
                  <w:rFonts w:ascii="Times New Roman;serif" w:hAnsi="Times New Roman;serif"/>
                  <w:b w:val="false"/>
                  <w:color w:val="0000FF"/>
                  <w:sz w:val="20"/>
                  <w:u w:val="single"/>
                </w:rPr>
                <w:t>Executive Compensation</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181">
              <w:r>
                <w:rPr>
                  <w:rStyle w:val="InternetLink"/>
                  <w:rFonts w:ascii="Times New Roman;serif" w:hAnsi="Times New Roman;serif"/>
                  <w:b w:val="false"/>
                  <w:color w:val="0000FF"/>
                  <w:sz w:val="20"/>
                  <w:u w:val="single"/>
                </w:rPr>
                <w:t>96</w:t>
              </w:r>
            </w:hyperlink>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84">
              <w:r>
                <w:rPr>
                  <w:rStyle w:val="InternetLink"/>
                  <w:rFonts w:ascii="Times New Roman;serif" w:hAnsi="Times New Roman;serif"/>
                  <w:b w:val="false"/>
                  <w:color w:val="0000FF"/>
                  <w:sz w:val="20"/>
                  <w:u w:val="single"/>
                </w:rPr>
                <w:t>Item 12.</w:t>
              </w:r>
            </w:hyperlink>
          </w:p>
        </w:tc>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84">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184">
              <w:r>
                <w:rPr>
                  <w:rStyle w:val="InternetLink"/>
                  <w:rFonts w:ascii="Times New Roman;serif" w:hAnsi="Times New Roman;serif"/>
                  <w:b w:val="false"/>
                  <w:color w:val="0000FF"/>
                  <w:sz w:val="20"/>
                  <w:u w:val="single"/>
                </w:rPr>
                <w:t>96</w:t>
              </w:r>
            </w:hyperlink>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87">
              <w:r>
                <w:rPr>
                  <w:rStyle w:val="InternetLink"/>
                  <w:rFonts w:ascii="Times New Roman;serif" w:hAnsi="Times New Roman;serif"/>
                  <w:b w:val="false"/>
                  <w:color w:val="0000FF"/>
                  <w:sz w:val="20"/>
                  <w:u w:val="single"/>
                </w:rPr>
                <w:t>Item 13.</w:t>
              </w:r>
            </w:hyperlink>
          </w:p>
        </w:tc>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87">
              <w:r>
                <w:rPr>
                  <w:rStyle w:val="InternetLink"/>
                  <w:rFonts w:ascii="Times New Roman;serif" w:hAnsi="Times New Roman;serif"/>
                  <w:b w:val="false"/>
                  <w:color w:val="0000FF"/>
                  <w:sz w:val="20"/>
                  <w:u w:val="single"/>
                </w:rPr>
                <w:t>Certain Relationships and Related Transactions, and Director Independence</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187">
              <w:r>
                <w:rPr>
                  <w:rStyle w:val="InternetLink"/>
                  <w:rFonts w:ascii="Times New Roman;serif" w:hAnsi="Times New Roman;serif"/>
                  <w:b w:val="false"/>
                  <w:color w:val="0000FF"/>
                  <w:sz w:val="20"/>
                  <w:u w:val="single"/>
                </w:rPr>
                <w:t>96</w:t>
              </w:r>
            </w:hyperlink>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90">
              <w:r>
                <w:rPr>
                  <w:rStyle w:val="InternetLink"/>
                  <w:rFonts w:ascii="Times New Roman;serif" w:hAnsi="Times New Roman;serif"/>
                  <w:b w:val="false"/>
                  <w:color w:val="0000FF"/>
                  <w:sz w:val="20"/>
                  <w:u w:val="single"/>
                </w:rPr>
                <w:t>Item 14.</w:t>
              </w:r>
            </w:hyperlink>
          </w:p>
        </w:tc>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90">
              <w:r>
                <w:rPr>
                  <w:rStyle w:val="InternetLink"/>
                  <w:rFonts w:ascii="Times New Roman;serif" w:hAnsi="Times New Roman;serif"/>
                  <w:b w:val="false"/>
                  <w:color w:val="0000FF"/>
                  <w:sz w:val="20"/>
                  <w:u w:val="single"/>
                </w:rPr>
                <w:t>Principal Accounting Fees and Services</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190">
              <w:r>
                <w:rPr>
                  <w:rStyle w:val="InternetLink"/>
                  <w:rFonts w:ascii="Times New Roman;serif" w:hAnsi="Times New Roman;serif"/>
                  <w:b w:val="false"/>
                  <w:color w:val="0000FF"/>
                  <w:sz w:val="20"/>
                  <w:u w:val="single"/>
                </w:rPr>
                <w:t>96</w:t>
              </w:r>
            </w:hyperlink>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93">
              <w:r>
                <w:rPr>
                  <w:rStyle w:val="InternetLink"/>
                  <w:rFonts w:ascii="Times New Roman;serif" w:hAnsi="Times New Roman;serif"/>
                  <w:b w:val="false"/>
                  <w:color w:val="0000FF"/>
                  <w:sz w:val="20"/>
                  <w:u w:val="single"/>
                </w:rPr>
                <w:t>PART IV</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96">
              <w:r>
                <w:rPr>
                  <w:rStyle w:val="InternetLink"/>
                  <w:rFonts w:ascii="Times New Roman;serif" w:hAnsi="Times New Roman;serif"/>
                  <w:b w:val="false"/>
                  <w:color w:val="0000FF"/>
                  <w:sz w:val="20"/>
                  <w:u w:val="single"/>
                </w:rPr>
                <w:t>Item 15.</w:t>
              </w:r>
            </w:hyperlink>
          </w:p>
        </w:tc>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96">
              <w:r>
                <w:rPr>
                  <w:rStyle w:val="InternetLink"/>
                  <w:rFonts w:ascii="Times New Roman;serif" w:hAnsi="Times New Roman;serif"/>
                  <w:b w:val="false"/>
                  <w:color w:val="0000FF"/>
                  <w:sz w:val="20"/>
                  <w:u w:val="single"/>
                </w:rPr>
                <w:t>Exhibits, Financial Statement Schedules</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196">
              <w:r>
                <w:rPr>
                  <w:rStyle w:val="InternetLink"/>
                  <w:rFonts w:ascii="Times New Roman;serif" w:hAnsi="Times New Roman;serif"/>
                  <w:b w:val="false"/>
                  <w:color w:val="0000FF"/>
                  <w:sz w:val="20"/>
                  <w:u w:val="single"/>
                </w:rPr>
                <w:t>97</w:t>
              </w:r>
            </w:hyperlink>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208">
              <w:r>
                <w:rPr>
                  <w:rStyle w:val="InternetLink"/>
                  <w:rFonts w:ascii="Times New Roman;serif" w:hAnsi="Times New Roman;serif"/>
                  <w:b w:val="false"/>
                  <w:color w:val="0000FF"/>
                  <w:sz w:val="20"/>
                  <w:u w:val="single"/>
                </w:rPr>
                <w:t>Item 16.</w:t>
              </w:r>
            </w:hyperlink>
          </w:p>
        </w:tc>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208">
              <w:r>
                <w:rPr>
                  <w:rStyle w:val="InternetLink"/>
                  <w:rFonts w:ascii="Times New Roman;serif" w:hAnsi="Times New Roman;serif"/>
                  <w:b w:val="false"/>
                  <w:color w:val="0000FF"/>
                  <w:sz w:val="20"/>
                  <w:u w:val="single"/>
                </w:rPr>
                <w:t>Form 10-K Summary</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208">
              <w:r>
                <w:rPr>
                  <w:rStyle w:val="InternetLink"/>
                  <w:rFonts w:ascii="Times New Roman;serif" w:hAnsi="Times New Roman;serif"/>
                  <w:b w:val="false"/>
                  <w:color w:val="0000FF"/>
                  <w:sz w:val="20"/>
                  <w:u w:val="single"/>
                </w:rPr>
                <w:t>99</w:t>
              </w:r>
            </w:hyperlink>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211">
              <w:r>
                <w:rPr>
                  <w:rStyle w:val="InternetLink"/>
                  <w:rFonts w:ascii="Times New Roman;serif" w:hAnsi="Times New Roman;serif"/>
                  <w:b w:val="false"/>
                  <w:color w:val="0000FF"/>
                  <w:sz w:val="20"/>
                  <w:u w:val="single"/>
                </w:rPr>
                <w:t>SIGNATURES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211">
              <w:r>
                <w:rPr>
                  <w:rStyle w:val="InternetLink"/>
                  <w:rFonts w:ascii="Times New Roman;serif" w:hAnsi="Times New Roman;serif"/>
                  <w:b w:val="false"/>
                  <w:color w:val="0000FF"/>
                  <w:sz w:val="20"/>
                  <w:u w:val="single"/>
                </w:rPr>
                <w:t>100</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Special Note Regarding Forward-Looking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that express management's current views concerning expectations, estimates, trends, forecasts and projections about future events and circumstances, industries in which FactSet operates and the beliefs and assumptions of management. These statements may include projections of our future financial performance and anticipated trends in our business. In some cases, you can identify these statements by words such as "may," "might," "will," "should," "expects," "plans," "anticipates," "believes," "estimates," "intends," "projects," "indicates," "predicts," "potential," or "continue," and similar expressions. Statements concerning our financial position, business strategy and plans or objectives for future operations are forward-looking statements.</w:t>
      </w:r>
    </w:p>
    <w:p>
      <w:pPr>
        <w:pStyle w:val="TextBody"/>
        <w:bidi w:val="0"/>
        <w:spacing w:lineRule="auto" w:line="288" w:before="200" w:after="283"/>
        <w:jc w:val="both"/>
        <w:rPr/>
      </w:pPr>
      <w:r>
        <w:rPr>
          <w:rFonts w:ascii="Times New Roman;serif" w:hAnsi="Times New Roman;serif"/>
          <w:b w:val="false"/>
          <w:color w:val="000000"/>
          <w:sz w:val="20"/>
        </w:rPr>
        <w:t>Forward-looking statements are not guarantees of future performance and involve a number of risks, uncertainties and assumptions. Factors that could cause our actual results, level of activity, performance or achievements to differ materially from those expressed or implied in forward-looking statements include, among others, the factors discussed under Part I, Item 1A.</w:t>
      </w:r>
      <w:r>
        <w:rPr>
          <w:rFonts w:ascii="Times New Roman;serif" w:hAnsi="Times New Roman;serif"/>
          <w:b w:val="false"/>
          <w:i/>
          <w:color w:val="000000"/>
          <w:sz w:val="20"/>
        </w:rPr>
        <w:t xml:space="preserve">, Risk Factors, </w:t>
      </w:r>
      <w:r>
        <w:rPr>
          <w:rFonts w:ascii="Times New Roman;serif" w:hAnsi="Times New Roman;serif"/>
          <w:b w:val="false"/>
          <w:color w:val="000000"/>
          <w:sz w:val="20"/>
        </w:rPr>
        <w:t>that should be specifically considered. FactSet cautions readers not to place undue reliance on any forward-looking statements, which speak only as of the dates on which they are made. FactSet undertakes no obligations to update or revise any forward-looking statement to reflect results, revised expectations, events or circumstances arising after the date on which it is made, except as required by applicable law.</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intend that all forward-looking statements we make will be subject to safe harbor protection of the federal securities laws as found in Section 27A of the Securities Act of 1933 and Section 21E of the Securities Exchange Act of 1934.</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15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ITEM 1. BUSINESS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Corporate History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FactSet Research Systems Inc. and its wholly-owned subsidiaries ("we," "our," "us," the "Company" or "FactSet") was founded in 1978 and has been publicly traded since June 1996. We are dual-listed on the New York Stock Exchange ("NYSE") and the NASDAQ Stock Market ("NASDAQ") under the symbol "FDS". FactSet has been a member of the S&amp;P 500 since December 2021.</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FactSet is a global financial digital platform and enterprise solutions provider with open and flexible technologies that deliver financial intelligence to investment professionals worldwide.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platform delivers expansive data, sophisticated analytics, and flexible, artificial intelligence ("AI")-powered technologies used by global financial professionals to power their critical investment workflows. As of August 31, 2025, we had approximately 9,000 clients comprised of over 237,000 investment professionals, including institutional asset managers, bankers, wealth managers, asset owners, partners, hedge funds, corporate users, and private equity and venture capital professionals. Our revenues are primarily derived from subscriptions to our multi-asset class data and solutions powered by our connected data and technology platform. Our products and services include workstations, portfolio analytics and enterprise data solutions. We also offer managed services that operate as an extension of our clients' internal teams to support data, performance, risk and reporting workflows.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drive our business based on a detailed understanding of our clients’ workflows, which helps us to solve their most complex challenges. We provide financial data and market intelligence on securities, companies, industries and people to enable our clients to research investment ideas and analyze, monitor and manage their portfolios. Our solutions span the investment lifecycle of investment research, portfolio construction and analysis, trade execution, performance measurement, risk management and reporting. We provide open and flexible technology offerings, including a configurable desktop and mobile platform, comprehensive data feeds, cloud-based digital solutions, and application programming interfaces ("APIs"). AI is embedded across these offerings to enhance data discovery, automate routine workflows and improve the speed and accuracy of client insights. The CUSIP Global Services ("CGS") business supports security master files relied on by the investment industry for critical front, middle and back-office functions. All of our platforms and solutions are supported by our dedicated client service team.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our business through three reportable segments ("segments"): the Americas, EMEA and Asia Pacific. Within each segment, we offer data, products and analytical applications by firm type: Institutional Buyside, Dealmakers, Wealth, and Partnerships and CGS.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Segments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segment revenues are based on the geographic region where the sale originated: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Americas: The Americas segment primarily sells to clients in North, Central and South America. In the Americas, we have offices in nine states in the United States ("U.S."), including our corporate headquarters located in Norwalk, Connecticut. Additionally, we have data centers in two states in the U.S. and an office in each of Brazil and Canada. Revenues from the Americas represented 65% of total revenues during fiscal 2025.</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EMEA: The EMEA segment primarily sells to clients in Europe, the Middle East and Africa via offices in Bulgaria, England, France, Germany, Italy, Latvia, Luxembourg, the Netherlands, Sweden and the United Arab Emirates. Revenues from EMEA represented 25% of total revenues during fiscal 2025.</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Asia Pacific: The Asia Pacific segment primarily sells to clients in Asia and Australasia via office locations in Australia, China, Hong Kong Special Administrative Region ("SAR") of China, India, Japan, the Philippines and Singapore. Revenues from Asia Pacific represented 10% of total revenues during fiscal 2025.</w:t>
      </w:r>
    </w:p>
    <w:p>
      <w:pPr>
        <w:pStyle w:val="TextBody"/>
        <w:bidi w:val="0"/>
        <w:spacing w:lineRule="auto" w:line="288" w:before="200" w:after="283"/>
        <w:jc w:val="both"/>
        <w:rPr/>
      </w:pPr>
      <w:r>
        <w:rPr>
          <w:rFonts w:ascii="Times New Roman;serif" w:hAnsi="Times New Roman;serif"/>
          <w:b w:val="false"/>
          <w:color w:val="000000"/>
          <w:sz w:val="20"/>
        </w:rPr>
        <w:t xml:space="preserve">Refer to Part II, Item 8. Note 17, </w:t>
      </w:r>
      <w:r>
        <w:rPr>
          <w:rFonts w:ascii="Times New Roman;serif" w:hAnsi="Times New Roman;serif"/>
          <w:b w:val="false"/>
          <w:i/>
          <w:color w:val="000000"/>
          <w:sz w:val="20"/>
        </w:rPr>
        <w:t xml:space="preserve">Segment Information, </w:t>
      </w:r>
      <w:r>
        <w:rPr>
          <w:rFonts w:ascii="Times New Roman;serif" w:hAnsi="Times New Roman;serif"/>
          <w:b w:val="false"/>
          <w:color w:val="000000"/>
          <w:sz w:val="20"/>
        </w:rPr>
        <w:t>in the Notes to the Consolidated Financial Statements included in this Annual Report on Form 10-K for more information on our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Firm Types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Institutional Buyside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Institutional Buyside focuses on multi-asset class solutions, including AI-powered workflows and insights, for global asset managers, asset owners and hedge fund professionals across the investment portfolio lifecycle. This firm type includes workflows for research analysts, portfolio managers, and traders in the front office, as well as performance analysts, risk managers, and client service and marketing professionals in the middle office. Our front office on-platform solutions are designed for research management, order management, portfolio construction, and trade execution capabilities. Our middle office on-platform solutions are designed for performance measurement, attribution, reporting and risk management capabilities, and are complemented by our middle office managed services. In addition to our on-platform workstation offerings, we offer comprehensive off-platform data and technology solutions including data feeds, APIs, and programmatic access for clients to engage with us in the environment best suited to them.</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Dealmakers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Dealmakers focuses on workflow solutions for investment bankers, sell-side research analysts, corporate users, investor relations officers, and private equity and venture capital professionals. We provide comprehensive solutions to our clients including workstations, mobile solutions, data feeds, APIs, proprietary and third-party data, and productivity tools for Microsoft® Office. We also deliver firm type tailored solutions for client relationship management ("CRM") and AI-powered solutions to bring automation to time-consuming and manual aspects of our clients’ daily workflows. Our tools are used to analyze companies and markets, perform fundamental research, generate ideas, build and distribute presentations and monitor investments. We offer global coverage of public and private markets, granular industry metrics, deep history, and transparency through proprietary and third-party sourced databases.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Wealth</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Wealth focuses on comprehensive solutions to wealth management clients including our web-based workstation, book-of-business dashboards for advisors, data feeds, APIs, proprietary and third-party data, and productivity tools for Microsoft® Office. We also offer AI-powered prospecting, monitoring and proposal generation tools that enable financial advisors to grow and enhance existing client relationships. Our Wealth solution enables our clients to easily integrate our products into their CRM software and internally developed applications. Wealth clients use our advisory tools to provide support for their businesses, including home office, advisory, and client engagement work. We continue to focus on expanding our relevant data offerings and increasing workflow efficiency across the investment portfolio lifecycle for wealth management firms.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Partnerships and CGS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Partnerships delivers solutions such as data and technology solutions, workstations, and digital or analytics solutions to firms in the financial services ecosystem including data, analytics and technology platform providers. This includes curated datasets and turnkey APIs to enable technologists and developers to power new AI-based workflows with programmatic access to FactSet’s high-quality, connected content. CGS is the exclusive issuer of CUSIP and CINS identifiers globally. CGS also acts as the official numbering agency for International Securities Identification Number ("ISIN") identifiers in the U.S. and as a substitute ISIN agency for more than 30 other countries.</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Business Strategy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strive to be a trusted enterprise partner and service provider to our clients across the financial services spectrum, delivering relevant intelligence, insights and execution solutions tailored to our clients’ business models.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focused on growing our global business through three strategically aligned geographic segments: the Americas, EMEA and Asia Pacific. This approach allows us to better manage resources, target solutions and interact with clients effectively.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 execute our strategy, we are focused on three core pillars and primary areas of investment:</w:t>
      </w:r>
    </w:p>
    <w:p>
      <w:pPr>
        <w:pStyle w:val="TextBody"/>
        <w:bidi w:val="0"/>
        <w:spacing w:lineRule="auto" w:line="288" w:before="200" w:after="200"/>
        <w:ind w:left="0" w:right="0" w:hanging="360"/>
        <w:jc w:val="both"/>
        <w:rPr/>
      </w:pPr>
      <w:r>
        <w:rPr>
          <w:color w:val="000000"/>
        </w:rPr>
        <w:t>•</w:t>
      </w:r>
      <w:r>
        <w:rPr>
          <w:rFonts w:ascii="Times New Roman;serif" w:hAnsi="Times New Roman;serif"/>
          <w:b/>
          <w:color w:val="000000"/>
          <w:sz w:val="20"/>
        </w:rPr>
        <w:t xml:space="preserve">Expanding our data offerings and delivery capabilities: </w:t>
      </w:r>
      <w:r>
        <w:rPr>
          <w:rFonts w:ascii="Times New Roman;serif" w:hAnsi="Times New Roman;serif"/>
          <w:b w:val="false"/>
          <w:color w:val="000000"/>
          <w:sz w:val="20"/>
        </w:rPr>
        <w:t>We continue to scale up our data ecosystem to provide a comprehensive inventory of industry, proprietary and third-party data. This includes granular data for key industry verticals, real-time market data, fund data and sustainable finance. In addition to using our growing data catalog to drive our AI-powered workstation products, we aim to continue to expand our data delivery capabilities in the cloud and through other methods to advance our position as an enterprise data provider for our clients.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00"/>
        <w:ind w:left="0" w:right="0" w:hanging="360"/>
        <w:jc w:val="both"/>
        <w:rPr/>
      </w:pPr>
      <w:r>
        <w:rPr>
          <w:color w:val="000000"/>
        </w:rPr>
        <w:t>•</w:t>
      </w:r>
      <w:r>
        <w:rPr>
          <w:rFonts w:ascii="Times New Roman;serif" w:hAnsi="Times New Roman;serif"/>
          <w:b/>
          <w:color w:val="000000"/>
          <w:sz w:val="20"/>
        </w:rPr>
        <w:t xml:space="preserve">Embedding deeper in client workflows: </w:t>
      </w:r>
      <w:r>
        <w:rPr>
          <w:rFonts w:ascii="Times New Roman;serif" w:hAnsi="Times New Roman;serif"/>
          <w:b w:val="false"/>
          <w:color w:val="000000"/>
          <w:sz w:val="20"/>
        </w:rPr>
        <w:t>Through continued innovation, we aim to deepen our integration into our clients' workflows. We are focused on expanding further into the buy-side front office by leveraging our expertise in portfolio performance, analytics, and risk management. In addition, we are building on our strong presence on advisor desktops by expanding into prospecting and digital reporting workflows. We are also working to introduce next-generation automation in research, financial modeling, and pitch creation.</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Innovating with AI:</w:t>
      </w:r>
      <w:r>
        <w:rPr>
          <w:color w:val="000000"/>
        </w:rPr>
        <w:t xml:space="preserve"> </w:t>
      </w:r>
      <w:r>
        <w:rPr>
          <w:rFonts w:ascii="Times New Roman;serif" w:hAnsi="Times New Roman;serif"/>
          <w:b w:val="false"/>
          <w:color w:val="000000"/>
          <w:sz w:val="20"/>
        </w:rPr>
        <w:t>Our AI roadmap, driven by our FactSet AI Blueprint, is resonating with our clients, and FactSet's AI solutions are generating usage, demand and commercial transactions. We continue to advance a pragmatic, open, and flexible strategy for integrating AI and natural language processing into our clients’ workflows, aiming to boost productivity by surfacing actionable insights throughout the portfolio lifecycle and automating routine research and content processing tasks. FactSet is delivering AI embedded workflow solutions for various personas including research analysts, bankers, portfolio managers, wealth advisors and engineering teams across our clients. These outcomes accelerate decision making for our clients and will differentiate FactSet from our competitors and drive growth.</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Executive Leadership Transition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September 8, 2025, Sanoke Viswanathan assumed the role of Chief Executive Officer and joined FactSet’s Board of Directors. Mr. Viswanathan succeeds F. Philip Snow, who retired from these roles effective on Mr. Viswanathan's start date. To support a smooth leadership transition, Mr. Snow is continuing employment with FactSet in an advisory capacity until December 31, 2025.</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Revenues and Annual Subscription Value ("ASV")</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majority of our revenues are derived from client access to our multi-asset solutions powered by our platform of connected data and technology that is available over the contractual term. We offer expansive data, sophisticated analytics, and flexible technology through our platform.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believe ASV reflects our ability to grow recurring revenues and generate positive cash flows, and thus serves as a key indicator of the successful execution of our business strategy. ASV at any point in time represents our forward-looking revenues for the next 12 months from all subscription services currently being supplied to clients. Organic ASV at any point in time represents ASV excluding ASV from acquisitions and dispositions completed within the last 12 months and the effects of foreign currency movements.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FactSet Clients and Users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had 8,996 clients and 237,324 professionals using FactSet as of August 31, 2025. Our client count includes clients with ASV of $10,000 and above and our user count does not reflect users associated with our fiscal 2025 acquisitions. For the year ended August 31, 2025, annual ASV retention was greater than 95% and, when expressed as a percentage of clients, annual retention was 91%.</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Buy-side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Buy-side clients continue to shift toward multi-asset class investment strategies and investing in their front- and middle office solutions, where we are well-positioned to be a partner of choice. We are able to compete for greater market share given our ability to provide enterprise-wide solutions to our clients by leveraging their portfolio data for multiple asset classes. Buy-side clients primarily include institutional asset managers, wealth managers, asset owners, partners, hedge funds and corporate clients. These clients access our multi-asset class tools through our workstations, analytics and trading tools, proprietary and third-party content, data feeds, APIs and portfolio services. Buy-side clients accounted for approximately 82% of our Organic ASV as of August 31, 2025.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Sell-side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deliver comprehensive solutions to sell-side clients including workstations, data feeds, web and mobile solutions, APIs, proprietary and third-party content, and productivity tools for Microsoft® Office. Our focus remains on expanding the depth of content offered and increasing workflow efficiency for sell-side firms. These firms primarily include broker-dealers, banking and advisory firms, and private equity and venture capital firms. Sell-side clients accounted for approximately 18% of our Organic ASV as of August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Third-Party Content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aggregate content from third-party data suppliers, news sources, exchanges, brokers and contributors into our dedicated managed databases, which our clients access through our flexible delivery platforms. We seek to maintain contractual relationships with a minimum of two content providers for each major type of financial data, though certain data sets on which we rely have a limited number of suppliers. We make every effort to assure that, where reasonable, alternative sources are available. We have entered into third-party content agreements of varying lengths, which in some cases can be terminated with one year’s notice, at predefined dates, and in other cases on shorter notice. We are not dependent on any one third-party data supplier to meet the needs of our clients, with two data suppliers each representing more than 10% of our total data costs during fiscal 2025.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Data Centers and Cloud Computing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business is dependent on our ability to process substantial volumes of data and transactions rapidly and efficiently on our networks and systems. Our global technology infrastructure supports our operations and is designed to facilitate reliable and efficient processing and delivery of data and analytics to our clients. As part of our hybrid cloud strategy, we operate two fully redundant, physically separated data centers in the U.S. that provide client services, while also using market-leading cloud providers to run products and services to best benefit from the cloud's elasticity, resiliency, security, and regionalization. We currently use several cloud providers; however, one supplier provided the majority of our cloud computing support for fiscal 2025. Our physical data centers provide layers of redundancy to enhance system performance, including maintaining, processing and storing data at multiple locations. In the event of a single site failure or localized disaster, client workloads will automatically move to unaffected sites. We continue to focus on maintaining a global technological infrastructure that allows us to support our growing business.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registered trademarks and copyrights for many of our products and services and will continue to evaluate the registration of additional trademarks and copyrights as appropriate. We enter into confidentiality agreements with our employees, clients, data suppliers and vendors. We strive to protect our workflow solutions, documentation and other written materials under trade secret, copyright and patent laws. While we do not believe we are dependent on any one of our intellectual property rights, we do rely on the combination of intellectual property rights and other measures to protect our proprietary rights. Despite these efforts, existing intellectual property laws may afford only limited protection.</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Research and Product Development Costs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key aspect of our growth strategy is to offer new solutions and enhance our existing products by making them faster and more robust with deeper data and insights. We continue to invest in AI solutions that adapt as our clients’ workflows evolve, helping professionals leverage automation, generative intelligence, and dynamic analytics—rapidly embracing new technologies to improve discoverability and usability of our products and services.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The Competitive Landscape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a part of the financial information services industry focused on delivering expansive data, sophisticated analytics, and flexible technology through our open platform to the global investment community. We offer clients comprehensive solutions with a broad set of products delivered through a desktop or mobile user interface, cloud-based platforms, or through standardized or bespoke data feeds, as well as APIs. In addition, our applications, client support and service offerings are entrenched in the workflow of many financial professionals given the data management, portfolio analysis and screening capabilities offered. We are entrusted with significant amounts of our clients' own proprietary data, including portfolio holdings. As a result, we believe our products are central to our clients’ investment analysis, decision-making and operations.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a highly competitive environment. Our current competitive market is comprised of both large, well-capitalized companies and smaller, niche firms including market data suppliers, news and information providers, technology firms, and many third-party content providers that supply us with financial information included in our products. Our largest competitors are Bloomberg L.P., S&amp;P's Market Intelligence division, and London Stock Exchange Group's ("LSEG's") Data &amp; Analytics division (formerly known as Refinitiv). Other competitors and competitive products include online database suppliers and integrators and their applications, such as BlackRock Aladdin, MSCI Inc. and Morningstar Inc. Many of these firms provide products or services similar to our offerings.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FactSet, our people are central to delivering long-term value to our clients, stockholders, and communities. We view human capital as a strategic asset and prioritize the health, engagement, safety, and well-being of our workforce. FactSet’s human capital strategy is designed to align our workforce with our mission. Through strategic hiring, focused upskilling, and transparent career pathways, we position our people and teams to deliver on our business objectives and create sustainable growth. By emphasizing innovation, agility, recognition, and connectedness, we foster a culture where employees thrive while advancing outcomes for our clients, our communities, and our stockholders. Our human capital strategy focuses on attracting and retaining top talent, developing future-ready skills, fostering an inclusive and purpose-driven culture, and providing comprehensive wellbeing programs. We align our workforce initiatives with business priorities, so that employees are equipped, empowered, and motivated to contribute meaningfully to FactSet’s mission and long-term objectives.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Our Employees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August 31, 2025, we had 35 offices in 19 countries with 12,800 employees, representing an increase of 3.2% compared with August 31, 2024. Of our total employees, 8,854 (69%) were located in Asia Pacific, 2,510 (20%) in the Americas and 1,436 (11%) in EMEA. To support sustainable growth, we continue to invest in our global centers of excellence ("COEs"), primarily located in India and the Philippines, which accounted for approximately 68% of our employees.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Functionally, as of August 31, 2025, 47% of our employees were in Content Operations, 28% were in Technology and Product Development, 21% were in Sales and Client Solutions and 4% were in Corporate Support. As of August 31, 2025, 434 of our employees were represented by mandatory works councils in our French and German locations and 25 of our employees were represented by collective bargaining agreements in the U.S. Our global workforce enables scale, operational efficiency, and delivery of specialized expertise across the enterprise.</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Workforce Strategy and Talent Development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FactSet invests strategically in attracting, developing, and retaining top talent to support growth and innovation. Key initiatives include: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Strategic Hiring: Recruitment in critical roles, including data solutions, AI, machine learning, product management, and client-facing positions.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Future-Ready Skills: In fiscal 2025, 94% of employees participated in learning programs, completing 339,000 hours globally. Programs include mentorship, leadership development, department-specific training, and the EXCEL program.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AI Capabilities: A major focus in fiscal 2025 was enhancing our AI capabilities that were aligned with our innovation and AI monetization goals. Employees advanced skills in prompt engineering, coding, vector databases, and data querying, enabling teams to embed AI across product design, client solutions, and internal efficiency initiatives.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Career Pathways: To encourage employees to apply their skills toward long-term careers at FactSet, we refreshed our job architecture, offering transparent career pathways and consistent role expectations across functions.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Employee Engagement and Culture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FactSet fosters a culture where employees feel empowered, recognized, and connected to the Company’s mission. Key initiatives and outcomes include: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Engagement and Feedback: We conduct an annual confidential employee engagement survey to assess satisfaction, gather feedback, and identify opportunities for improvement. In fiscal 2025, our engagement survey achieved an 88% response rate, significantly outpacing typical third-party benchmark response rates, reflecting strong employee engagement in the process. The survey results indicated employees are closely aligned with the Company's purpose and confident that their work contributes meaningful value to the organization.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Corporate Responsibility and Purpose: We foster a culture of service that enriches our communities and enhances the employee experience. In fiscal 2025, FactSet employees contributed 17,200 volunteer hours across 391 events, with more than 85% of employees participating in philanthropic initiatives focused on education, hunger alleviation, environmental protection, and disaster response.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Flagship Initiatives: Programs such as Hunger Awareness, one of FactSet’s largest annual initiatives, have resulted in over 9 million meals donated since 2019, reinforcing a culture of purpose while enhancing employee engagement and collective impact.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Employee-Led Engagement Programs: FactSet supports a network of site-level culture committees, business resource groups open to all employees, and wellness champions, empowering employees to drive inclusion, well-being, and local engagement initiatives.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Well-being and Benefits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Employee wellbeing is a central component of FactSet’s human capital strategy. Our programs are designed to support physical, mental, and financial health while fostering a safe, inclusive, and resilient workplace. Key initiatives include: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Comprehensive Health and Wellness Programs: FactSet provides robust health benefits, as well as a range of wellness initiatives that support physical, emotional, social, and financial health. In fiscal 2025, we expanded mental health resources through Journey, a global platform providing access to on-demand clinical experts, confidential counseling, and personalized wellness content.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Flexible Work Arrangements: Policies and programs support work-life integration, including remote and hybrid work options, parental leave, and time-off programs tailored to employee needs.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reporting requirements, disclosure obligations and other recordkeeping requirements of the Securities and Exchange Commission ("SEC") and the various local authorities that regulate each location in which we operate. Our P.A.N. Securities, LP subsidiary is a member of the Financial Industry Regulatory Authority, Inc. and is a registered broker-dealer under Section 15 of the Securities Exchange Act of 1934. P.A.N. Securities, LP, as a registered broker-dealer, is subject to Rule 15c3-1 under the Securities Exchange Act of 1934, which requires that we maintain minimum net capital requirements. We claim exemption under Rule 15c3-3(k)(2)(i).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Corporate Contact Information</w:t>
      </w:r>
    </w:p>
    <w:p>
      <w:pPr>
        <w:pStyle w:val="TextBody"/>
        <w:bidi w:val="0"/>
        <w:spacing w:lineRule="auto" w:line="288" w:before="200" w:after="283"/>
        <w:jc w:val="both"/>
        <w:rPr/>
      </w:pPr>
      <w:r>
        <w:rPr>
          <w:rFonts w:ascii="Times New Roman;serif" w:hAnsi="Times New Roman;serif"/>
          <w:b w:val="false"/>
          <w:color w:val="000000"/>
          <w:sz w:val="20"/>
        </w:rPr>
        <w:t xml:space="preserve">FactSet was founded as a Delaware corporation in 1978, and our principal executive office is in </w:t>
      </w:r>
      <w:r>
        <w:rPr>
          <w:rFonts w:ascii="Times New Roman;serif" w:hAnsi="Times New Roman;serif"/>
          <w:b/>
          <w:color w:val="000000"/>
          <w:sz w:val="20"/>
        </w:rPr>
        <w:t>Norwalk</w:t>
      </w:r>
      <w:r>
        <w:rPr>
          <w:rFonts w:ascii="Times New Roman;serif" w:hAnsi="Times New Roman;serif"/>
          <w:b w:val="false"/>
          <w:color w:val="000000"/>
          <w:sz w:val="20"/>
        </w:rPr>
        <w:t xml:space="preserve">, </w:t>
      </w:r>
      <w:r>
        <w:rPr>
          <w:rFonts w:ascii="Times New Roman;serif" w:hAnsi="Times New Roman;serif"/>
          <w:b/>
          <w:color w:val="000000"/>
          <w:sz w:val="20"/>
        </w:rPr>
        <w:t>Connecticut</w:t>
      </w:r>
      <w:r>
        <w:rPr>
          <w:rFonts w:ascii="Times New Roman;serif" w:hAnsi="Times New Roman;serif"/>
          <w:b w:val="false"/>
          <w:color w:val="000000"/>
          <w:sz w:val="20"/>
        </w:rPr>
        <w: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Mailing address of FactSet's headquarters: 45 Glover Avenue, Norwalk, CT 06850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Telephone number: +1 (203) 810-1000</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Website address: www.factset.com</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Through the Investor Relations section of our website (https://investor.factset.com), we make available free of charge the following filings as soon as practicable after they are electronically filed with, or furnished to, the SEC: our Annual Report on Form 10-K, Quarterly Reports on Form 10-Q, Current Reports on Form 8-K, Proxy Statements for the annual stockholder meetings, Reports on Forms 3, 4 and 5, and any amendments to those reports filed or furnished pursuant to Section 13(a) or 15(d) of the Securities Exchange Act of 1934, as amended. The SEC maintains a website that contains reports, proxy and information statements and other information that we file with the SEC at www.sec.gov.</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Additionally, we broadcast our quarterly earnings calls live via the investor relations section of our website. We also provide notifications of news or announcements regarding our financial performance, including investor events and press and earnings releases on our investor relations website. The contents of this website section are not intended to be incorporated by reference into this Annual Report on Form 10-K or in any other report or document we file with the SEC and any reference to this section of our website is intended to be inactive textual references only.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Executive Officers of the Registrant</w:t>
      </w:r>
    </w:p>
    <w:p>
      <w:pPr>
        <w:pStyle w:val="TextBody"/>
        <w:bidi w:val="0"/>
        <w:spacing w:lineRule="auto" w:line="288" w:before="20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shows our current executive officers:</w:t>
      </w:r>
    </w:p>
    <w:tbl>
      <w:tblPr>
        <w:tblW w:w="10205" w:type="dxa"/>
        <w:jc w:val="left"/>
        <w:tblInd w:w="0" w:type="dxa"/>
        <w:tblLayout w:type="fixed"/>
        <w:tblCellMar>
          <w:top w:w="28" w:type="dxa"/>
          <w:left w:w="28" w:type="dxa"/>
          <w:bottom w:w="28" w:type="dxa"/>
          <w:right w:w="28" w:type="dxa"/>
        </w:tblCellMar>
      </w:tblPr>
      <w:tblGrid>
        <w:gridCol w:w="738"/>
        <w:gridCol w:w="649"/>
        <w:gridCol w:w="619"/>
        <w:gridCol w:w="145"/>
        <w:gridCol w:w="145"/>
        <w:gridCol w:w="146"/>
        <w:gridCol w:w="2246"/>
        <w:gridCol w:w="2191"/>
        <w:gridCol w:w="2199"/>
        <w:gridCol w:w="327"/>
        <w:gridCol w:w="327"/>
        <w:gridCol w:w="473"/>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of Officer</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Age</w:t>
            </w:r>
          </w:p>
        </w:tc>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Held with FactSet </w:t>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Officer Since</w:t>
            </w:r>
          </w:p>
        </w:tc>
      </w:tr>
      <w:tr>
        <w:trPr/>
        <w:tc>
          <w:tcPr>
            <w:tcW w:w="2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Sanoke Viswanathan</w:t>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6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00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Helen L. Shan</w:t>
            </w:r>
          </w:p>
        </w:tc>
        <w:tc>
          <w:tcPr>
            <w:tcW w:w="43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663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tc>
        <w:tc>
          <w:tcPr>
            <w:tcW w:w="112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2018</w:t>
            </w:r>
          </w:p>
        </w:tc>
      </w:tr>
      <w:tr>
        <w:trPr/>
        <w:tc>
          <w:tcPr>
            <w:tcW w:w="200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J. Robie</w:t>
            </w:r>
          </w:p>
        </w:tc>
        <w:tc>
          <w:tcPr>
            <w:tcW w:w="43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663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Head of Institutional Buyside</w:t>
            </w:r>
          </w:p>
        </w:tc>
        <w:tc>
          <w:tcPr>
            <w:tcW w:w="112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2018</w:t>
            </w:r>
          </w:p>
        </w:tc>
      </w:tr>
      <w:tr>
        <w:trPr/>
        <w:tc>
          <w:tcPr>
            <w:tcW w:w="200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Goran Skoko</w:t>
            </w:r>
          </w:p>
        </w:tc>
        <w:tc>
          <w:tcPr>
            <w:tcW w:w="43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663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Revenue Officer, Managing Director EMEA and Asia Pacific</w:t>
            </w:r>
          </w:p>
        </w:tc>
        <w:tc>
          <w:tcPr>
            <w:tcW w:w="112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2019</w:t>
            </w:r>
          </w:p>
        </w:tc>
      </w:tr>
      <w:tr>
        <w:trPr/>
        <w:tc>
          <w:tcPr>
            <w:tcW w:w="200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Kristina W. Karnovsky</w:t>
            </w:r>
          </w:p>
        </w:tc>
        <w:tc>
          <w:tcPr>
            <w:tcW w:w="43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6636"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Head of Dealmakers and Wealth</w:t>
            </w:r>
          </w:p>
        </w:tc>
        <w:tc>
          <w:tcPr>
            <w:tcW w:w="112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r>
      <w:tr>
        <w:trPr/>
        <w:tc>
          <w:tcPr>
            <w:tcW w:w="200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Costigan</w:t>
            </w:r>
          </w:p>
        </w:tc>
        <w:tc>
          <w:tcPr>
            <w:tcW w:w="43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663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Data Officer</w:t>
            </w:r>
          </w:p>
        </w:tc>
        <w:tc>
          <w:tcPr>
            <w:tcW w:w="112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r>
      <w:tr>
        <w:trPr/>
        <w:tc>
          <w:tcPr>
            <w:tcW w:w="200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Katherine M. Stepp</w:t>
            </w:r>
          </w:p>
        </w:tc>
        <w:tc>
          <w:tcPr>
            <w:tcW w:w="43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663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Technology Officer</w:t>
            </w:r>
          </w:p>
        </w:tc>
        <w:tc>
          <w:tcPr>
            <w:tcW w:w="112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r>
      <w:tr>
        <w:trPr/>
        <w:tc>
          <w:tcPr>
            <w:tcW w:w="200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Catrina Harding</w:t>
            </w:r>
          </w:p>
        </w:tc>
        <w:tc>
          <w:tcPr>
            <w:tcW w:w="43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663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People Officer</w:t>
            </w:r>
          </w:p>
        </w:tc>
        <w:tc>
          <w:tcPr>
            <w:tcW w:w="112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00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R. Ellis</w:t>
            </w:r>
          </w:p>
        </w:tc>
        <w:tc>
          <w:tcPr>
            <w:tcW w:w="43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663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Head of Strategic Initiatives and Partnerships</w:t>
            </w:r>
          </w:p>
        </w:tc>
        <w:tc>
          <w:tcPr>
            <w:tcW w:w="112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006"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McLoughlin</w:t>
            </w:r>
          </w:p>
        </w:tc>
        <w:tc>
          <w:tcPr>
            <w:tcW w:w="436"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6636"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Legal Officer and Corporate Secretary</w:t>
            </w:r>
          </w:p>
        </w:tc>
        <w:tc>
          <w:tcPr>
            <w:tcW w:w="1127"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bl>
    <w:p>
      <w:pPr>
        <w:pStyle w:val="TextBody"/>
        <w:bidi w:val="0"/>
        <w:spacing w:lineRule="auto" w:line="288" w:before="200" w:after="283"/>
        <w:jc w:val="both"/>
        <w:rPr/>
      </w:pPr>
      <w:r>
        <w:rPr>
          <w:rFonts w:ascii="Times New Roman;serif" w:hAnsi="Times New Roman;serif"/>
          <w:b/>
          <w:i/>
          <w:color w:val="000000"/>
          <w:sz w:val="20"/>
        </w:rPr>
        <w:t>Sanoke Viswanathan</w:t>
      </w:r>
      <w:r>
        <w:rPr>
          <w:color w:val="000000"/>
        </w:rPr>
        <w:t xml:space="preserve"> – </w:t>
      </w:r>
      <w:r>
        <w:rPr>
          <w:rFonts w:ascii="Times New Roman;serif" w:hAnsi="Times New Roman;serif"/>
          <w:b/>
          <w:i/>
          <w:color w:val="000000"/>
          <w:sz w:val="20"/>
        </w:rPr>
        <w:t>Chief Executive Officer</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Mr. Viswanathan was appointed Chief Executive Officer effective September 8, 2025. Mr. Viswanathan has held a range of leadership roles, most recently served as the Chief Executive Officer of International Consumer and Wealth of JPMorgan and as a member of JPMorgan’s Operating Committee where he oversaw international consumer businesses as well as the International Private Bank and Workplace Solutions. Prior to that, Viswanathan served as JPMorgan’s Chief Strategy and Growth Officer from 2022 to 2024 and Chief Administrative Officer of the Corporate and Investment Bank. Earlier in his career, he was a Managing Director and Head of Corporate Strategy for JPMorgan and a Partner and Co-Head of Global Corporate and Investment Banking for McKinsey &amp; Company. Mr. Viswanathan holds a post-graduate diploma in management from the Indian Institute of Management, Ahmedabad, and a bachelors in Mechanical Engineering from the Indian Institute of Technology, Chennai.</w:t>
      </w:r>
    </w:p>
    <w:p>
      <w:pPr>
        <w:pStyle w:val="TextBody"/>
        <w:bidi w:val="0"/>
        <w:spacing w:lineRule="auto" w:line="288" w:before="200" w:after="283"/>
        <w:jc w:val="both"/>
        <w:rPr/>
      </w:pPr>
      <w:r>
        <w:rPr>
          <w:rFonts w:ascii="Times New Roman;serif" w:hAnsi="Times New Roman;serif"/>
          <w:b/>
          <w:i/>
          <w:color w:val="000000"/>
          <w:sz w:val="20"/>
        </w:rPr>
        <w:t>Helen</w:t>
      </w:r>
      <w:r>
        <w:rPr>
          <w:color w:val="000000"/>
        </w:rPr>
        <w:t xml:space="preserve"> </w:t>
      </w:r>
      <w:r>
        <w:rPr>
          <w:rFonts w:ascii="Times New Roman;serif" w:hAnsi="Times New Roman;serif"/>
          <w:b/>
          <w:i/>
          <w:color w:val="000000"/>
          <w:sz w:val="20"/>
        </w:rPr>
        <w:t>L.</w:t>
      </w:r>
      <w:r>
        <w:rPr>
          <w:color w:val="000000"/>
        </w:rPr>
        <w:t xml:space="preserve"> </w:t>
      </w:r>
      <w:r>
        <w:rPr>
          <w:rFonts w:ascii="Times New Roman;serif" w:hAnsi="Times New Roman;serif"/>
          <w:b/>
          <w:i/>
          <w:color w:val="000000"/>
          <w:sz w:val="20"/>
        </w:rPr>
        <w:t>Shan –</w:t>
      </w:r>
      <w:r>
        <w:rPr>
          <w:color w:val="000000"/>
        </w:rPr>
        <w:t xml:space="preserve"> </w:t>
      </w:r>
      <w:r>
        <w:rPr>
          <w:rFonts w:ascii="Times New Roman;serif" w:hAnsi="Times New Roman;serif"/>
          <w:b/>
          <w:i/>
          <w:color w:val="000000"/>
          <w:sz w:val="20"/>
        </w:rPr>
        <w:t>Executive Vice President, Chief Financial Officer.</w:t>
      </w:r>
      <w:r>
        <w:rPr>
          <w:color w:val="000000"/>
        </w:rPr>
        <w:t xml:space="preserve"> </w:t>
      </w:r>
      <w:r>
        <w:rPr>
          <w:rFonts w:ascii="Times New Roman;serif" w:hAnsi="Times New Roman;serif"/>
          <w:b w:val="false"/>
          <w:color w:val="000000"/>
          <w:sz w:val="20"/>
        </w:rPr>
        <w:t>Ms. Shan was appointed Executive Vice President, Chief Financial Officer effective July 23, 2024. As the Chief Financial Officer, she is responsible for FactSet's global finance organization and oversees all financial functions, including accounting, corporate development, financial planning and analysis, investor relations, real estate, tax, and treasury. She also served in this role from September 2018 through October 2021. From May 2021 through August 2024, Ms. Shan served as Executive Vice President, Chief Revenue Officer. Previously, she was at Marsh McLennan Companies, where she served in a variety of roles, including as the company's Corporate Treasurer and as Chief Financial Officer for Mercer. Preceding that, Ms. Shan held executive positions at Pitney Bowes Inc. and J.P. Morgan. In September 2018, Ms. Shan joined the Board of Directors of EPAM Systems, Inc. and currently is the Chairperson of the Audit Committee and also serves on the Compensation Committee. Ms. Shan holds dual degrees with a Bachelor of Science and a Bachelor of Applied Science from the University of Pennsylvania’s Wharton School of Business and School of Applied Science and Engineering. Ms. Shan also has a Master of Business Administration from Cornell University’s SC Johnson College of Business.</w:t>
      </w:r>
    </w:p>
    <w:p>
      <w:pPr>
        <w:pStyle w:val="TextBody"/>
        <w:bidi w:val="0"/>
        <w:spacing w:lineRule="auto" w:line="288" w:before="200" w:after="283"/>
        <w:jc w:val="both"/>
        <w:rPr/>
      </w:pPr>
      <w:r>
        <w:rPr>
          <w:rFonts w:ascii="Times New Roman;serif" w:hAnsi="Times New Roman;serif"/>
          <w:b/>
          <w:i/>
          <w:color w:val="000000"/>
          <w:sz w:val="20"/>
        </w:rPr>
        <w:t>Robert</w:t>
      </w:r>
      <w:r>
        <w:rPr>
          <w:color w:val="000000"/>
        </w:rPr>
        <w:t xml:space="preserve"> </w:t>
      </w:r>
      <w:r>
        <w:rPr>
          <w:rFonts w:ascii="Times New Roman;serif" w:hAnsi="Times New Roman;serif"/>
          <w:b/>
          <w:i/>
          <w:color w:val="000000"/>
          <w:sz w:val="20"/>
        </w:rPr>
        <w:t>J.</w:t>
      </w:r>
      <w:r>
        <w:rPr>
          <w:color w:val="000000"/>
        </w:rPr>
        <w:t xml:space="preserve"> </w:t>
      </w:r>
      <w:r>
        <w:rPr>
          <w:rFonts w:ascii="Times New Roman;serif" w:hAnsi="Times New Roman;serif"/>
          <w:b/>
          <w:i/>
          <w:color w:val="000000"/>
          <w:sz w:val="20"/>
        </w:rPr>
        <w:t>Robie – Executive Vice President, Head of Institutional Buyside.</w:t>
      </w:r>
      <w:r>
        <w:rPr>
          <w:color w:val="000000"/>
        </w:rPr>
        <w:t xml:space="preserve"> </w:t>
      </w:r>
      <w:r>
        <w:rPr>
          <w:rFonts w:ascii="Times New Roman;serif" w:hAnsi="Times New Roman;serif"/>
          <w:b w:val="false"/>
          <w:color w:val="000000"/>
          <w:sz w:val="20"/>
        </w:rPr>
        <w:t>Mr. Robie was appointed Executive Vice President, Head of Institutional Buyside, effective September 1, 2023. In his current role, he oversees strategy, research, development and engineering for Institutional Buyside solutions. Prior to that, he served as Executive Vice President, Head of Analytics &amp; Trading Solutions starting in September 2018. Mr. Robie joined FactSet in July 2000 as a Product Sales Specialist. During his tenure at FactSet, Mr. Robie has held several positions of increased responsibility, including Senior Director of Analytics and Director of Global Fixed Income. Although Mr. Robie joined FactSet in 2000, he did work at BTN Partners from 2004 through 2005 in their quantitative portfolio management and performance division, before returning to continue his career with FactSet. Mr. Robie holds a Bachelor of Arts in Economics and Fine Arts from Beloit College.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pPr>
      <w:r>
        <w:rPr>
          <w:rFonts w:ascii="Times New Roman;serif" w:hAnsi="Times New Roman;serif"/>
          <w:b/>
          <w:i/>
          <w:color w:val="000000"/>
          <w:sz w:val="20"/>
        </w:rPr>
        <w:t xml:space="preserve">Goran Skoko – Executive Vice President, Chief Revenue Officer, Managing Director EMEA and Asia Pacific. </w:t>
      </w:r>
      <w:r>
        <w:rPr>
          <w:rFonts w:ascii="Times New Roman;serif" w:hAnsi="Times New Roman;serif"/>
          <w:b w:val="false"/>
          <w:color w:val="000000"/>
          <w:sz w:val="20"/>
        </w:rPr>
        <w:t>Mr. Skoko was appointed Executive Vice President, Chief Revenue Officer, Managing Director EMEA and Asia Pacific effective September 1, 2024. In this role, he is responsible for driving revenue growth by managing global sales, client solutions, marketing and media relations. Prior to this, Mr. Skoko served as Executive Vice President, Managing Director EMEA and Asia Pacific, Head of Dealmakers &amp; Wealth, and was responsible for providing direction to address the product and content needs for EMEA and Asia Pacific clients while also focusing on increased deployment and building community within our Dealmakers &amp; Wealth space. He also previously served as Executive Vice President, Managing Director EMEA and Asia Pacific and Head of Research &amp; Advisory Solutions and Executive Vice President, Managing Director EMEA and Asia Pacific and Head of Wealth Solutions. He joined FactSet in 2004 as a Senior Product developer and has held a number of positions of increased responsibility. Prior to FactSet, he spent 16 years in various engineering and product management roles at Thomson Financial. Mr. Skoko earned his B.S. in Physics and Computer Science from Fordham University.</w:t>
      </w:r>
    </w:p>
    <w:p>
      <w:pPr>
        <w:pStyle w:val="TextBody"/>
        <w:bidi w:val="0"/>
        <w:spacing w:lineRule="auto" w:line="288" w:before="200" w:after="283"/>
        <w:jc w:val="both"/>
        <w:rPr/>
      </w:pPr>
      <w:r>
        <w:rPr>
          <w:rFonts w:ascii="Times New Roman;serif" w:hAnsi="Times New Roman;serif"/>
          <w:b/>
          <w:i/>
          <w:color w:val="000000"/>
          <w:sz w:val="20"/>
        </w:rPr>
        <w:t xml:space="preserve">Kristina W. Karnovsky – Executive Vice President, Head of Dealmakers and Wealth. </w:t>
      </w:r>
      <w:r>
        <w:rPr>
          <w:rFonts w:ascii="Times New Roman;serif" w:hAnsi="Times New Roman;serif"/>
          <w:b w:val="false"/>
          <w:color w:val="000000"/>
          <w:sz w:val="20"/>
        </w:rPr>
        <w:t>Ms. Karnovsky was appointed Executive Vice President, Head of Dealmakers and Wealth effective September 1, 2024. Since joining FactSet in 2001, she has held leadership roles spanning sales, product and strategy, including roles as Global Head of Research Solutions (2017-2021), and Chief Product Officer (2021-2024). In her current position, she is responsible for setting strategy, and leading execution across product development and engineering for FactSet's solutions for wealth management, banking, and dealmaking clients worldwide. Over her tenure, she has played a key role in growing FactSet's sell-side business, advancing enterprise AI capabilities, and strengthening relationships with clients. Ms. Karnovsky holds a B.S. from the University of Scranton.</w:t>
      </w:r>
    </w:p>
    <w:p>
      <w:pPr>
        <w:pStyle w:val="TextBody"/>
        <w:bidi w:val="0"/>
        <w:spacing w:lineRule="auto" w:line="288" w:before="200" w:after="283"/>
        <w:jc w:val="both"/>
        <w:rPr/>
      </w:pPr>
      <w:r>
        <w:rPr>
          <w:rFonts w:ascii="Times New Roman;serif" w:hAnsi="Times New Roman;serif"/>
          <w:b/>
          <w:i/>
          <w:color w:val="000000"/>
          <w:sz w:val="20"/>
        </w:rPr>
        <w:t xml:space="preserve">John Costigan – Executive Vice President, Chief Data Officer. </w:t>
      </w:r>
      <w:r>
        <w:rPr>
          <w:rFonts w:ascii="Times New Roman;serif" w:hAnsi="Times New Roman;serif"/>
          <w:b w:val="false"/>
          <w:color w:val="000000"/>
          <w:sz w:val="20"/>
        </w:rPr>
        <w:t>Mr. Costigan was appointed Executive Vice President, Chief Data Officer of FactSet effective June 1, 2023. As Chief Data Officer, he is responsible for FactSet's enterprise-wide data strategy and leads data development from planning through production. This includes data digital transformation using modern techniques and technology to drive timeliness, accuracy, coverage, consistency and usability across all FactSet data assets. Prior to that, he served as Chief Content Officer of FactSet starting in April 2022. Mr. Costigan has been at FactSet since September 2007 in a variety of roles. Prior to joining FactSet, Mr. Costigan served as Vice President, Product Management at Thomson Financial, and spent 11 years in a variety of Product Management roles at First Call, Autex, ILX, and Tradeweb. Mr. Costigan earned a Bachelor's degree in Economics from St. Michael's College.</w:t>
      </w:r>
    </w:p>
    <w:p>
      <w:pPr>
        <w:pStyle w:val="TextBody"/>
        <w:bidi w:val="0"/>
        <w:spacing w:lineRule="auto" w:line="288" w:before="200" w:after="283"/>
        <w:jc w:val="both"/>
        <w:rPr/>
      </w:pPr>
      <w:r>
        <w:rPr>
          <w:rFonts w:ascii="Times New Roman;serif" w:hAnsi="Times New Roman;serif"/>
          <w:b/>
          <w:i/>
          <w:color w:val="000000"/>
          <w:sz w:val="20"/>
        </w:rPr>
        <w:t xml:space="preserve">Katherine M. Stepp – Executive Vice President, Chief Technology Officer. </w:t>
      </w:r>
      <w:r>
        <w:rPr>
          <w:rFonts w:ascii="Times New Roman;serif" w:hAnsi="Times New Roman;serif"/>
          <w:b w:val="false"/>
          <w:color w:val="000000"/>
          <w:sz w:val="20"/>
        </w:rPr>
        <w:t>Ms. Stepp was appointed Executive Vice President, Chief Technology Officer, effective September 1, 2022. As Chief Technology Officer, she is responsible for leading FactSet's technology organization and overseeing its digital transformation strategy. Ms. Stepp joined FactSet in 2008 and previously served as Senior Director of Product Management within FactSet's Research and Advisory workflow solutions. Prior to that role, she was Senior Director of Engineering within FactSet's Research workflow solutions. Ms. Stepp holds a B.S. in Computer Science from Carnegie Mellon University.</w:t>
      </w:r>
    </w:p>
    <w:p>
      <w:pPr>
        <w:pStyle w:val="TextBody"/>
        <w:bidi w:val="0"/>
        <w:spacing w:lineRule="auto" w:line="288" w:before="200" w:after="283"/>
        <w:jc w:val="both"/>
        <w:rPr/>
      </w:pPr>
      <w:r>
        <w:rPr>
          <w:rFonts w:ascii="Times New Roman;serif" w:hAnsi="Times New Roman;serif"/>
          <w:b/>
          <w:i/>
          <w:color w:val="000000"/>
          <w:sz w:val="20"/>
        </w:rPr>
        <w:t>Catrina Harding - Executive Vice President, Chief People Officer.</w:t>
      </w:r>
      <w:r>
        <w:rPr>
          <w:color w:val="000000"/>
        </w:rPr>
        <w:t xml:space="preserve"> </w:t>
      </w:r>
      <w:r>
        <w:rPr>
          <w:rFonts w:ascii="Times New Roman;serif" w:hAnsi="Times New Roman;serif"/>
          <w:b w:val="false"/>
          <w:color w:val="000000"/>
          <w:sz w:val="20"/>
        </w:rPr>
        <w:t>Ms. Harding was appointed Executive Vice President, Chief People Officer in July 2023. Prior to that, Ms. Harding served as Chief Human Resources Officer at Gerson Lehrman Group, a financial and global information services company, and Senior Vice President of Human Resources at Synchrony Financial, a consumer financial services company and former division of GE Capital. She has more than 20 years of experience in senior human resources roles at major companies, including U.S. Steel Corporation, General Electric Company, and Ford Motor Company. Ms. Harding holds a Bachelor of Science from Western Michigan University and a Masters in Industrial and Organizational Psychology from the University of Detroit Mercy.</w:t>
      </w:r>
    </w:p>
    <w:p>
      <w:pPr>
        <w:pStyle w:val="TextBody"/>
        <w:bidi w:val="0"/>
        <w:spacing w:lineRule="auto" w:line="288" w:before="200" w:after="283"/>
        <w:jc w:val="both"/>
        <w:rPr/>
      </w:pPr>
      <w:r>
        <w:rPr>
          <w:rFonts w:ascii="Times New Roman;serif" w:hAnsi="Times New Roman;serif"/>
          <w:b/>
          <w:i/>
          <w:color w:val="000000"/>
          <w:sz w:val="20"/>
        </w:rPr>
        <w:t>Christopher R. Ellis - Executive Vice President, Head of Strategic Initiatives and Partnerships.</w:t>
      </w:r>
      <w:r>
        <w:rPr>
          <w:color w:val="000000"/>
        </w:rPr>
        <w:t xml:space="preserve"> </w:t>
      </w:r>
      <w:r>
        <w:rPr>
          <w:rFonts w:ascii="Times New Roman;serif" w:hAnsi="Times New Roman;serif"/>
          <w:b w:val="false"/>
          <w:color w:val="000000"/>
          <w:sz w:val="20"/>
        </w:rPr>
        <w:t>Mr. Ellis was appointed Executive Vice President, Head of Strategic Initiatives and Partnerships effective November 1, 2023. In this role, he collaborates on a range of initiatives to help FactSet better address the needs of our clients, most specifically asset managers and asset owners. Mr. Ellis joined FactSet in 1994 in Client Solutions. His career path since then has included successfully defining and expanding the Portfolio Manager Workstation Sales solutions, ultimately becoming its Vice President before assuming the position of Director of Portfolio Analytics. He subsequently led the development team for FactSet's core workstation. Prior to his current role, he led the business development function at FactSet through a series of successful acquisitions and strategic partnerships. Mr. Ellis is a graduate of Stanford University and a CFA charterholder.</w:t>
      </w:r>
    </w:p>
    <w:p>
      <w:pPr>
        <w:pStyle w:val="TextBody"/>
        <w:bidi w:val="0"/>
        <w:spacing w:lineRule="auto" w:line="288" w:before="200" w:after="283"/>
        <w:jc w:val="both"/>
        <w:rPr/>
      </w:pPr>
      <w:r>
        <w:rPr>
          <w:rFonts w:ascii="Times New Roman;serif" w:hAnsi="Times New Roman;serif"/>
          <w:b/>
          <w:i/>
          <w:color w:val="000000"/>
          <w:sz w:val="20"/>
        </w:rPr>
        <w:t>Christopher McLoughlin - Executive Vice President, Chief Legal Officer and Corporate Secretary.</w:t>
      </w:r>
      <w:r>
        <w:rPr>
          <w:color w:val="000000"/>
        </w:rPr>
        <w:t xml:space="preserve"> </w:t>
      </w:r>
      <w:r>
        <w:rPr>
          <w:rFonts w:ascii="Times New Roman;serif" w:hAnsi="Times New Roman;serif"/>
          <w:b w:val="false"/>
          <w:color w:val="000000"/>
          <w:sz w:val="20"/>
        </w:rPr>
        <w:t xml:space="preserve">Mr. McLoughlin was appointed Executive Vice President, Chief Legal Officer effective December 2, 2024. In this role, he oversees the global legal, compliance, and risk functions for the Company, together with government and regulatory affairs. Previously, Mr. McLoughlin served as the General Counsel of S&amp;P Global Market Intelligence, where he led a global team providing legal and compliance support to the entire division and served as a member of the S&amp;P Global Market Intelligence Operating Committee. Prior, he was Deputy General Counsel and Company Secretary of IHS Markit Ltd. He has also worked at various international law firms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a range of corporate, transactional, and advisory matters. Mr. McLoughlin has earned a legal degree LLB (Hons), from the University of Manchester and attended Nottingham Law School.</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Additional Information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Additional information with respect to our business is included in the following pages and is incorporated herein by reference:</w:t>
      </w:r>
    </w:p>
    <w:tbl>
      <w:tblPr>
        <w:tblW w:w="8113" w:type="dxa"/>
        <w:jc w:val="left"/>
        <w:tblInd w:w="0" w:type="dxa"/>
        <w:tblLayout w:type="fixed"/>
        <w:tblCellMar>
          <w:top w:w="28" w:type="dxa"/>
          <w:left w:w="28" w:type="dxa"/>
          <w:bottom w:w="28" w:type="dxa"/>
          <w:right w:w="28" w:type="dxa"/>
        </w:tblCellMar>
      </w:tblPr>
      <w:tblGrid>
        <w:gridCol w:w="2670"/>
        <w:gridCol w:w="2352"/>
        <w:gridCol w:w="2357"/>
        <w:gridCol w:w="215"/>
        <w:gridCol w:w="215"/>
        <w:gridCol w:w="304"/>
      </w:tblGrid>
      <w:tr>
        <w:trPr/>
        <w:tc>
          <w:tcPr>
            <w:tcW w:w="2670"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Page(s)</w:t>
            </w:r>
          </w:p>
        </w:tc>
      </w:tr>
      <w:tr>
        <w:trPr/>
        <w:tc>
          <w:tcPr>
            <w:tcW w:w="7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ib796dee8748c4638b4a4bf5def45c14d_4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ib796dee8748c4638b4a4bf5def45c14d_43">
              <w:r>
                <w:rPr>
                  <w:rStyle w:val="InternetLink"/>
                  <w:rFonts w:ascii="Times New Roman;serif" w:hAnsi="Times New Roman;serif"/>
                  <w:b w:val="false"/>
                  <w:color w:val="0000FF"/>
                  <w:sz w:val="20"/>
                  <w:u w:val="single"/>
                </w:rPr>
                <w:t>29</w:t>
              </w:r>
            </w:hyperlink>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73">
              <w:r>
                <w:rPr>
                  <w:rStyle w:val="InternetLink"/>
                  <w:rFonts w:ascii="Times New Roman;serif" w:hAnsi="Times New Roman;serif"/>
                  <w:b w:val="false"/>
                  <w:color w:val="0000FF"/>
                  <w:sz w:val="20"/>
                  <w:u w:val="single"/>
                </w:rPr>
                <w:t>Quantitative and Qualitative Disclosures about Market Risk</w:t>
              </w:r>
            </w:hyperlink>
          </w:p>
        </w:tc>
        <w:tc>
          <w:tcPr>
            <w:tcW w:w="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73">
              <w:r>
                <w:rPr>
                  <w:rStyle w:val="InternetLink"/>
                  <w:rFonts w:ascii="Times New Roman;serif" w:hAnsi="Times New Roman;serif"/>
                  <w:b w:val="false"/>
                  <w:color w:val="0000FF"/>
                  <w:sz w:val="20"/>
                  <w:u w:val="single"/>
                </w:rPr>
                <w:t>47</w:t>
              </w:r>
            </w:hyperlink>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03">
              <w:r>
                <w:rPr>
                  <w:rStyle w:val="InternetLink"/>
                  <w:rFonts w:ascii="Times New Roman;serif" w:hAnsi="Times New Roman;serif"/>
                  <w:b w:val="false"/>
                  <w:color w:val="0000FF"/>
                  <w:sz w:val="20"/>
                  <w:u w:val="single"/>
                </w:rPr>
                <w:t>Notes to the Consolidated Financial Statements</w:t>
              </w:r>
            </w:hyperlink>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03">
              <w:r>
                <w:rPr>
                  <w:rStyle w:val="InternetLink"/>
                  <w:rFonts w:ascii="Times New Roman;serif" w:hAnsi="Times New Roman;serif"/>
                  <w:b w:val="false"/>
                  <w:color w:val="0000FF"/>
                  <w:sz w:val="20"/>
                  <w:u w:val="single"/>
                </w:rPr>
                <w:t>62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ITEM 1A. RISK FACTORS</w:t>
      </w:r>
    </w:p>
    <w:p>
      <w:pPr>
        <w:pStyle w:val="TextBody"/>
        <w:bidi w:val="0"/>
        <w:spacing w:lineRule="auto" w:line="288" w:before="200" w:after="283"/>
        <w:jc w:val="both"/>
        <w:rPr/>
      </w:pPr>
      <w:r>
        <w:rPr>
          <w:rFonts w:ascii="Times New Roman;serif" w:hAnsi="Times New Roman;serif"/>
          <w:b w:val="false"/>
          <w:color w:val="000000"/>
          <w:sz w:val="20"/>
        </w:rPr>
        <w:t xml:space="preserve">The following risks could materially and adversely affect our business, financial condition, results of operations, and cash flows and, as a result, the trading price of our common stock could decline. These risk factors do not identify all risks that we face;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 Investors should also refer to the other information set forth in this Annual Report on Form 10-K, including Item 7. </w:t>
      </w:r>
      <w:r>
        <w:rPr>
          <w:rFonts w:ascii="Times New Roman;serif" w:hAnsi="Times New Roman;serif"/>
          <w:b w:val="false"/>
          <w:i/>
          <w:color w:val="000000"/>
          <w:sz w:val="20"/>
        </w:rPr>
        <w:t>Management’s Discussion and Analysis of Financial Condition and Results of Operation</w:t>
      </w:r>
      <w:r>
        <w:rPr>
          <w:rFonts w:ascii="Times New Roman;serif" w:hAnsi="Times New Roman;serif"/>
          <w:b w:val="false"/>
          <w:color w:val="000000"/>
          <w:sz w:val="20"/>
        </w:rPr>
        <w:t>s and our Consolidated Financial Statements including the related Notes. Investors should carefully consider all risks, including those disclosed here, before making an investment decision.</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Cybersecurity, Technology and Data Security Risks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Unauthorized access to confidential data including client data, other cyber-attacks, and the failure of our cyber-security systems and procedures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Many of our products, as well as our internal systems and processes, involve the collection, retrieval, processing, storage and transmission of our own, as well as supplier and client, proprietary information and sensitive or confidential data through a variety of media channels. We rely on, and continuously invest in, internal processes, controls, policies, procedures and employee training programs designed to protect confidential data received in the ordinary course of business, including information from client portfolios and strategies. However, these measures do not guarantee security, and improper access to or release of confidential information may still occur—whether due to employee error or malfeasance, system error, inadvertent release, failure to properly purge or protect data, or through cyber-attacks.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size, scale and role in the financial markets increases our risk for cyber-attacks and our exposure to other cyber-security risks. We use third-party service providers for certain critical functions. We and our third-party service providers are subject to the risks of system failures, security breaches and cyber-attacks, such as those sponsored by nation-states, terrorist organizations, or global corporations seeking to illicitly obtain technology or other intellectual property, including through the use of generative AI, agentic AI, phishing scams, hacking, viruses, denial of service attacks, tampering, intrusions, physical break-ins, ransomware and malware, employee errors or malfeasance.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Cyber-security risks also may be derived from fraud or malice on the part of our employees or third-party service providers, or may result from human error, software bugs, server malfunctions, software or hardware failures or other technological failures. Our and our vendors' use of mobile and cloud technologies may increase our risk for such threats. Our protective systems and procedures and those of third parties to which we are connected, such as cloud computing providers, may not be effective against these threats. In addition, failure by our clients or third-party service providers to notify us of system failures or security breaches in a timely manner could lead to unauthorized access to our systems and data, resulting in adverse effects on our business, operating results or financial condition.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also make acquisitions periodically. While significant effort is placed on addressing information technology security issues with respect to the companies we acquire, we may inherit such risks when these acquisitions are integrated into our infrastructure. Although we conduct due diligence during acquisition processes, acquired businesses may not have invested as heavily in security measures and technology, and this may introduce additional security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While we have dedicated resources responsible for maintaining appropriate levels of cybersecurity, and implemented systems and processes intended to help identify cyberattacks and protect and remediate our network infrastructure, we may not be able to anticipate, prevent or detect all such attacks. As these threats continually evolve, we are required to devote additional resources and investment to modify or enhance our systems and processes, including patch and vulnerability management, which we may not be able to do in a timely or complete manner, or without adversely impacting our business, financial condition or results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make a range of commitments to our clients regarding our security practices, processes and security posture. If we do not adequately implement and enforce these security practices to the satisfaction of our clients, we could be in violation of our commitments to our clients. Cyberattacks, security breaches or third-party reports of perceived security vulnerability to our systems, even if no breach has occurred, also could damage our brand and reputation, result in litigation, regulatory actions, loss of client confidence and increased legal liability. While we maintain insurance coverage that is intended to address certain aspects of cybersecurity and data protection risks, such coverage may not include, or may not be sufficient to cover, all or the majority of the costs, losses or types of claims.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 prolonged or recurring outage and other business continuity disruptions could result in a reduced or total loss of service; the loss of clients and adverse impact on our reputation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clients rely on us for the delivery of time-sensitive, accurate, complete and up-to-date data and applications. Our business is dependent on our ability to process substantial volumes of data and transactions rapidly and efficiently on our computer-based networks, database storage facilities, and other network infrastructure, which are located across multiple facilities globally. If we experience significant growth of our client base, increases in the number of products or services we offer, or increases in the speed at which we are required to provide products and services, it may strain our systems. Additionally, our systems and networks may become strained due to aging or end-of-life technology that we have not yet updated or replaced.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computer operations, as well as our other business centers, and those of our suppliers and clients, may be vulnerable to interruption by fire, natural disaster, public health crisis (e.g., pandemics), extreme weather or climate conditions, power loss, telecommunication failures, terrorist attacks, acts of war or civil unrest, internet failures, computer viruses, security breaches, employee or systems errors, and other events beyond our reasonable control. In addition, in remote work environments, the daily activities and productivity of our workforce is now more closely tied to key vendors consistently delivering their services without material disruption. Our ability to deliver information using the internet and to operate in a remote working environment may be impaired because of infrastructure failures, service outages at third-party internet providers, malicious attacks, or other factors.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also currently use multiple providers of cloud services; however, one supplier provides the majority of our cloud computing support. While we believe this provider to be reliable, we have limited control over its performance, and a disruption or loss of service from this provider could impair our system's operation and our ability to operate for a period of time.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back-up facilities and certain other redundancies for each of our data centers to minimize the risk that any event will disrupt those operations, but if we were to suffer such an event it may mean we are unable to provide our service for a prolonged period of time, and our IT disaster recovery processes may not be adequate. From time to time we have experienced outages across certain of our products and service providers, and we may still experience outages or other disruptions in the future, and such outages or disruptions may have a material adverse effect on the Company.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currently implementing a multi-year project to enhance our information technology disaster recovery processes with modernized tooling and automation to maximize resiliency and minimize recovery time in the event of a service disruption. However, a loss of our services involving our significant facilities may materially disrupt our business and may induce our clients to seek alternative data suppliers. Any such losses or damages we incur could have a material adverse effect on our business. Although we seek to minimize these risks through security measures, controls, back-up data centers, emergency planning and disaster recovery processes, there can be no assurance that such efforts will be successful or effective. Additionally, we may face significant increases in our use of power and data storage and may experience a shortage of capacity and increased costs associated with such usage.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Transition to new technologies, applications and processes could expose us to unanticipated disruptions or impacts</w:t>
      </w:r>
    </w:p>
    <w:p>
      <w:pPr>
        <w:pStyle w:val="TextBody"/>
        <w:bidi w:val="0"/>
        <w:spacing w:lineRule="auto" w:line="288" w:before="200" w:after="283"/>
        <w:jc w:val="both"/>
        <w:rPr/>
      </w:pPr>
      <w:r>
        <w:rPr>
          <w:rFonts w:ascii="Times New Roman;serif" w:hAnsi="Times New Roman;serif"/>
          <w:b w:val="false"/>
          <w:color w:val="000000"/>
          <w:sz w:val="20"/>
        </w:rPr>
        <w:t>The technology landscape is constantly evolving. To remain competitive, we must invest, adapt and migrate to new technologies, applications and processes, including the evolving use of AI technology and agentic AI (see "</w:t>
      </w:r>
      <w:r>
        <w:rPr>
          <w:rFonts w:ascii="Times New Roman;serif" w:hAnsi="Times New Roman;serif"/>
          <w:b w:val="false"/>
          <w:i/>
          <w:color w:val="000000"/>
          <w:sz w:val="20"/>
        </w:rPr>
        <w:t>Our use of AI technologies may not be successful and may present business, compliance, and reputational risks</w:t>
      </w:r>
      <w:r>
        <w:rPr>
          <w:rFonts w:ascii="Times New Roman;serif" w:hAnsi="Times New Roman;serif"/>
          <w:b w:val="false"/>
          <w:color w:val="000000"/>
          <w:sz w:val="20"/>
        </w:rPr>
        <w:t>" below for further discussion). Use of more advanced technologies and infrastructure is critical to the development of our products and services, the scaling of our business for future growth, and the accurate maintenance of our data and operations. The implementation of new technologies and infrastructure, such as migration to new cloud-based systems and increased utilization of AI internally and in our products and services, is complex and can involve substantial expenditures, as well as, risks inherent in the conversion to any new system, including potential loss of information and disruption to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Use of open source software could introduce security vulnerabilities, impose unanticipated restrictions on our ability to commercialize our products and services, and subject us to increased costs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use open source code in our software development and incorporate it into our products and internal systems. The use of open source code may entail greater risks than the use of third-party commercial software. Open source licensors generally do not provide warranties or other contractual protections regarding infringement claims or the quality or security of the code. Some open source licenses provide that if we combine our proprietary applications with the open source software in a certain manner, we could be required to release the source code of our proprietary applications to the public. This would allow our competitors to create similar products with less development effort and time and ultimately put us at a competitive disadvantage. We have implemented procedures to control the use of open source code so as to mitigate this risk; however, the terms of many open source licenses are also ambiguous and have not been interpreted by U.S. or other courts. Therefore, there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is a risk that our internal procedures controlling the use of open source code could fail, or that the licenses could be construed in a manner that imposes unanticipated conditions or restrictions on us. If any of this were to occur, we could be required to seek alternative third-party licenses at increased costs or reduced scope, to re-engineer products or systems, or potentially to discontinue the licensing of certain products. Any remedial actions could divert resources away from our development efforts, be time intensive and have a significant cost.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use of AI technologies may not be successful and may present business, compliance, and reputational risks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use, and are expanding our use of, machine learning and AI technologies in our products and processes. If we fail to keep pace with rapidly evolving AI technological developments, or fail to launch products that are competitive, our competitive position and business results may be negatively impacted. If our competitors or other third parties incorporate AI technologies, such as emerging generative and agentic AI, into their products and processes more quickly or more successfully than us, this could impair our ability to compete effectively. Our use of AI technologies, including generative and agentic AI, requires resources to develop, test and maintain such products, which is costly. Despite our investments in, and commitment of resources to, the development of AI products and technologies, we may not be successful in generating revenues from these efforts. In addition, third parties may be able to use AI to create technology that could reduce demand for our products and services.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introduction of AI technologies, particularly generative and agentic AI, into new or existing offerings may result in new or expanded risks and liabilities, due to enhanced governmental or regulatory scrutiny, litigation, compliance issues, ethical concerns, confidentiality, data privacy or security risks, as well as other factors that could adversely affect our business, reputation, and financial results. For example, AI technologies can lead to unintended consequences and errors, including generating content that appears correct but is factually inaccurate, misleading or otherwise flawed, or that results in unintended biases and discriminatory outcomes, which could harm our reputation and expose us to liability. If the content, analyses, or recommendations that AI applications assist in producing are, or are alleged to be, deficient, inaccurate, unreliable, misleading, biased, discriminatory or otherwise flawed, any of which may not be easily detectable, our business and reputation may be adversely affected. Use of AI technologies, and the evolving legal, regulatory and compliance framework for AI, could impact our ability to protect our data and intellectual property, as well as vendor and client information, and could expose us to intellectual property or other claims by third parties. Use of AI technologies may also increase risks related to cyberattacks or other security incidents or result in a failure to protect confidential information. Because AI technology is highly complex and rapidly developing, it is not possible to predict all of the legal, operational or technological risks that may arise relating to our use of AI. These risks include the possibility of enhanced governmental or regulatory scrutiny, litigation or other legal liability, compliance issues, ethical concerns, negative client perceptions, confidentiality or security risks, as well as other factors. Any of these issues could materially adversely affect our business, financial condition or results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AI technologies used in our products and processes may use or incorporate data from third-party sources, including information they input into the AI tools, which may expose us to risks associated with data rights and protection.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Strategy and Market Demand Risks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Competition in our industry may cause price reductions or loss of market share, or limit our growth or profitability</w:t>
      </w:r>
    </w:p>
    <w:p>
      <w:pPr>
        <w:pStyle w:val="TextBody"/>
        <w:bidi w:val="0"/>
        <w:spacing w:lineRule="auto" w:line="288" w:before="200" w:after="283"/>
        <w:jc w:val="both"/>
        <w:rPr/>
      </w:pPr>
      <w:r>
        <w:rPr>
          <w:rFonts w:ascii="Times New Roman;serif" w:hAnsi="Times New Roman;serif"/>
          <w:b w:val="false"/>
          <w:color w:val="000000"/>
          <w:sz w:val="20"/>
        </w:rPr>
        <w:t>We continue to experience intense competition across all of our products and services, with competitors ranging in size from smaller, highly specialized, single-product businesses to multi-billion-dollar companies. New and existing competitors are constantly developing innovative products or business models, including alternative data, analytics, technology-enabled platforms, and fintech solutions. Many of these competitors also have significant AI capabilities and funding. Some of these competitors may be able to introduce new technology, deliver products and services, or leverage data and analytics faster or more effectively than we can.</w:t>
      </w:r>
      <w:r>
        <w:rPr>
          <w:color w:val="000000"/>
        </w:rPr>
        <w:t xml:space="preserve"> </w:t>
      </w:r>
      <w:r>
        <w:rPr>
          <w:rFonts w:ascii="Times New Roman;serif" w:hAnsi="Times New Roman;serif"/>
          <w:b w:val="false"/>
          <w:color w:val="000000"/>
          <w:sz w:val="20"/>
        </w:rPr>
        <w:t>The rapid pace of technological change, including advances in AI, cloud computing, and machine learning, along with evolving client demands, could cause our products and services to become outdated or less competitive. If we fail to keep pace with innovation, invest in developing new technology or data products, or successfully respond to disruptive competitors and emerging industry standards, our market position, revenues and operating results could be adversely affected. While we believe the breadth and depth of our suite of products and applications offer benefits to our clients that are a competitive advantage, our competitors may offer price incentives to attract new business. Future competitive pricing pressures may result in decreased sales volumes and price reductions, resulting in lower revenues and ASV. Weak economic conditions may also result in clients seeking to utilize lower-cost information that is available from alternative sources. The impact of cost-cutting pressures across the industries we serve could lower demand for our products and services. Clients within the financial services industry that strive to reduce their operating costs may seek to reduce their spending on financial market data and related services, such as ours. If our clients consolidate their spending with fewer suppliers, by selecting suppliers with lower-cost offerings or by self-sourcing their needs for financial market data, our business could be negatively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The continued shift from active to passive investing could negatively impact user count growth and revenues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predominant investment strategy today is no longer active investing, which attempts to outperform the market. The main advantage of active management is the expectation that the investment managers will be able to outperform market indices. They make informed investment decisions based on their experiences, insights, knowledge and ability to identify opportunities that can translate into superior performance. The main advantage of passive investing is that it closely matches the performance of market indices. Passive investing requires little decision-making by investment managers and low operating costs which result in lower fees for the investor. A continued shift to passive investing, resulting in an increased outflow to passively managed index funds, could reduce demand for the services of active investment managers and consequently, the demand of our clients for our products and services.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 decline in equity and/or fixed income returns may impact the buying power of investment management clients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ASV is derived from our investment management clients, and the profitability and management fees of many of these clients are tied to assets under management. An equity market decline not only depresses the value of assets under management but also could cause a significant increase in redemption requests from our clients’ customers, further reducing their assets under management. Reduced client profits and management fees may cause our clients to cut costs. Moreover, extended declines in the equity and fixed income markets may reduce new fund or client creation. Each of these developments may result in lower demand from investment managers for our products and services, which could negatively affect our business.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Uncertainty or downturns in the global economy and consolidation in the financial services industry may cause us to lose clients and users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Many of our clients are asset and wealth managers, investment and commercial bankers, hedge funds, private equity and venture capital professionals, and other financial services entities. Uncertainty or downturns in the global economy or a lack of confidence in the global financial system could negatively impact our clients, which could cause a corresponding negative impact on our business results. Mergers, consolidation or contraction of our clients in the financial services industry also could directly impact the number of clients, prospective clients and users of our products and services. If our clients merge with or are acquired by other entities that are not our clients, or that use fewer of our products and services, they may discontinue or reduce their use of our products and services. Thus, economic uncertainty, economic downturns, lack of confidence in the global financial system, and consolidation in this sector could adversely affect our business, financial results and future growth.</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Volatility or downturns in the financial markets may delay the spending pattern of clients and reduce future ASV growth</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decision on the part of large institutional clients to purchase our products and services often requires management-level sponsorship and typically depends upon the size of the client, with larger clients having more complex and time-consuming purchasing processes. The process is also influenced by market volatility and market downturns. These characteristics often lead us to engage in relatively lengthy sales efforts. Purchases (and incremental ASV) may therefore be delayed as uncertainties or downturns in the financial markets may cause clients to remain cautious about capital and data content expenditures, particularly in uncertain economic environments. Market volatility or market downturns may curtail our client's spending and lead them to delay or defer purchasing decisions or product service implementations, or cause them to cancel or reduce their spending with us, which could negatively impact our revenues and future growth.</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Failure to develop and market new products and enhancements that maintain our technological and competitive position and failure to anticipate and respond to changes in the marketplace for our products and client demands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market for our products is characterized by rapid technological change, including developing technologies such as AI, including agentic AI, methods and speed of delivery, changes in client demands, development of new investment instruments and evolving industry standards. The direction of these trends can render our existing products less competitive, obsolete or unmarketable. As a result, our future success will continue to depend upon our ability to identify and develop new products and enhancements that address the future needs of our target markets and to respond to their changing standards and practices. We may not be successful in developing, introducing, marketing, licensing and implementing new products and enhancements on a timely and cost-effective basis or without impacting the stability and efficiency of existing products and client systems. Further, any new products and enhancements may not adequately meet the requirements of the marketplace or achieve market acceptance. We must make long-term investments and commit significant resources, for example, to developing and utilizing AI technology, before knowing whether these investments will eventually result in products and services that satisfy our clients' needs and generate revenues required to provide the desired results. Our failure or inability to anticipate and respond to changes in the marketplace, including competitor and supplier developments, may also adversely affect our business, operations and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Errors or defects can exist at any point in a product's life cycle, but are more frequently found after the introduction of new products or enhancements to existing products. Despite internal testing and testing by clients, our products may contain errors. We may also experience delays while developing and introducing new products for various reasons, such as difficulties in licensing data inputs. Defects, errors, or delays in our products that are significant, or are perceived to be significant, could result in rejection or delay in market acceptance, damage to our reputation, loss of revenues, lower rate of license renewals or upgrades, diversion of development resources, product liability claims or regulatory actions, or increases in service and support costs.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Clients are seeking additional contractual protections that may create additional liabilities for us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Clients are increasingly looking to pass on contractual obligations to us, which may include service level, information and cyber-security requirements and audit rights. Many of our clients in the financial services sector are also subject to regulations and requirements to adopt risk management processes commensurate with the level of risk and complexity of their third-party relationships (including as required under the European Union ("EU") Digital Operational Resilience Acts ("DORA")), and provide rigorous oversight of relationships that involve certain "critical activities," some of which may be deemed to be provided by us. Any failure on our part to comply with the specific provisions in client contracts, including having appropriate information security capabilities, could result in the imposition of various penalties, which may include termination of contracts, service credits, suspension of payments, contractual penalties, adverse monetary judgments, and, in the case of government contracts, suspension from future government contracting. Even if the outcome of any claims brought against us were ultimately favorable, such a claim would require the time and attention of our management, personnel, as well as financial and other resources and potentially pose a significant disruption to our normal business operations and reputational damage.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Failure to identify, integrate, or realize anticipated benefits of acquisitions and strains on resources as a result of growth</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fiscal 2025, we completed several corporate transactions, including the acquisition of Irwin, LiquidityBook and LogoIntern. There can be no assurance that we will be able to identify suitable candidates for successful acquisition at acceptable prices. Additionally, there may be integration risks or other risks resulting from acquired businesses. Our ability to achieve the expected returns and synergies from past and future acquisitions and alliances depends in part upon our ability to integrate the offerings, technology, sales, administrative functions and key personnel of these businesses effectively into our core business. We cannot guarantee that our acquired businesses will perform at the levels anticipated. In addition, past and future acquisitions may subject us to unanticipated risks or liabilities or disrupt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Growth, such as the addition of new clients and acquisitions, puts demands on our resources, including our internal systems and infrastructure. These may require improvements or replacement to meet the additional demands of a larger organization. Further, the addition of new clients and the implementation of such improvements would require additional management time and resources. These needs may result in increased costs that could negatively impact results of operations. Failure to implement needed improvements, such as improved scalability, could result in a deterioration in the performance of our internal systems and negatively impact the performance of our business.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Failure to maintain reputation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enjoy a positive reputation in the marketplace. Our ability to attract and retain clients and employees is affected by external perceptions of our brand and reputation. Reputational damage from negative perceptions or publicity, including, without limitation, market perception of our sustainability and corporate responsibility policies and practices, could affect our ability to attract and retain clients and employees and our ability to maintain our pricing for our products and services. Although we monitor developments for areas of potential risk to our reputation and brand, negative perceptions or publicity could have a material adverse effect on our business and financial results.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Increased scrutiny with respect to sustainability matters</w:t>
      </w:r>
    </w:p>
    <w:p>
      <w:pPr>
        <w:pStyle w:val="TextBody"/>
        <w:bidi w:val="0"/>
        <w:spacing w:lineRule="auto" w:line="288" w:before="200" w:after="283"/>
        <w:jc w:val="both"/>
        <w:rPr/>
      </w:pPr>
      <w:r>
        <w:rPr>
          <w:rFonts w:ascii="Times New Roman;serif" w:hAnsi="Times New Roman;serif"/>
          <w:b w:val="false"/>
          <w:color w:val="000000"/>
          <w:sz w:val="20"/>
        </w:rPr>
        <w:t>New laws, regulations, policies, and international agreements relating to environmental, social and governance (“ESG”) matters are being developed and formalized in Europe and elsewhere</w:t>
      </w:r>
      <w:r>
        <w:rPr>
          <w:color w:val="000000"/>
        </w:rPr>
        <w:t xml:space="preserve"> </w:t>
      </w:r>
      <w:r>
        <w:rPr>
          <w:rFonts w:ascii="Times New Roman;serif" w:hAnsi="Times New Roman;serif"/>
          <w:b w:val="false"/>
          <w:color w:val="000000"/>
          <w:sz w:val="20"/>
        </w:rPr>
        <w:t>globally, which requires us to comply with specific, target-driven frameworks, disclosure and other requirements in multiple jurisdictions. Increased public, political or media scrutiny concerning ESG or climate matters may negatively affect our reputation. We may face criticism in respect of our climate and ESG products. We may also face increased scrutiny from political leaders, organizations or groups criticizing ESG or climate-focused products, or our compliance with global ESG regulations. Such scrutiny may impact demand for our products or limit our ability to attract and retain clients, resulting in adverse effects on our business, operating results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Operational Risks</w:t>
      </w:r>
    </w:p>
    <w:p>
      <w:pPr>
        <w:pStyle w:val="TextBody"/>
        <w:bidi w:val="0"/>
        <w:spacing w:lineRule="auto" w:line="28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Operations outside the U.S. involve additional requirements and burdens that we may not be able to control or manage successfully</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In fiscal 2025, approximately </w:t>
      </w:r>
      <w:r>
        <w:rPr>
          <w:rFonts w:ascii="Times New Roman;serif" w:hAnsi="Times New Roman;serif"/>
          <w:b w:val="false"/>
          <w:color w:val="000000"/>
          <w:sz w:val="20"/>
        </w:rPr>
        <w:t>39%</w:t>
      </w:r>
      <w:r>
        <w:rPr>
          <w:color w:val="000000"/>
          <w:shd w:fill="FFFFFF" w:val="clear"/>
        </w:rPr>
        <w:t xml:space="preserve"> </w:t>
      </w:r>
      <w:r>
        <w:rPr>
          <w:rFonts w:ascii="Times New Roman;serif" w:hAnsi="Times New Roman;serif"/>
          <w:b w:val="false"/>
          <w:color w:val="000000"/>
          <w:sz w:val="20"/>
          <w:shd w:fill="FFFFFF" w:val="clear"/>
        </w:rPr>
        <w:t xml:space="preserve">of our revenues related to operations located outside the U.S. In addition, approximately </w:t>
      </w:r>
      <w:r>
        <w:rPr>
          <w:rFonts w:ascii="Times New Roman;serif" w:hAnsi="Times New Roman;serif"/>
          <w:b w:val="false"/>
          <w:color w:val="000000"/>
          <w:sz w:val="20"/>
        </w:rPr>
        <w:t>80% of our employees</w:t>
      </w:r>
      <w:r>
        <w:rPr>
          <w:color w:val="000000"/>
          <w:shd w:fill="FFFFFF" w:val="clear"/>
        </w:rPr>
        <w:t xml:space="preserve"> </w:t>
      </w:r>
      <w:r>
        <w:rPr>
          <w:rFonts w:ascii="Times New Roman;serif" w:hAnsi="Times New Roman;serif"/>
          <w:b w:val="false"/>
          <w:color w:val="000000"/>
          <w:sz w:val="20"/>
          <w:shd w:fill="FFFFFF" w:val="clear"/>
        </w:rPr>
        <w:t>are located in offices outside the U.S., including India and the Philippines. We expect our growth to continue outside the U.S. Our non-U.S. operations involve risks that differ from or are in addition to those faced by our U.S. operations. These risks include difficulties in developing products, services and technology tailored to the needs of non-U.S. clients, including in emerging markets; different employment laws and rules; rising labor costs in lower-wage countries; difficulties in staffing and managing personnel that are located outside the U.S.; different regulatory, legal and compliance requirements, including in the areas of privacy and data protection, anti-bribery and anti-corruption, trade sanctions and restraints and currency controls, marketing and sales and other barriers to conducting business; social and cultural differences, such as language; diverse or less stable political, operating and economic environments and market fluctuations; extreme weather conditions, civil disturbances or other catastrophic events that reduce business activity, including the risk that the current conflicts in Ukraine and Russia and in the Middle East expand in a way that impacts our business and operations; limited recognition of our brand and intellectual property protection; differing accounting principles and standards; restrictions on or adverse tax consequences from entity management efforts; and changes in U.S. or foreign tax laws. If we are not able to adapt efficiently or manage the business effectively in markets outside the U.S., our business prospects and operating results could be materially and adversely affected.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Failure to enter into, renew or comply with contracts supplying new and existing content sets or products on competitive terms</w:t>
      </w:r>
    </w:p>
    <w:p>
      <w:pPr>
        <w:pStyle w:val="TextBody"/>
        <w:bidi w:val="0"/>
        <w:spacing w:lineRule="auto" w:line="288" w:before="200" w:after="283"/>
        <w:jc w:val="both"/>
        <w:rPr/>
      </w:pPr>
      <w:r>
        <w:rPr>
          <w:rFonts w:ascii="Times New Roman;serif" w:hAnsi="Times New Roman;serif"/>
          <w:b w:val="false"/>
          <w:color w:val="000000"/>
          <w:sz w:val="20"/>
        </w:rPr>
        <w:t xml:space="preserve">We collect and aggregate third-party content from data suppliers, news sources, exchanges, brokers and contributors into our own dedicated managed databases, which clients access to perform their analyses. These databases are important to our operations as they provide clients with key information. We have entered into third-party content agreements of varying lengths, which in some cases can be terminated on one year’s notice at predefined dates, and in other cases on shorter notice. Some of our content provider agreements are with competitors or smaller entities who may be acquired by our competitors, who may attempt to make renewals difficult or expensive. We seek to maintain favorable contractual relationships with our content suppliers, including those that are also competitors. However, we cannot control the actions and policies of our content suppliers and we may have content suppliers who provide </w:t>
      </w:r>
      <w:r>
        <w:rPr>
          <w:rFonts w:ascii="Times New Roman;serif" w:hAnsi="Times New Roman;serif"/>
          <w:b w:val="false"/>
          <w:color w:val="000000"/>
          <w:sz w:val="20"/>
          <w:shd w:fill="FFFFFF" w:val="clear"/>
        </w:rPr>
        <w:t>us</w:t>
      </w:r>
      <w:r>
        <w:rPr>
          <w:color w:val="000000"/>
        </w:rPr>
        <w:t xml:space="preserve"> </w:t>
      </w:r>
      <w:r>
        <w:rPr>
          <w:rFonts w:ascii="Times New Roman;serif" w:hAnsi="Times New Roman;serif"/>
          <w:b w:val="false"/>
          <w:color w:val="000000"/>
          <w:sz w:val="20"/>
        </w:rPr>
        <w:t xml:space="preserve">with notice of termination, or exclude or restrict us from use of their content, or only license such content at prohibitive cost. Additionally, despite our efforts to comply with our third-party content supplier agreements, there can be no assurances that third parties may not challenge our use of their content, especially during periods of economic uncertainty, which could result in increased licensing costs, loss of rights, and costly legal actions. Certain content sets that we rely on have a limited number of suppliers, although we make every effort to assure that, where reasonable, alternative sources are available. We are not dependent on any one third-party content supplier to meet the needs of our clients, with two data suppliers each representing more than 10% of our total content costs for fiscal </w:t>
      </w:r>
      <w:r>
        <w:rPr>
          <w:rFonts w:ascii="Times New Roman;serif" w:hAnsi="Times New Roman;serif"/>
          <w:b w:val="false"/>
          <w:color w:val="000000"/>
          <w:sz w:val="20"/>
          <w:shd w:fill="FFFFFF" w:val="clear"/>
        </w:rPr>
        <w:t>2025</w:t>
      </w:r>
      <w:r>
        <w:rPr>
          <w:rFonts w:ascii="Times New Roman;serif" w:hAnsi="Times New Roman;serif"/>
          <w:b w:val="false"/>
          <w:color w:val="000000"/>
          <w:sz w:val="20"/>
        </w:rPr>
        <w:t>. Additionally, we use AI technologies from third party suppliers, which may include open-source software. If we are unable to maintain rights to use these AI technologies on commercially reasonable terms, we may be forced to acquire or develop alternate AI technologies. Our failure to be able to maintain our supplier relationships, or the failure of our suppliers to deliver accurate content or in a timely manner, or the occurrence of a dispute with a vendor over use of their content, could increase our costs and reduce the type of content and products and services available to our clients, which could harm our reputation in the marketplace and adversely affect our business.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Increased accessibility to free or relatively inexpensive information sources may reduce demand for our products and services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Each year, an increasing amount of free or relatively inexpensive information becomes available, particularly through the internet, and this trend is likely to continue, especially with the deployment of AI tools. The availability of free or relatively inexpensive information may reduce demand for our products and services. While we believe our offerings are distinguished by such factors as standardization, timeliness, normalization, accuracy, ease-of-use, completeness and other value-added factors, if users choose to obtain the information they need from public or other sources, our business, results of operations, and cash flows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Inability to hire and retain key qualified personnel or navigate key management transitions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development, maintenance, sale and support of our products and services are dependent upon the knowledge, experience and ability of our highly skilled, educated and trained key personnel. Accordingly, our business is dependent on successfully attracting, retaining and training talented employees and navigating key management transitions (including in our executive leadership team) in a highly competitive business environment. Competition for talent, especially engineering, technology, and sales personnel, is strong. Our ability to attract and retain talented employees is dependent on a number of factors, including prevailing market conditions and compensation packages offered by companies competing for the same talent.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Key management transitions, such as our recent change in Chief Executive Officer, involve inherent risk, and such transition periods can be disruptive and may result in a loss of personnel with deep institutional or technical knowledge. If we are unsuccessful in our recruiting efforts, or if we are unable to retain key employees or offer competitive compensation and benefit packages and career structures, or if we are unable to navigate key management transitions, our ability to develop and deliver successful products and services or achieve strategic goals may be adversely affected, which could have a material adverse effect on our business and results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If we fail to maintain proper and effective internal control and remediate any future control deficiencies, our ability or perceived ability to produce accurate and timely financial statements or reporting could be impaired, which could harm our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Sarbanes-Oxley Act places certain requirements on public reporting companies with respect to internal controls for financial reporting and disclosure controls and procedures. As such, public reporting companies are required to furnish a report by management on, among other things, the effectiveness of internal control over financial reporting. This assessment will include disclosure of any material weaknesses identified by management in a company’s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previously disclosed in our Annual Report on Form 10-K for the fiscal year ended August 31, 2024, we identified a material weakness in our internal control over financial reporting related to the design and operation of our information technology (“IT”) general controls that support our revenues, accounts receivable, and deferred revenues processes. We are still in the process of enhancing our internal controls related to the design and operation of our IT general controls that support our revenues, accounts receivable, and deferred revenues processes and expect to complete these remediation measures in fiscal 2026. However, remediation efforts have placed, and will continue to place, a significant burden on management and add increased pressure to our financial and IT resources and processes. No system of controls, no matter how well designed and operated, can provide absolute assurance that the objectives of the system of controls will be met, and no evaluation of controls can provide absolute assurance that all control deficiencies or material weaknesses have been or will be detected. There is no assurance that any remediation efforts will be fully effective. If we identify one or more additional material weaknesses, or, if we are otherwise unable to maintain effective internal control over financial reporting or disclosure controls and procedures, our financial reporting may be adversely affected and could result in violations of applicable securities laws, stock exchange listing requirements, negatively affect investor confidence in our financial statements, subject us to litigation or investigations and adversely impact our stock price and our ability to access capital markets.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Legal and Regulatory Risks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Legislative and regulatory changes in the environments in which we and our clients operate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business, we are subject to numerous laws and regulations in the U.S. and in the other countries in which we operate. These laws, rules, and regulations, and their interpretations, may conflict or change in the future, and compliance with these changes may increase our costs or cause us to make changes in or otherwise limit our business practices. In addition, the global nature and scope of our business operations make it more difficult to monitor areas that may be subject to regulatory and compliance risk. If we fail to comply with any applicable law, rule, or regulation, we could be subject to claims and fines and suffer reputational damage. Uncertainty caused by political change globally and complex relationships across countries heightens the risk of regulatory uncertainty.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pPr>
      <w:r>
        <w:rPr>
          <w:rFonts w:ascii="Times New Roman;serif" w:hAnsi="Times New Roman;serif"/>
          <w:b w:val="false"/>
          <w:color w:val="000000"/>
          <w:sz w:val="20"/>
        </w:rPr>
        <w:t>Many of our clients operate within a highly regulated environment and must comply with governmental legislation and regulations. During the last several years, global regulators have increased their focus on the regulation of the financial services industry. Increased regulation of our clients may increase their expenses, causing them to seek to limit or reduce their costs from outside services such as ours. Some recent legislative and regulatory changes that we believe could impact us and our clients include: (a) in the U.S., the Financial Data Transparency Act 2022 ("FDTA"), which requires the FDTA’s sponsoring U.S. government agencies to identify standards, including common identifiers, for reporting financial products and transactions to those agencies; (b) in the EU, the EU’s DORA imposes operational resilience and cyber security standards and obligations, including technical and organizational standards and responsibilities which require technology and/or organizational investment, upon (i) many of our financial market clients, who aim to pass such obligations onto vendors, including us, and (ii) information and communications technology providers designated by the EU as “Critical Third Party Providers.”</w:t>
      </w:r>
      <w:r>
        <w:rPr>
          <w:color w:val="000000"/>
        </w:rPr>
        <w:t xml:space="preserve"> </w:t>
      </w:r>
      <w:r>
        <w:rPr>
          <w:rFonts w:ascii="Times New Roman;serif" w:hAnsi="Times New Roman;serif"/>
          <w:b w:val="false"/>
          <w:color w:val="000000"/>
          <w:sz w:val="20"/>
        </w:rPr>
        <w:t>The United Kingdom ("UK") is advancing similar legislation and other jurisdictions could follow; and (c) in Asia Pacific, we and our clients are subject to a number of regulatory risks. For example, in China, there is an evolving regulatory environment and complex data security and data transfer regulations. These factors may increase compliance risk and costs for us and our clients.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Adverse resolution of litigation or governmental investigations</w:t>
      </w:r>
    </w:p>
    <w:p>
      <w:pPr>
        <w:pStyle w:val="TextBody"/>
        <w:bidi w:val="0"/>
        <w:spacing w:lineRule="auto" w:line="288" w:before="200" w:after="283"/>
        <w:jc w:val="both"/>
        <w:rPr/>
      </w:pPr>
      <w:r>
        <w:rPr>
          <w:rFonts w:ascii="Times New Roman;serif" w:hAnsi="Times New Roman;serif"/>
          <w:b w:val="false"/>
          <w:color w:val="000000"/>
          <w:sz w:val="20"/>
        </w:rPr>
        <w:t>We are party to lawsuits in the normal course of our business, including a purported class action relating to our acquisition, and operation of, the CGS business (</w:t>
      </w:r>
      <w:r>
        <w:rPr>
          <w:rFonts w:ascii="Times New Roman;serif" w:hAnsi="Times New Roman;serif"/>
          <w:b w:val="false"/>
          <w:i/>
          <w:color w:val="000000"/>
          <w:sz w:val="20"/>
        </w:rPr>
        <w:t>Dinosaur Financial Group LLC et al. v. S&amp;P Global, Inc. et al</w:t>
      </w:r>
      <w:r>
        <w:rPr>
          <w:rFonts w:ascii="Times New Roman;serif" w:hAnsi="Times New Roman;serif"/>
          <w:b w:val="false"/>
          <w:color w:val="000000"/>
          <w:sz w:val="20"/>
        </w:rPr>
        <w:t xml:space="preserve">). Litigation and governmental investigations can be expensive, lengthy and disruptive to normal business operations. Moreover, the results of complex legal proceedings are difficult to predict. Unfavorable resolution of lawsuits could have a material adverse effect on our business, operating results or financial condition. While we maintain insurance coverage in respect of certain risks, some of these lawsuits may not be covered by existing insurance. Even if we successfully defend against these lawsuits, the costs of defending such lawsuits may be material to our business, operating results or financial condition and may divert our management’s attention from our business operations. For additional information regarding legal matters, see Item 3. </w:t>
      </w:r>
      <w:r>
        <w:rPr>
          <w:rFonts w:ascii="Times New Roman;serif" w:hAnsi="Times New Roman;serif"/>
          <w:b w:val="false"/>
          <w:i/>
          <w:color w:val="000000"/>
          <w:sz w:val="20"/>
        </w:rPr>
        <w:t>Legal Proceedings</w:t>
      </w:r>
      <w:r>
        <w:rPr>
          <w:rFonts w:ascii="Times New Roman;serif" w:hAnsi="Times New Roman;serif"/>
          <w:b w:val="false"/>
          <w:color w:val="000000"/>
          <w:sz w:val="20"/>
        </w:rPr>
        <w:t>, of this Annual Report on Form 10-K.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receive client complaints. We believe we have strong contractual protection in the terms and conditions included in our arrangements with our clients. Nonetheless, in the interest of managing client relationships, we may from time to time engage in dialogue with clients in an effort to resolve such complaints, and if such complaints cannot be resolved through dialogue, we may face litigation regarding such complaints.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Third parties may claim we infringe upon their intellectual property rights or they may infringe upon our intellectual property rights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may receive notice from others claiming that we have infringed upon their intellectual property rights. Responding to these claims may require us to enter into royalty and licensing agreements on unfavorable terms, incur litigation costs, enter into settlements, stop selling or redesign affected products, or pay damages and satisfy indemnification commitments with our clients or suppliers under contractual provisions of various license arrangements. Additionally, third parties may copy, infringe or otherwise profit from the unauthorized use of our intellectual property rights, requiring us to litigate to protect our rights. Certain countries may not offer adequate protection of proprietary rights. If we are required to defend ourselves or assert our rights or take such actions mentioned, our operating margins may decline as a result. We have incurred, and expect to continue to incur, expenditures to acquire the use of technology and intellectual property rights as part of our strategy to manage this risk.</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Compliance with global data privacy laws which are constantly evolving</w:t>
      </w:r>
    </w:p>
    <w:p>
      <w:pPr>
        <w:pStyle w:val="TextBody"/>
        <w:bidi w:val="0"/>
        <w:spacing w:lineRule="auto" w:line="288" w:before="200" w:after="283"/>
        <w:jc w:val="both"/>
        <w:rPr/>
      </w:pPr>
      <w:r>
        <w:rPr>
          <w:rFonts w:ascii="Times New Roman;serif" w:hAnsi="Times New Roman;serif"/>
          <w:b w:val="false"/>
          <w:color w:val="000000"/>
          <w:sz w:val="20"/>
        </w:rPr>
        <w:t>We, and certain types of information we collect, compile, use, and publish, are subject to numerous global laws and regulations governing the protection of personal and confidential information of our clients, employees and products in the jurisdictions in which we operate. These include, for example, the EU's General Data Protection Regulation, an increasing number of U.S. state laws, such as California's Consumer Privacy Act and Connecticut's Personal Data Privacy and Online Monitoring Act, China's Personal Information Protection Law, and India's Digital Personal Data Protection Act. These laws contain requirements regarding the handling of personal and sensitive data, including our use, protection and the ability of persons whose data is stored to correct or delete such data about themselves. The law in this area continues to develop and the changing nature of these laws could impact our processing and cross-border transfer of personal and sensitive information related to our content, operations, employees, clients, suppliers and others, and may expose us to claims of violations.</w:t>
      </w:r>
      <w:r>
        <w:rPr>
          <w:color w:val="000000"/>
        </w:rPr>
        <w:t xml:space="preserve"> </w:t>
      </w:r>
      <w:r>
        <w:rPr>
          <w:rFonts w:ascii="Times New Roman;serif" w:hAnsi="Times New Roman;serif"/>
          <w:b w:val="false"/>
          <w:color w:val="000000"/>
          <w:sz w:val="20"/>
        </w:rPr>
        <w:t xml:space="preserve">Further, global privacy, data localization, data maintenance, data transfer and data protection legislation, regulatory, enforcement, and policy activity are rapidly and continually evolving and creating a complex regulatory compliance environment.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Additional cost due to tax assessments resulting from ongoing and future audits by tax authorities as well as changes in tax laws</w:t>
      </w:r>
    </w:p>
    <w:p>
      <w:pPr>
        <w:pStyle w:val="TextBody"/>
        <w:bidi w:val="0"/>
        <w:spacing w:lineRule="auto" w:line="288" w:before="200" w:after="283"/>
        <w:jc w:val="both"/>
        <w:rPr/>
      </w:pPr>
      <w:r>
        <w:rPr>
          <w:rFonts w:ascii="Times New Roman;serif" w:hAnsi="Times New Roman;serif"/>
          <w:b w:val="false"/>
          <w:color w:val="000000"/>
          <w:sz w:val="20"/>
        </w:rPr>
        <w:t>In the ordinary course of business, we are subject to changes in tax laws as well as tax examinations by various governmental tax authorities. The global and diverse nature of our business means that there could be additional examinations by governmental tax au</w:t>
      </w:r>
      <w:r>
        <w:rPr>
          <w:rFonts w:ascii="Times New Roman;serif" w:hAnsi="Times New Roman;serif"/>
          <w:b w:val="false"/>
          <w:color w:val="000000"/>
          <w:sz w:val="20"/>
          <w:shd w:fill="FFFFFF" w:val="clear"/>
        </w:rPr>
        <w:t>thorities and the resolution of ongoing and other probable audits which could impose a future risk to the results of our business.</w:t>
      </w:r>
    </w:p>
    <w:p>
      <w:pPr>
        <w:pStyle w:val="TextBody"/>
        <w:bidi w:val="0"/>
        <w:spacing w:lineRule="auto" w:line="288" w:before="200" w:after="283"/>
        <w:jc w:val="both"/>
        <w:rPr/>
      </w:pPr>
      <w:r>
        <w:rPr>
          <w:rFonts w:ascii="Times New Roman;serif" w:hAnsi="Times New Roman;serif"/>
          <w:b w:val="false"/>
          <w:color w:val="000000"/>
          <w:sz w:val="20"/>
          <w:shd w:fill="FFFFFF" w:val="clear"/>
        </w:rPr>
        <w:t>For example, during August 2019 through February 2024, we received various assessment and audit notices from the Commonwealth of Massachusetts Department of Revenue with respect to sales taxes, interest and underpayment penalties relating to the tax periods from January 1, 2006 through December 31, 2023 ("Sales Tax Dispute"). We entered into an agreement with the Commonwealth on November 26, 2024 which fully resolved all matters relating to the</w:t>
      </w:r>
      <w:r>
        <w:rPr>
          <w:color w:val="000000"/>
        </w:rPr>
        <w:t xml:space="preserve"> </w:t>
      </w:r>
      <w:r>
        <w:rPr>
          <w:rFonts w:ascii="Times New Roman;serif" w:hAnsi="Times New Roman;serif"/>
          <w:b w:val="false"/>
          <w:color w:val="000000"/>
          <w:sz w:val="20"/>
        </w:rPr>
        <w:t xml:space="preserve">Sales Tax Dispute, </w:t>
      </w:r>
      <w:r>
        <w:rPr>
          <w:rFonts w:ascii="Times New Roman;serif" w:hAnsi="Times New Roman;serif"/>
          <w:b w:val="false"/>
          <w:color w:val="000000"/>
          <w:sz w:val="20"/>
          <w:shd w:fill="FFFFFF" w:val="clear"/>
        </w:rPr>
        <w:t xml:space="preserve">bringing our total charge with respect to that matter to approximately </w:t>
      </w:r>
      <w:r>
        <w:rPr>
          <w:rFonts w:ascii="Times New Roman;serif" w:hAnsi="Times New Roman;serif"/>
          <w:b w:val="false"/>
          <w:color w:val="000000"/>
          <w:sz w:val="20"/>
        </w:rPr>
        <w:t xml:space="preserve">$66.2 million. For a further discussion see Part II, Item 8. Note 12,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 xml:space="preserve">in the Notes to the Consolidated Financial Statements of this Annual Report on Form 10-K. </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Changes in tax laws or the terms of tax treaties in a jurisdiction where we are subject to tax could have an impact on our taxes payable. In addition, as a global taxpayer, we face challenges due to increasing complexities in accounting for, and collecting, taxes in a variety of jurisdictions, which could impact our tax obligations and effective tax rate.</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Financial Market Risks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Exposure to fluctuations in currency exchange rates and the failure of hedging arrangements</w:t>
      </w:r>
    </w:p>
    <w:p>
      <w:pPr>
        <w:pStyle w:val="TextBody"/>
        <w:bidi w:val="0"/>
        <w:spacing w:lineRule="auto" w:line="288" w:before="200" w:after="283"/>
        <w:jc w:val="both"/>
        <w:rPr/>
      </w:pPr>
      <w:r>
        <w:rPr>
          <w:rFonts w:ascii="Times New Roman;serif" w:hAnsi="Times New Roman;serif"/>
          <w:b w:val="false"/>
          <w:color w:val="000000"/>
          <w:sz w:val="20"/>
        </w:rPr>
        <w:t xml:space="preserve">Due to the global nature of our operations, we are exposed to market risk arising from fluctuations in foreign currency exchange rates, particularly in our primary currency exposures, namely the </w:t>
      </w:r>
      <w:r>
        <w:rPr>
          <w:rFonts w:ascii="Times New Roman;serif" w:hAnsi="Times New Roman;serif"/>
          <w:b w:val="false"/>
          <w:color w:val="000000"/>
          <w:sz w:val="20"/>
          <w:shd w:fill="FFFFFF" w:val="clear"/>
        </w:rPr>
        <w:t>British Pound Sterling, Euro, Indian Rupee and Philippine Peso</w:t>
      </w:r>
      <w:r>
        <w:rPr>
          <w:rFonts w:ascii="Times New Roman;serif" w:hAnsi="Times New Roman;serif"/>
          <w:b w:val="false"/>
          <w:color w:val="000000"/>
          <w:sz w:val="20"/>
        </w:rPr>
        <w:t>. These fluctuations can adversely affect our financial results. To the extent our international activities increase in the future, our exposure to fluctuations in currency exchange rates may increase as well. To manage this exposure, we use derivative instruments, specifically foreign currency forward contracts, that are designed to offset the impact of currency movements on a portion of our projected operating expenses related to our primary currency exposures. Although we believe that our foreign exchange hedging policies are reasonable and prudent under the circumstances, our attempt to hedge fluctuations in foreign currency exchange rates may not be successful, which could cause an adverse impact on both our results of operations and cash flows.</w:t>
      </w:r>
    </w:p>
    <w:p>
      <w:pPr>
        <w:pStyle w:val="TextBody"/>
        <w:bidi w:val="0"/>
        <w:spacing w:lineRule="auto" w:line="288" w:before="200" w:after="283"/>
        <w:jc w:val="left"/>
        <w:rPr/>
      </w:pPr>
      <w:r>
        <w:rPr>
          <w:rFonts w:ascii="Times New Roman;serif" w:hAnsi="Times New Roman;serif"/>
          <w:b/>
          <w:i/>
          <w:color w:val="000000"/>
          <w:sz w:val="20"/>
        </w:rPr>
        <w:t>Business performance may not be sufficient to meet financial guidance or publicly disclosed long-term targets</w:t>
      </w:r>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public, full-year financial guidance based upon assumptions regarding our expected financial performance, including our ability to grow revenues and Organic ASV, to meet our planned expenses and maintain a certain tax rate, and to achieve our profitability targets. We can provide no assurances that we will be able to maintain the levels of growth and profitability that we have experienced in the past, or that our growth strategies will be successful. If we are unable to successfully execute on our strategies to achieve our growth objectives and retain our existing clients, or if we experience higher than expected operating costs or taxes, we risk not meeting our full-year financial guidance or may find it necessary to revise such guidance during the year, which could have an adverse impact on our stock price.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Economic, political and other forces beyond our control could adversely affect our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costs and the demand for our products and services may be impacted by domestic and international factors that are beyond our control. Negative conditions in the general economy in either the U.S. or abroad, including conditions resulting from financial and credit market fluctuations, changes in economic policy, inflation rate fluctuations and trade uncertainty, including changes in tariffs, sanctions, international treaties and other trade restrictions, or other geopolitical events, such as the ongoing military conflicts between Russia and Ukraine and in the Middle East, natural and man-made disasters and public health crises (e.g., pandemics) could result in an increase in our costs and/or a reduction in demand for our products and services, which could have an adverse effect on our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pPr>
      <w:r>
        <w:rPr>
          <w:rFonts w:ascii="Times New Roman;serif" w:hAnsi="Times New Roman;serif"/>
          <w:b w:val="false"/>
          <w:color w:val="000000"/>
          <w:sz w:val="20"/>
        </w:rPr>
        <w:t>In addition, the U.S. has imposed tariffs on many foreign products, including tariffs on imports from China, that in the past have resulted in and may result in future retaliatory tariffs on U.S. goods and products and restrictions on exports to the U.S. Such developments have the potential to adversely impact the U.S. economy, our industry and the demand for our products. There remains uncertainty surrounding tariffs imposed by the U.S. and China and trade relations between the two countries, and we cannot predict whether these policies will continue, or if new policies will be enacted (which may restrict our ability to operate in China, or lead to other consequences, such as the need to comply with data localization requirements).</w:t>
      </w:r>
      <w:r>
        <w:rPr>
          <w:color w:val="000000"/>
        </w:rPr>
        <w:t xml:space="preserve"> </w:t>
      </w:r>
      <w:r>
        <w:rPr>
          <w:rFonts w:ascii="Times New Roman;serif" w:hAnsi="Times New Roman;serif"/>
          <w:b w:val="false"/>
          <w:color w:val="000000"/>
          <w:sz w:val="20"/>
        </w:rPr>
        <w:t>As a result, such changes could have a material adverse effect on our business, financial condition and results of operations.</w:t>
      </w: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Relating to Our Debt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indebtedness may impair our financial condition and operations and restrict our activities or our ability to satisfy our obligations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indebtedness could have important consequences for our business, including making it more difficult to satisfy our obligations, increasing our vulnerability to general adverse economic and industry conditions, limiting our flexibility in planning for, or reacting to, changes in our business and the industry in which we operate, and placing us at a competitive disadvantage compared to our peers.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ability to meet our payment and other obligations under our debt depends on our ability to generate sufficient cash flow in the future. We cannot be certain that our business will generate cash flow from operations, or that future borrowings will be available to us under our existing or any future credit facilities or otherwise, in an amount sufficient to enable us to meet our indebtedness obligations and to fund other liquidity needs. Certain of our borrowings are based upon variable interest rates, and although we leverage interest rate swap agreements to manage a portion of our floating interest rate exposure, in the event of increases in interest rates, this could result in higher interest expense.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are subject to certain covenants, including financial covenants and certain limitations on the incurrence of additional debt, the creation of liens, our ability to enter certain transactions, and other matters. These covenants could adversely affect our ability to finance our future operations or capital needs and pursue available business opportunities. Events beyond our control, including changes in general economic and business conditions, may affect our ability to meet required financial covenants. A breach of any of these covenants or any other restrictive covenants contained in the definitive documentation governing our indebtedness would result in a default or an event of default, which could result in all of our debt becoming immediately due and payable or require us to negotiate an amendment to financial or other covenants that could cause us to incur additional fees and expenses.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new debt is added to our current debt levels, the risks described above could intensify.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ITEM 1B. UNRESOLVED STAFF COMMENTS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ITEM 1C. CYBERSECURITY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Cybersecurity Risk Management and Strategy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maintain an information security program with a dedicated internal team that is tasked with leading enterprise-wide cybersecurity strategy, policy, standards, architecture, and processes. Our information security team is responsible for identifying, assessing, managing, and responding to cybersecurity risks, threats and incidents relating to the protection of our information assets, systems and operations. The information security team also oversees the detection, prevention, mitigation and remediation of all cybersecurity incidents. Our information security team proactively monitors emerging cyber threat activity to proactively tune and upgrade our cyber capabilities to maintain a robust security posture.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information security program is managed by a dedicated Chief Information Security Officer ("CISO") who reports to our Chief Technology Officer, a member of our Executive Leadership Team ("ELT"). Our CISO has a graduate degree in computer engineering and has worked in cybersecurity for over two decades, including at a major financial institution. The information security team is comprised of approximately 60 employees, with dedicated teams assigned to governance, risk and compliance, identity and access management, strategy and architecture, and analytics and automation. The team operates from FactSet locations around the world, including offices in the U.S., India, the Philippines and Europe.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FactSet's information security and governance framework is guided by International Organization for Standardization ("ISO") 27001 and System and Organization Control ("SOC") 2 Trust Service Criteria and the National Institute of Standards and Technology ("NIST") Cybersecurity Framework.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Cybersecurity risk management is integrated into our broader Enterprise Risk Management ("ERM") framework. FactSet's ERM program is designed to identify, prioritize and assess the most significant risks that could impact our ability to achieve our strategic business objectives. Our information security leadership team, in concert with our ERM team, reviews our cybersecurity risks each quarter through our enterprise risk assessment process.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FactSet's information security program is grounded in a risk-based approach. Our information security team undertakes various activities to assess, identify and manage risks from cybersecurity threats, including managing security controls, conducting penetration testing, leading training and tabletop exercises (including an annual tabletop exercise with the ELT), and conducting internal and external vulnerability assessments. All FactSet's employees receive mandatory annual cybersecurity training; software engineers receive training on secure software development best practices; and other ad hoc training is provided to employees on the latest cyber threat landscape. In addition, we also perform quarterly "phishing simulations" to test the effectiveness of our security training program.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FactSet's information security team performs annual penetration testing with leading service providers, to mimic motivated threat actors, to assess the internal and external security posture of the Company. Findings from the penetration test and our internal and external vulnerability assessments are classified using a combination of scores and internal business metrics.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processes to identify and mitigate cybersecurity risks stemming from our relationships with third parties, including protocols to assess vendors' cybersecurity programs before we engage them and to monitor vendors, once engaged, for ongoing compliance with our cybersecurity standards.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also have an incident response plan that provides procedures for how we can detect, respond to, and recover from potential cybersecurity incidents, which include processes designed to triage, assess severity, escalate, contain, investigate, and remediate any incident, as well as to comply with any applicable legal obligations and mitigate potential brand and reputational damage.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information security program is regularly evaluated by internal and external experts with the results of those reviews reported to senior management, including the ELT and the FactSet Audit Committee, and, where appropriate, the Board of Directors (the "Board"). We also actively engage with key vendors, industry participants, and intelligence and law enforcement communities as part of our continuing efforts to evaluate and enhance the effectiveness of our information security policies and procedures.</w:t>
      </w:r>
    </w:p>
    <w:p>
      <w:pPr>
        <w:pStyle w:val="TextBody"/>
        <w:bidi w:val="0"/>
        <w:spacing w:lineRule="auto" w:line="288" w:before="200" w:after="283"/>
        <w:jc w:val="both"/>
        <w:rPr/>
      </w:pPr>
      <w:r>
        <w:rPr>
          <w:rFonts w:ascii="Times New Roman;serif" w:hAnsi="Times New Roman;serif"/>
          <w:b w:val="false"/>
          <w:color w:val="000000"/>
          <w:sz w:val="20"/>
        </w:rPr>
        <w:t xml:space="preserve">The cybersecurity threat landscape is dynamic and volatile and requires significant investment. To date, risks from cybersecurity threats have not materially affected, and we do not believe are reasonably likely to materially affect, our business strategy, results of operations, or financial condition. As discussed more fully under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this Annual Report on Form 10-K, although our processes are designed to help identify, detect, prevent, respond to, and mitigate cybersecurity risks, cybersecurity threats are rapidly evolving and we may not be able to anticipate, prevent, or detect all such attacks and there is no guarantee that a future cybersecurity incident could not materially affect our business strategy, results of operations, or financial condition.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Cybersecurity Governance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Cybersecurity is an important part of our Audit Committee, Board and ELT’s risk management focus. The Board coordinates with the Audit Committee for active Board- and Committee-level oversight of the Company’s technology and cyber risk profile, cyber strategies and information security initiatives.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Audit Committee monitors management’s responsibility in the area of risk oversight, including cybersecurity risks. At each regular meeting, the Audit Committee receives updates from the CISO, regarding trends, emergent risks to our technology infrastructure, major updates on security assessments and threat landscape, and the steps we are taking to respond to these matters. The CISO also provides an annual update to the Board, or as may otherwise be required.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has day-to-day responsibility for identifying risks facing FactSet, formulating risk management policies and procedures, managing our key risk exposures on a day-to-day basis and setting the right “tone at the top.” As part of this, the ERM and technology teams, including the CISO, also deliver regular updates to the ELT on cybersecurity and related matters.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ITEM 2. PROPERTIES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August 31, 2025, we have 35 offices worldwide, including our corporate headquarters located at 45 Glover Avenue, Norwalk, Connecticut where we occupy 91,718 square feet of office space. These offices include our data content collection offices located in India and the Philippines. We also have two data centers that support our technological infrastructure located in the U.S.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Refer to the table set forth below for the listing of our leased office space by geographic location. We believe our existing and planned leased space is suitable and adequate for our current business needs. We regularly review our real estate footprint to best support our operations and should our real estate needs increase, we believe additional space will be available.</w:t>
      </w:r>
    </w:p>
    <w:tbl>
      <w:tblPr>
        <w:tblW w:w="3298" w:type="dxa"/>
        <w:jc w:val="left"/>
        <w:tblInd w:w="0" w:type="dxa"/>
        <w:tblLayout w:type="fixed"/>
        <w:tblCellMar>
          <w:top w:w="28" w:type="dxa"/>
          <w:left w:w="28" w:type="dxa"/>
          <w:bottom w:w="28" w:type="dxa"/>
          <w:right w:w="28" w:type="dxa"/>
        </w:tblCellMar>
      </w:tblPr>
      <w:tblGrid>
        <w:gridCol w:w="390"/>
        <w:gridCol w:w="342"/>
        <w:gridCol w:w="347"/>
        <w:gridCol w:w="650"/>
        <w:gridCol w:w="650"/>
        <w:gridCol w:w="919"/>
      </w:tblGrid>
      <w:tr>
        <w:trPr/>
        <w:tc>
          <w:tcPr>
            <w:tcW w:w="39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Location</w:t>
            </w:r>
          </w:p>
        </w:tc>
      </w:tr>
      <w:tr>
        <w:trPr/>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Austin, Texas</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Boston, Massachusetts</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Charlotte, North Carolina</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Chicago, Illinois</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Lakewood, Colorado</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 Angeles, California</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 New York</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Norwalk, Connecticut</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Piscataway, New Jersey</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Reston, Virginia</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San Francisco, California</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Sao Paulo, Brazil</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Toronto, Canada</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Youngstown, Ohio</w:t>
            </w:r>
          </w:p>
        </w:tc>
      </w:tr>
      <w:tr>
        <w:trPr/>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2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Amsterdam, the Netherlands</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Dubai, United Arab Emirates</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Frankfurt, Germany</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Gothenburg, Sweden</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London, England</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Luxembourg, Luxembourg</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Milan, Italy</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Paris, France</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Riga, Latvia</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Sofia, Bulgaria</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Stockholm, Sweden</w:t>
            </w:r>
          </w:p>
        </w:tc>
      </w:tr>
      <w:tr>
        <w:trPr/>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2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Chennai, India</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Hong Kong SAR, China</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Hyderabad, India</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Manila, the Philippines</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Melbourne, Australia</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Mumbai, India</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Shanghai, China</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Singapore</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Sydney, Australia</w:t>
            </w:r>
          </w:p>
        </w:tc>
      </w:tr>
      <w:tr>
        <w:trPr/>
        <w:tc>
          <w:tcPr>
            <w:tcW w:w="107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Tokyo, Japan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ITEM 3. LEGAL PROCEEDINGS</w:t>
      </w:r>
    </w:p>
    <w:p>
      <w:pPr>
        <w:pStyle w:val="TextBody"/>
        <w:bidi w:val="0"/>
        <w:spacing w:lineRule="auto" w:line="288" w:before="200" w:after="283"/>
        <w:jc w:val="both"/>
        <w:rPr/>
      </w:pPr>
      <w:r>
        <w:rPr>
          <w:rFonts w:ascii="Times New Roman;serif" w:hAnsi="Times New Roman;serif"/>
          <w:b w:val="false"/>
          <w:color w:val="000000"/>
          <w:sz w:val="20"/>
        </w:rPr>
        <w:t xml:space="preserve">From time to time, we are subject to legal proceedings, claims and litigation arising in the ordinary course of business. Based on currently available information, our management does not believe that the ultimate outcome of these unresolved matters against us, individually or in the aggregate, is likely to have a material adverse effect on our consolidated financial position, annual results of operations and cash flows. However, these matters are subject to inherent uncertainties and management’s view of these matters may change in the future. Refer to Part II, Item 8. Note 12,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in the Notes to the Consolidated Financial Statements included in this Annual Report on Form 10-K, for more information on contingent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4"/>
        </w:rPr>
      </w:pPr>
      <w:r>
        <w:rPr>
          <w:rFonts w:ascii="Times New Roman;serif" w:hAnsi="Times New Roman;serif"/>
          <w:b/>
          <w:color w:val="000000"/>
          <w:sz w:val="24"/>
        </w:rPr>
        <w:t>ITEM 4. MINE SAFETY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ITEM 5. MARKET FOR REGISTRANT’S COMMON EQUITY, RELATED STOCKHOLDER MATTERS AND ISSUER PURCHASES OF EQUITY SECURITIES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listed on the NYSE and NASDAQ under the symbol "FDS". </w:t>
      </w:r>
    </w:p>
    <w:p>
      <w:pPr>
        <w:pStyle w:val="TextBody"/>
        <w:bidi w:val="0"/>
        <w:spacing w:lineRule="auto" w:line="288" w:before="200" w:after="283"/>
        <w:jc w:val="both"/>
        <w:rPr/>
      </w:pPr>
      <w:r>
        <w:rPr>
          <w:rFonts w:ascii="Times New Roman;serif" w:hAnsi="Times New Roman;serif"/>
          <w:b w:val="false"/>
          <w:i/>
          <w:color w:val="000000"/>
          <w:sz w:val="20"/>
        </w:rPr>
        <w:t>Holders</w:t>
      </w:r>
      <w:r>
        <w:rPr>
          <w:color w:val="000000"/>
        </w:rPr>
        <w:t xml:space="preserve"> </w:t>
      </w:r>
      <w:r>
        <w:rPr>
          <w:rFonts w:ascii="Times New Roman;serif" w:hAnsi="Times New Roman;serif"/>
          <w:b w:val="false"/>
          <w:i/>
          <w:color w:val="000000"/>
          <w:sz w:val="20"/>
        </w:rPr>
        <w:t>of Record</w:t>
      </w:r>
      <w:r>
        <w:rPr>
          <w:color w:val="000000"/>
        </w:rPr>
        <w:t xml:space="preserve"> – </w:t>
      </w:r>
      <w:r>
        <w:rPr>
          <w:rFonts w:ascii="Times New Roman;serif" w:hAnsi="Times New Roman;serif"/>
          <w:b w:val="false"/>
          <w:color w:val="000000"/>
          <w:sz w:val="20"/>
        </w:rPr>
        <w:t xml:space="preserve">As of October 15, 2025, we had approximately 1,896 holders of record of our common stock. However, because many of our shares of common stock are held by brokers and other institutions on behalf of stockholders, we are unable to estimate the total number of stockholders represented by these record holders. </w:t>
      </w:r>
    </w:p>
    <w:p>
      <w:pPr>
        <w:pStyle w:val="TextBody"/>
        <w:bidi w:val="0"/>
        <w:spacing w:lineRule="auto" w:line="288" w:before="200" w:after="283"/>
        <w:jc w:val="both"/>
        <w:rPr/>
      </w:pPr>
      <w:r>
        <w:rPr>
          <w:rFonts w:ascii="Times New Roman;serif" w:hAnsi="Times New Roman;serif"/>
          <w:b w:val="false"/>
          <w:i/>
          <w:color w:val="000000"/>
          <w:sz w:val="20"/>
        </w:rPr>
        <w:t>Dividends</w:t>
      </w:r>
      <w:r>
        <w:rPr>
          <w:color w:val="000000"/>
        </w:rPr>
        <w:t xml:space="preserve"> </w:t>
      </w:r>
      <w:r>
        <w:rPr>
          <w:rFonts w:ascii="Times New Roman;serif" w:hAnsi="Times New Roman;serif"/>
          <w:b w:val="false"/>
          <w:color w:val="000000"/>
          <w:sz w:val="20"/>
        </w:rPr>
        <w:t xml:space="preserve">- We paid four quarterly dividends during fiscal 2025. In the third quarter of fiscal 2025, we increased our quarterly cash dividend from $1.04 to $1.10 per share. Future cash dividend payments are subject to final determination by our Board of Directors and will depend on our earnings, capital requirements, financial condition and other relevant factors. Refer to Part II, Item 8. Note 13, </w:t>
      </w:r>
      <w:r>
        <w:rPr>
          <w:rFonts w:ascii="Times New Roman;serif" w:hAnsi="Times New Roman;serif"/>
          <w:b w:val="false"/>
          <w:i/>
          <w:color w:val="000000"/>
          <w:sz w:val="20"/>
        </w:rPr>
        <w:t>Stockholders' Equity</w:t>
      </w:r>
      <w:r>
        <w:rPr>
          <w:rFonts w:ascii="Times New Roman;serif" w:hAnsi="Times New Roman;serif"/>
          <w:b w:val="false"/>
          <w:color w:val="000000"/>
          <w:sz w:val="20"/>
        </w:rPr>
        <w:t xml:space="preserve">, in the Notes to the Consolidated Financial Statements of this Annual Report on Form 10-K for more information on our dividends.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were no sales of unregistered equity securities during fiscal 2025.</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month-to-month summary of the share repurchase activity during the three months ended August 31, 2025:</w:t>
      </w:r>
    </w:p>
    <w:tbl>
      <w:tblPr>
        <w:tblW w:w="10205" w:type="dxa"/>
        <w:jc w:val="left"/>
        <w:tblInd w:w="0" w:type="dxa"/>
        <w:tblLayout w:type="fixed"/>
        <w:tblCellMar>
          <w:top w:w="28" w:type="dxa"/>
          <w:left w:w="28" w:type="dxa"/>
          <w:bottom w:w="28" w:type="dxa"/>
          <w:right w:w="28" w:type="dxa"/>
        </w:tblCellMar>
      </w:tblPr>
      <w:tblGrid>
        <w:gridCol w:w="564"/>
        <w:gridCol w:w="412"/>
        <w:gridCol w:w="412"/>
        <w:gridCol w:w="646"/>
        <w:gridCol w:w="420"/>
        <w:gridCol w:w="424"/>
        <w:gridCol w:w="109"/>
        <w:gridCol w:w="109"/>
        <w:gridCol w:w="109"/>
        <w:gridCol w:w="229"/>
        <w:gridCol w:w="783"/>
        <w:gridCol w:w="118"/>
        <w:gridCol w:w="109"/>
        <w:gridCol w:w="109"/>
        <w:gridCol w:w="109"/>
        <w:gridCol w:w="856"/>
        <w:gridCol w:w="780"/>
        <w:gridCol w:w="782"/>
        <w:gridCol w:w="109"/>
        <w:gridCol w:w="109"/>
        <w:gridCol w:w="109"/>
        <w:gridCol w:w="541"/>
        <w:gridCol w:w="1854"/>
        <w:gridCol w:w="403"/>
      </w:tblGrid>
      <w:tr>
        <w:trPr/>
        <w:tc>
          <w:tcPr>
            <w:tcW w:w="56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287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Period</w:t>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Total number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shares</w:t>
            </w:r>
          </w:p>
          <w:p>
            <w:pPr>
              <w:pStyle w:val="TableContents"/>
              <w:bidi w:val="0"/>
              <w:spacing w:lineRule="auto" w:line="240" w:before="0" w:after="0"/>
              <w:jc w:val="center"/>
              <w:rPr/>
            </w:pPr>
            <w:r>
              <w:rPr>
                <w:rFonts w:ascii="Times New Roman;serif" w:hAnsi="Times New Roman;serif"/>
                <w:b w:val="false"/>
                <w:color w:val="000000"/>
                <w:sz w:val="20"/>
              </w:rPr>
              <w:t>purchased</w:t>
            </w:r>
            <w:r>
              <w:rPr>
                <w:rFonts w:ascii="Times New Roman;serif" w:hAnsi="Times New Roman;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Average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price paid per</w:t>
            </w:r>
          </w:p>
          <w:p>
            <w:pPr>
              <w:pStyle w:val="TableContents"/>
              <w:bidi w:val="0"/>
              <w:spacing w:lineRule="auto" w:line="240" w:before="0" w:after="0"/>
              <w:jc w:val="center"/>
              <w:rPr/>
            </w:pPr>
            <w:r>
              <w:rPr>
                <w:rFonts w:ascii="Times New Roman;serif" w:hAnsi="Times New Roman;serif"/>
                <w:b w:val="false"/>
                <w:color w:val="000000"/>
                <w:sz w:val="20"/>
              </w:rPr>
              <w:t>share</w:t>
            </w:r>
            <w:r>
              <w:rPr>
                <w:rFonts w:ascii="Times New Roman;serif" w:hAnsi="Times New Roman;serif"/>
                <w:b w:val="false"/>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 as part of</w:t>
            </w:r>
          </w:p>
          <w:p>
            <w:pPr>
              <w:pStyle w:val="TableContents"/>
              <w:bidi w:val="0"/>
              <w:spacing w:lineRule="auto" w:line="240" w:before="0" w:after="0"/>
              <w:jc w:val="center"/>
              <w:rPr/>
            </w:pPr>
            <w:r>
              <w:rPr>
                <w:rFonts w:ascii="Times New Roman;serif" w:hAnsi="Times New Roman;serif"/>
                <w:b w:val="false"/>
                <w:color w:val="000000"/>
                <w:sz w:val="20"/>
              </w:rPr>
              <w:t>publicly announced plans or programs</w:t>
            </w:r>
            <w:r>
              <w:rPr>
                <w:rFonts w:ascii="Times New Roman;serif" w:hAnsi="Times New Roman;serif"/>
                <w:b w:val="false"/>
                <w:color w:val="000000"/>
                <w:sz w:val="13"/>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Approximate dollar value of shares that may yet be</w:t>
            </w:r>
          </w:p>
          <w:p>
            <w:pPr>
              <w:pStyle w:val="TableContents"/>
              <w:bidi w:val="0"/>
              <w:spacing w:lineRule="auto" w:line="240" w:before="0" w:after="0"/>
              <w:jc w:val="center"/>
              <w:rPr/>
            </w:pPr>
            <w:r>
              <w:rPr>
                <w:rFonts w:ascii="Times New Roman;serif" w:hAnsi="Times New Roman;serif"/>
                <w:b w:val="false"/>
                <w:color w:val="000000"/>
                <w:sz w:val="20"/>
              </w:rPr>
              <w:t>purchased under the plans or programs</w:t>
            </w:r>
            <w:r>
              <w:rPr>
                <w:rFonts w:ascii="Times New Roman;serif" w:hAnsi="Times New Roman;serif"/>
                <w:b w:val="false"/>
                <w:color w:val="000000"/>
                <w:sz w:val="13"/>
              </w:rPr>
              <w:t>(3)</w:t>
            </w:r>
          </w:p>
        </w:tc>
      </w:tr>
      <w:tr>
        <w:trPr/>
        <w:tc>
          <w:tcPr>
            <w:tcW w:w="13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2025</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65,097 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64,775 </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79,126 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2025</w:t>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80,850 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433.81 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80,850 </w:t>
            </w:r>
          </w:p>
        </w:tc>
        <w:tc>
          <w:tcPr>
            <w:tcW w:w="7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44,052 </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2025</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117,061 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114,096 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263,008 </w:t>
            </w:r>
          </w:p>
        </w:tc>
        <w:tc>
          <w:tcPr>
            <w:tcW w:w="4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259,721 </w:t>
            </w:r>
          </w:p>
        </w:tc>
        <w:tc>
          <w:tcPr>
            <w:tcW w:w="7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6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(1)Includes 259,721 shares repurchased under the stock repurchase program, as well as 3,287 shares repurchased to satisfy withholding tax obligations due upon the vesting of stock-based awards. </w:t>
      </w:r>
    </w:p>
    <w:p>
      <w:pPr>
        <w:pStyle w:val="TextBody"/>
        <w:bidi w:val="0"/>
        <w:spacing w:lineRule="auto" w:line="288" w:before="6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(2)Amount excludes any excise tax imposed on corporate stock repurchases required under the Inflation Reduction Act of 2022.</w:t>
      </w:r>
    </w:p>
    <w:p>
      <w:pPr>
        <w:pStyle w:val="TextBody"/>
        <w:bidi w:val="0"/>
        <w:spacing w:lineRule="auto" w:line="288" w:before="60" w:after="60"/>
        <w:ind w:left="0" w:right="0" w:hanging="360"/>
        <w:jc w:val="both"/>
        <w:rPr/>
      </w:pPr>
      <w:r>
        <w:rPr>
          <w:rFonts w:ascii="Times New Roman;serif" w:hAnsi="Times New Roman;serif"/>
          <w:b w:val="false"/>
          <w:color w:val="000000"/>
          <w:sz w:val="18"/>
        </w:rPr>
        <w:t xml:space="preserve">(3)We had $0.5 million that remained authorized under our share repurchase program as of August 31, 2025, all of which expired upon the conclusion of fiscal 2025 and were not available for share repurchases after that date. On June 17, 2025, our Board of Directors authorized up to $400 million for share repurchases on or after September 1, 2025 through September 30, 2026. Repurchases may be made from time-to-time in the open market or via privately negotiated transactions, subject to market conditions. There is no defined number of shares to be repurchased over a specified timeframe through the life of our share repurchase program. It is expected that share repurchases will be paid using existing and future cash generated by operations. Refer to Part II, Item 7. </w:t>
      </w:r>
      <w:r>
        <w:rPr>
          <w:rFonts w:ascii="Times New Roman;serif" w:hAnsi="Times New Roman;serif"/>
          <w:b w:val="false"/>
          <w:i/>
          <w:color w:val="000000"/>
          <w:sz w:val="18"/>
        </w:rPr>
        <w:t>Management's Discussion and Analysis of Financial Condition and Results of Operations, Liquidity and Capital Resources</w:t>
      </w:r>
      <w:r>
        <w:rPr>
          <w:rFonts w:ascii="Times New Roman;serif" w:hAnsi="Times New Roman;serif"/>
          <w:b w:val="false"/>
          <w:color w:val="000000"/>
          <w:sz w:val="18"/>
        </w:rPr>
        <w:t>, of this Annual Report on Form 10-K for further discussion on our share repurchase program.</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Securities Authorized for Issuance under Equity Compensation Plans </w:t>
      </w:r>
    </w:p>
    <w:p>
      <w:pPr>
        <w:pStyle w:val="TextBody"/>
        <w:bidi w:val="0"/>
        <w:spacing w:lineRule="auto" w:line="288" w:before="180" w:after="283"/>
        <w:jc w:val="both"/>
        <w:rPr/>
      </w:pPr>
      <w:r>
        <w:rPr>
          <w:rFonts w:ascii="Times New Roman;serif" w:hAnsi="Times New Roman;serif"/>
          <w:b w:val="false"/>
          <w:color w:val="000000"/>
          <w:sz w:val="20"/>
        </w:rPr>
        <w:t xml:space="preserve">Refer to Part III, Item 12. </w:t>
      </w:r>
      <w:r>
        <w:rPr>
          <w:rFonts w:ascii="Times New Roman;serif" w:hAnsi="Times New Roman;serif"/>
          <w:b w:val="false"/>
          <w:i/>
          <w:color w:val="000000"/>
          <w:sz w:val="20"/>
        </w:rPr>
        <w:t>Security Ownership of Certain Beneficial Owners and Management and Related Stockholder Matters,</w:t>
      </w:r>
      <w:r>
        <w:rPr>
          <w:color w:val="000000"/>
        </w:rPr>
        <w:t xml:space="preserve"> </w:t>
      </w:r>
      <w:r>
        <w:rPr>
          <w:rFonts w:ascii="Times New Roman;serif" w:hAnsi="Times New Roman;serif"/>
          <w:b w:val="false"/>
          <w:color w:val="000000"/>
          <w:sz w:val="20"/>
        </w:rPr>
        <w:t>of this Annual Report on Form 10-K.</w:t>
      </w:r>
    </w:p>
    <w:p>
      <w:pPr>
        <w:pStyle w:val="TextBody"/>
        <w:bidi w:val="0"/>
        <w:spacing w:lineRule="auto" w:line="288" w:before="200" w:after="200"/>
        <w:jc w:val="left"/>
        <w:rPr/>
      </w:pPr>
      <w:r>
        <w:rPr>
          <w:rFonts w:ascii="Times New Roman;serif" w:hAnsi="Times New Roman;serif"/>
          <w:b/>
          <w:color w:val="000000"/>
          <w:sz w:val="20"/>
        </w:rPr>
        <w:t>Stock</w:t>
      </w:r>
      <w:r>
        <w:rPr>
          <w:color w:val="000000"/>
        </w:rPr>
        <w:t xml:space="preserve"> </w:t>
      </w:r>
      <w:r>
        <w:rPr>
          <w:rFonts w:ascii="Times New Roman;serif" w:hAnsi="Times New Roman;serif"/>
          <w:b/>
          <w:color w:val="000000"/>
          <w:sz w:val="20"/>
        </w:rPr>
        <w:t>Performance</w:t>
      </w:r>
      <w:r>
        <w:rPr>
          <w:color w:val="000000"/>
        </w:rPr>
        <w:t xml:space="preserve"> </w:t>
      </w:r>
      <w:r>
        <w:rPr>
          <w:rFonts w:ascii="Times New Roman;serif" w:hAnsi="Times New Roman;serif"/>
          <w:b/>
          <w:color w:val="000000"/>
          <w:sz w:val="20"/>
        </w:rPr>
        <w:t>Graph</w:t>
      </w:r>
    </w:p>
    <w:p>
      <w:pPr>
        <w:pStyle w:val="TextBody"/>
        <w:bidi w:val="0"/>
        <w:spacing w:lineRule="auto" w:line="288" w:before="18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annual changes for the five-year period shown in the graph below assume $100 had been invested in our common stock, the S&amp;P 500 Index, the Dow Jones U.S. Financial Services Index and the S&amp;P 500 Financial Exchange and Data Index on August 31, 2020.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total cumulative dollar returns shown on the graph represent the value that such investments would have had on August 31, 2025. Stockholder returns over the indicated period are based on historical data and should not be considered indicative of future stockholder returns. </w:t>
      </w:r>
    </w:p>
    <w:p>
      <w:pPr>
        <w:pStyle w:val="TextBody"/>
        <w:bidi w:val="0"/>
        <w:spacing w:before="200" w:after="283"/>
        <w:jc w:val="both"/>
        <w:rPr/>
      </w:pPr>
      <w:r>
        <w:rPr/>
        <w:drawing>
          <wp:inline distT="0" distB="0" distL="0" distR="0">
            <wp:extent cx="6667500" cy="3838575"/>
            <wp:effectExtent l="0" t="0" r="0" b="0"/>
            <wp:docPr id="2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 descr=""/>
                    <pic:cNvPicPr>
                      <a:picLocks noChangeAspect="1" noChangeArrowheads="1"/>
                    </pic:cNvPicPr>
                  </pic:nvPicPr>
                  <pic:blipFill>
                    <a:blip r:embed="rId3"/>
                    <a:stretch>
                      <a:fillRect/>
                    </a:stretch>
                  </pic:blipFill>
                  <pic:spPr bwMode="auto">
                    <a:xfrm>
                      <a:off x="0" y="0"/>
                      <a:ext cx="6667500" cy="3838575"/>
                    </a:xfrm>
                    <a:prstGeom prst="rect">
                      <a:avLst/>
                    </a:prstGeom>
                  </pic:spPr>
                </pic:pic>
              </a:graphicData>
            </a:graphic>
          </wp:inline>
        </w:drawing>
      </w:r>
      <w:bookmarkStart w:id="1" w:name="i-2"/>
      <w:bookmarkEnd w:id="1"/>
    </w:p>
    <w:tbl>
      <w:tblPr>
        <w:tblW w:w="8616" w:type="dxa"/>
        <w:jc w:val="left"/>
        <w:tblInd w:w="0" w:type="dxa"/>
        <w:tblLayout w:type="fixed"/>
        <w:tblCellMar>
          <w:top w:w="28" w:type="dxa"/>
          <w:left w:w="28" w:type="dxa"/>
          <w:bottom w:w="28" w:type="dxa"/>
          <w:right w:w="28" w:type="dxa"/>
        </w:tblCellMar>
      </w:tblPr>
      <w:tblGrid>
        <w:gridCol w:w="1396"/>
        <w:gridCol w:w="1225"/>
        <w:gridCol w:w="1234"/>
        <w:gridCol w:w="211"/>
        <w:gridCol w:w="466"/>
        <w:gridCol w:w="109"/>
        <w:gridCol w:w="211"/>
        <w:gridCol w:w="466"/>
        <w:gridCol w:w="109"/>
        <w:gridCol w:w="211"/>
        <w:gridCol w:w="466"/>
        <w:gridCol w:w="109"/>
        <w:gridCol w:w="211"/>
        <w:gridCol w:w="466"/>
        <w:gridCol w:w="109"/>
        <w:gridCol w:w="211"/>
        <w:gridCol w:w="466"/>
        <w:gridCol w:w="109"/>
        <w:gridCol w:w="211"/>
        <w:gridCol w:w="466"/>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FactSet Research Systems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Index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 Jones U.S. Financial Services Index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S&amp;P 500 Financial Exchanges and Data Index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 w:after="283"/>
        <w:jc w:val="left"/>
        <w:rPr>
          <w:rFonts w:ascii="Times New Roman;serif" w:hAnsi="Times New Roman;serif"/>
          <w:b/>
          <w:color w:val="000000"/>
          <w:sz w:val="24"/>
        </w:rPr>
      </w:pPr>
      <w:r>
        <w:rPr>
          <w:rFonts w:ascii="Times New Roman;serif" w:hAnsi="Times New Roman;serif"/>
          <w:b/>
          <w:color w:val="000000"/>
          <w:sz w:val="24"/>
        </w:rPr>
        <w:t>ITEM 7. MANAGEMENT’S DISCUSSION AND ANALYSIS OF FINANCIAL CONDITION AND RESULTS OF OPERATIONS</w:t>
      </w:r>
    </w:p>
    <w:p>
      <w:pPr>
        <w:pStyle w:val="TextBody"/>
        <w:bidi w:val="0"/>
        <w:spacing w:lineRule="auto" w:line="288" w:before="200" w:after="283"/>
        <w:jc w:val="both"/>
        <w:rPr/>
      </w:pPr>
      <w:r>
        <w:rPr>
          <w:rFonts w:ascii="Times New Roman;serif" w:hAnsi="Times New Roman;serif"/>
          <w:b w:val="false"/>
          <w:color w:val="000000"/>
          <w:sz w:val="20"/>
        </w:rPr>
        <w:t xml:space="preserve">This Management’s Discussion and Analysis of Financial Condition and Results of Operations ("MD&amp;A") should be read in conjunction with the Consolidated Financial Statements and related Notes included in Part II, Item 8. </w:t>
      </w:r>
      <w:r>
        <w:rPr>
          <w:rFonts w:ascii="Times New Roman;serif" w:hAnsi="Times New Roman;serif"/>
          <w:b w:val="false"/>
          <w:i/>
          <w:color w:val="000000"/>
          <w:sz w:val="20"/>
        </w:rPr>
        <w:t>Financial Statements and Supplementary Data</w:t>
      </w:r>
      <w:r>
        <w:rPr>
          <w:rFonts w:ascii="Times New Roman;serif" w:hAnsi="Times New Roman;serif"/>
          <w:b w:val="false"/>
          <w:color w:val="000000"/>
          <w:sz w:val="20"/>
        </w:rPr>
        <w:t xml:space="preserve">, of this Annual Report on Form 10-K, our Current Reports on Form 8-K and our other filings with the Securities and Exchange Commission. For a similar detailed discussion comparing fiscal 2024 and 2023, refer to Part II, Item 7.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 xml:space="preserve">within our Annual Report on Form 10-K for the fiscal year ended August 31, 2024. This discussion contains forward-looking statements that involve risks and uncertainties. Our actual results could differ materially from those discussed below. Factors that could cause such differences include, but are not limited to, those identified below and those discussed in Part I, Item 1A. </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 xml:space="preserve">of this Annual Report on Form 10-K.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Executive Overview</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Annual Subscription Value ("ASV")</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Client and User Additions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Employee Headcount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Results of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Non-GAAP Financial Measures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Liquidity and Capital Resources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Off-Balance Sheet Arrangements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Foreign Currency Exposure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Critical Accounting Estimates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New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Executive Overview</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FactSet is a global financial digital platform and enterprise solutions provider with open and flexible technologies that deliver financial intelligence to investment professionals worldwide.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platform delivers expansive data, sophisticated analytics, and flexible, AI-powered technologies used by global financial professionals to power their critical investment workflows. As of August 31, 2025, we had approximately 9,000 clients comprised of over 237,000 investment professionals, including institutional asset managers, bankers, wealth managers, asset owners, partners, hedge funds, corporate users, and private equity and venture capital professionals. Our revenues are primarily derived from subscriptions to our multi-asset class data and solutions powered by our connected data and technology platform. Our products and services include workstations, portfolio analytics and enterprise data solutions. We also offer managed services that operate as an extension of our clients' internal teams to support data, performance, risk and reporting workflows.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drive our business based on a detailed understanding of our clients’ workflows, which helps us to solve their most complex challenges. We provide financial data and market intelligence on securities, companies, industries and people to enable our clients to research investment ideas and analyze, monitor and manage their portfolios. Our solutions span the investment lifecycle of investment research, portfolio construction and analysis, trade execution, performance measurement, risk management and reporting. We provide open and flexible technology offerings, including a configurable desktop and mobile platform, comprehensive data feeds, cloud-based digital solutions, and APIs. AI is embedded across these offerings to enhance data discovery, automate routine workflows and improve the speed and accuracy of client insights. The CGS business supports security master files relied on by the investment industry for critical front, middle and back-office functions. All of our platforms and solutions are supported by our dedicated client service team.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our business through three segments: the Americas, EMEA and Asia Pacific. Within each segment, we offer data, products and analytical applications by firm type: Institutional Buyside, Dealmakers, Wealth, and Partnerships and CGS. </w:t>
      </w:r>
    </w:p>
    <w:p>
      <w:pPr>
        <w:pStyle w:val="TextBody"/>
        <w:bidi w:val="0"/>
        <w:spacing w:lineRule="auto" w:line="288" w:before="200" w:after="283"/>
        <w:jc w:val="both"/>
        <w:rPr/>
      </w:pPr>
      <w:r>
        <w:rPr>
          <w:rFonts w:ascii="Times New Roman;serif" w:hAnsi="Times New Roman;serif"/>
          <w:b w:val="false"/>
          <w:color w:val="000000"/>
          <w:sz w:val="20"/>
        </w:rPr>
        <w:t xml:space="preserve">Refer to Part I, Item 1. </w:t>
      </w:r>
      <w:r>
        <w:rPr>
          <w:rFonts w:ascii="Times New Roman;serif" w:hAnsi="Times New Roman;serif"/>
          <w:b w:val="false"/>
          <w:i/>
          <w:color w:val="000000"/>
          <w:sz w:val="20"/>
        </w:rPr>
        <w:t xml:space="preserve">Business - Business Overview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Business Strategy</w:t>
      </w:r>
      <w:r>
        <w:rPr>
          <w:color w:val="000000"/>
        </w:rPr>
        <w:t xml:space="preserve"> </w:t>
      </w:r>
      <w:r>
        <w:rPr>
          <w:rFonts w:ascii="Times New Roman;serif" w:hAnsi="Times New Roman;serif"/>
          <w:b w:val="false"/>
          <w:color w:val="000000"/>
          <w:sz w:val="20"/>
        </w:rPr>
        <w:t xml:space="preserve">and Part II, Item 8. Note 17, </w:t>
      </w:r>
      <w:r>
        <w:rPr>
          <w:rFonts w:ascii="Times New Roman;serif" w:hAnsi="Times New Roman;serif"/>
          <w:b w:val="false"/>
          <w:i/>
          <w:color w:val="000000"/>
          <w:sz w:val="20"/>
        </w:rPr>
        <w:t>Segment Information</w:t>
      </w:r>
      <w:r>
        <w:rPr>
          <w:rFonts w:ascii="Times New Roman;serif" w:hAnsi="Times New Roman;serif"/>
          <w:b w:val="false"/>
          <w:color w:val="000000"/>
          <w:sz w:val="20"/>
        </w:rPr>
        <w:t xml:space="preserve">, in the Notes to the Consolidated Financial Statements included in this Annual Report on Form 10-K for more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Fiscal 2025 in Review</w:t>
      </w:r>
    </w:p>
    <w:p>
      <w:pPr>
        <w:pStyle w:val="TextBody"/>
        <w:bidi w:val="0"/>
        <w:spacing w:lineRule="auto" w:line="288" w:before="200" w:after="283"/>
        <w:jc w:val="both"/>
        <w:rPr/>
      </w:pPr>
      <w:r>
        <w:rPr>
          <w:rFonts w:ascii="Times New Roman;serif" w:hAnsi="Times New Roman;serif"/>
          <w:b w:val="false"/>
          <w:color w:val="000000"/>
          <w:sz w:val="20"/>
        </w:rPr>
        <w:t xml:space="preserve">Revenues for fiscal 2025 were $2,321.7 million, an increase of 5.4% from the comparable prior year. The growth in revenues was driven by a 4.4% increase in organic revenues, a 0.9% increase from acquisition-related revenues and a net increase of 0.1% from foreign currency exchange rate fluctuations. Revenues increased in all our segments, primarily in the Americas. Revenues increased primarily from workstations and to a lesser extent, CGS and front office solutions. Refer to Part II, Item 7. </w:t>
      </w:r>
      <w:r>
        <w:rPr>
          <w:rFonts w:ascii="Times New Roman;serif" w:hAnsi="Times New Roman;serif"/>
          <w:b w:val="false"/>
          <w:i/>
          <w:color w:val="000000"/>
          <w:sz w:val="20"/>
        </w:rPr>
        <w:t xml:space="preserve">Management's Discussion and Analysis of Financial Condition and Results of Operations, Non-GAAP Financial Measures, </w:t>
      </w:r>
      <w:r>
        <w:rPr>
          <w:rFonts w:ascii="Times New Roman;serif" w:hAnsi="Times New Roman;serif"/>
          <w:b w:val="false"/>
          <w:color w:val="000000"/>
          <w:sz w:val="20"/>
        </w:rPr>
        <w:t>of this Annual Report on Form 10-K for a definition of organic revenues and a reconciliation between revenues and organic revenues.</w:t>
      </w:r>
    </w:p>
    <w:p>
      <w:pPr>
        <w:pStyle w:val="TextBody"/>
        <w:bidi w:val="0"/>
        <w:spacing w:lineRule="auto" w:line="288" w:before="200" w:after="283"/>
        <w:jc w:val="both"/>
        <w:rPr/>
      </w:pPr>
      <w:r>
        <w:rPr>
          <w:rFonts w:ascii="Times New Roman;serif" w:hAnsi="Times New Roman;serif"/>
          <w:b w:val="false"/>
          <w:color w:val="000000"/>
          <w:sz w:val="20"/>
        </w:rPr>
        <w:t xml:space="preserve">As of August 31, 2025, organic annual subscription value ("Organic ASV") totaled $2,370.9 million, an increase of 5.7% over the prior year. Organic ASV increased in all our segments, with the majority of the increase in the Americas. Organic ASV growth was mainly driven by workstations, data solutions and, to a lesser extent, CGS. Refer to Part II, Item 7. </w:t>
      </w:r>
      <w:r>
        <w:rPr>
          <w:rFonts w:ascii="Times New Roman;serif" w:hAnsi="Times New Roman;serif"/>
          <w:b w:val="false"/>
          <w:i/>
          <w:color w:val="000000"/>
          <w:sz w:val="20"/>
        </w:rPr>
        <w:t xml:space="preserve">Management's Discussion and Analysis of Financial Condition and Results of Operations, Annual Subscription Value, </w:t>
      </w:r>
      <w:r>
        <w:rPr>
          <w:rFonts w:ascii="Times New Roman;serif" w:hAnsi="Times New Roman;serif"/>
          <w:b w:val="false"/>
          <w:color w:val="000000"/>
          <w:sz w:val="20"/>
        </w:rPr>
        <w:t>of this Annual Report on Form 10-K for the definition of Organic ASV.</w:t>
      </w:r>
    </w:p>
    <w:p>
      <w:pPr>
        <w:pStyle w:val="TextBody"/>
        <w:bidi w:val="0"/>
        <w:spacing w:lineRule="auto" w:line="268" w:before="200" w:after="283"/>
        <w:jc w:val="both"/>
        <w:rPr/>
      </w:pPr>
      <w:r>
        <w:rPr>
          <w:rFonts w:ascii="Times New Roman;serif" w:hAnsi="Times New Roman;serif"/>
          <w:b w:val="false"/>
          <w:color w:val="000000"/>
          <w:sz w:val="20"/>
        </w:rPr>
        <w:t xml:space="preserve">Operating margin was 32.2% for fiscal 2025, compared with 31.8% for fiscal 2024. This increase in operating margin was mainly due to growth in revenues and, when expressed as a percentage of revenues, charges related to the Sales Tax Dispute that were recorded in the prior year, partially offset by higher amortization of intangible assets in the current year. Refer to Part II, Item 8. Note 12, </w:t>
      </w:r>
      <w:r>
        <w:rPr>
          <w:rFonts w:ascii="Times New Roman;serif" w:hAnsi="Times New Roman;serif"/>
          <w:b w:val="false"/>
          <w:i/>
          <w:color w:val="000000"/>
          <w:sz w:val="20"/>
        </w:rPr>
        <w:t xml:space="preserve">Commitments and Contingencies </w:t>
      </w:r>
      <w:r>
        <w:rPr>
          <w:rFonts w:ascii="Times New Roman;serif" w:hAnsi="Times New Roman;serif"/>
          <w:b w:val="false"/>
          <w:color w:val="000000"/>
          <w:sz w:val="20"/>
        </w:rPr>
        <w:t>in the Notes to the Consolidated Financial Statements of this Annual Report on Form 10-K for more information on the Sales Tax Dispute.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Net income for fiscal 2025 was $597.0 million, an increase of 11.2% from the prior year. Diluted earnings per common share ("Diluted EPS") for fiscal 2025 was $15.55, an increase of 11.8% compared with the prior year. The increase in Net income and Diluted EPS was primarily driven by higher operating income and a gain from the divestiture of a business.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We returned $460.4 million to our stockholders in the form of share repurchases and dividends during fiscal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August 31, 2025, our client and user counts were 8,996 and 237,324, respectively. Our employee headcount was 12,800 as of August 31, 2025, up 3.2% compared to the prior year. This increase was driven by net headcount growth of 6.0% in the Americas and 2.6% in each of EMEA and Asia Pacific.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Annual Subscription Value ("ASV")</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ASV reflects our ability to grow recurring revenues and generate positive cash flows, and thus serves as a key indicator of the successful execution of our business strategy.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ASV at any point in time represents our forward-looking revenues for the next 12 months from all subscription services currently being supplied to clients.</w:t>
      </w:r>
    </w:p>
    <w:p>
      <w:pPr>
        <w:pStyle w:val="TextBody"/>
        <w:bidi w:val="0"/>
        <w:spacing w:lineRule="auto" w:line="288" w:before="20" w:after="283"/>
        <w:ind w:left="0" w:right="0" w:hanging="360"/>
        <w:jc w:val="left"/>
        <w:rPr/>
      </w:pPr>
      <w:r>
        <w:rPr>
          <w:color w:val="000000"/>
        </w:rPr>
        <w:t>–</w:t>
      </w:r>
      <w:r>
        <w:rPr>
          <w:rFonts w:ascii="Times New Roman;serif" w:hAnsi="Times New Roman;serif"/>
          <w:b w:val="false"/>
          <w:color w:val="000000"/>
          <w:sz w:val="20"/>
        </w:rPr>
        <w:t>Organic ASV at any point in time equals our ASV excluding ASV from acquisitions and dispositions completed within the last 12 months and the effects of foreign currency movements.</w:t>
      </w:r>
    </w:p>
    <w:p>
      <w:pPr>
        <w:pStyle w:val="TextBody"/>
        <w:bidi w:val="0"/>
        <w:spacing w:lineRule="auto" w:line="288" w:before="20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Beginning in fiscal 2025, we are reporting Organic ASV, rather than Organic ASV plus professional services, to focus on the recurring nature of our revenues. This underscores the shift of our offerings toward providing more managed services and less project-based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Organic ASV</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calculation of Organic ASV as of August 31, 2025. With proper notice provided as contractually required, our clients can add to, delete portions of, or terminate service, subject to certain limitations. </w:t>
      </w:r>
    </w:p>
    <w:tbl>
      <w:tblPr>
        <w:tblW w:w="5413" w:type="dxa"/>
        <w:jc w:val="left"/>
        <w:tblInd w:w="0" w:type="dxa"/>
        <w:tblLayout w:type="fixed"/>
        <w:tblCellMar>
          <w:top w:w="28" w:type="dxa"/>
          <w:left w:w="28" w:type="dxa"/>
          <w:bottom w:w="28" w:type="dxa"/>
          <w:right w:w="28" w:type="dxa"/>
        </w:tblCellMar>
      </w:tblPr>
      <w:tblGrid>
        <w:gridCol w:w="1251"/>
        <w:gridCol w:w="1097"/>
        <w:gridCol w:w="1101"/>
        <w:gridCol w:w="320"/>
        <w:gridCol w:w="1164"/>
        <w:gridCol w:w="480"/>
      </w:tblGrid>
      <w:tr>
        <w:trPr/>
        <w:tc>
          <w:tcPr>
            <w:tcW w:w="125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 amounts in millions)</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August 31, 2025</w:t>
            </w:r>
          </w:p>
        </w:tc>
      </w:tr>
      <w:tr>
        <w:trPr/>
        <w:tc>
          <w:tcPr>
            <w:tcW w:w="3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ASV</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2,405.6 </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Impact from foreign currency movements</w:t>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ASV</w:t>
            </w:r>
            <w:r>
              <w:rPr>
                <w:rFonts w:ascii="Times New Roman;serif" w:hAnsi="Times New Roman;serif"/>
                <w:b w:val="false"/>
                <w:i/>
                <w:color w:val="000000"/>
                <w:sz w:val="13"/>
              </w:rPr>
              <w:t>(1</w:t>
            </w:r>
            <w:r>
              <w:rPr>
                <w:rFonts w:ascii="Times New Roman;serif" w:hAnsi="Times New Roman;serif"/>
                <w:b w:val="false"/>
                <w:color w:val="000000"/>
                <w:sz w:val="13"/>
              </w:rPr>
              <w:t>)</w:t>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Organic ASV</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2,370.9 </w:t>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Organic ASV annual growth rate</w:t>
            </w:r>
            <w:r>
              <w:rPr>
                <w:rFonts w:ascii="Times New Roman;serif" w:hAnsi="Times New Roman;serif"/>
                <w:b w:val="false"/>
                <w:i/>
                <w:color w:val="000000"/>
                <w:sz w:val="13"/>
              </w:rPr>
              <w:t>(2)</w:t>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5.7 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lineRule="auto" w:line="288" w:before="60" w:after="60"/>
        <w:jc w:val="both"/>
        <w:rPr>
          <w:rFonts w:ascii="Times New Roman;serif" w:hAnsi="Times New Roman;serif"/>
          <w:b w:val="false"/>
          <w:color w:val="000000"/>
          <w:sz w:val="18"/>
        </w:rPr>
      </w:pPr>
      <w:r>
        <w:rPr>
          <w:rFonts w:ascii="Times New Roman;serif" w:hAnsi="Times New Roman;serif"/>
          <w:b w:val="false"/>
          <w:color w:val="000000"/>
          <w:sz w:val="18"/>
        </w:rPr>
        <w:t>(1) ASV from acquisitions completed within the last 12 months.</w:t>
      </w:r>
    </w:p>
    <w:p>
      <w:pPr>
        <w:pStyle w:val="TextBody"/>
        <w:bidi w:val="0"/>
        <w:spacing w:lineRule="auto" w:line="288" w:before="60" w:after="60"/>
        <w:jc w:val="both"/>
        <w:rPr>
          <w:rFonts w:ascii="Times New Roman;serif" w:hAnsi="Times New Roman;serif"/>
          <w:b w:val="false"/>
          <w:color w:val="000000"/>
          <w:sz w:val="18"/>
        </w:rPr>
      </w:pPr>
      <w:r>
        <w:rPr>
          <w:rFonts w:ascii="Times New Roman;serif" w:hAnsi="Times New Roman;serif"/>
          <w:b w:val="false"/>
          <w:color w:val="000000"/>
          <w:sz w:val="18"/>
        </w:rPr>
        <w:t>(2) For comparability purposes, in calculating the organic ASV annual growth rate, the prior year excludes ASV from dispositions completed in the last 12 months.</w:t>
      </w:r>
    </w:p>
    <w:p>
      <w:pPr>
        <w:pStyle w:val="TextBody"/>
        <w:bidi w:val="0"/>
        <w:spacing w:lineRule="auto" w:line="288" w:before="200" w:after="60"/>
        <w:jc w:val="both"/>
        <w:rPr>
          <w:rFonts w:ascii="Times New Roman;serif" w:hAnsi="Times New Roman;serif"/>
          <w:b w:val="false"/>
          <w:color w:val="000000"/>
          <w:sz w:val="20"/>
        </w:rPr>
      </w:pPr>
      <w:r>
        <w:rPr>
          <w:rFonts w:ascii="Times New Roman;serif" w:hAnsi="Times New Roman;serif"/>
          <w:b w:val="false"/>
          <w:color w:val="000000"/>
          <w:sz w:val="20"/>
        </w:rPr>
        <w:t xml:space="preserve">As of August 31, 2025, Organic ASV was $2,370.9 million, an increase of 5.7% compared with August 31, 2024. Organic ASV increased in all our segments, with the majority of the increase in the Americas. The increase in Organic ASV was primarily due to higher sales to existing clients and, to a lesser extent, sales to new clients and price increases to existing clients, all primarily attributable to workstations, data solutions and, to a lesser extent, CGS. This increase was partially offset by existing client cancellations.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Segment ASV</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August 31, 2025, ASV from the Americas represented 65% of total ASV and was $1,570.1 million, an increase from $1,455.4 million as of August 31, 2024. Americas Organic ASV was $1,541.9 million as of August 31, 2025, a 6.0% increase from the prior year. The Organic ASV increase in the Americas was primarily driven by workstations and, to a lesser extent, data solutions.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August 31, 2025, ASV from EMEA represented 25% of total ASV and was $591.6 million, an increase from $569.7 million as of August 31, 2024. EMEA Organic ASV was $586.3 million as of August 31, 2025, a 4.2% increase from the prior year. The EMEA Organic ASV increase was mainly from data solutions.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August 31, 2025, ASV from Asia Pacific represented 10% of total ASV and was $243.9 million, an increase from $230.3 million as of August 31, 2024. Asia Pacific Organic ASV was $242.7 million as of August 31, 2025, a 7.2% increase from the prior year. The Asia Pacific Organic ASV increase was primarily driven by data solutions and workstations.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Buy-side and Sell-side Organic ASV Growth</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buy-side and sell-side Organic ASV annual growth rates as of August 31, 2025 were 5.5% and 4.3%, respectively. Buy-side clients account for approximately 82% of our Organic ASV, consistent with the prior year, and primarily include institutional asset managers, wealth managers, asset owners, partners, hedge funds and corporate clients. The remaining Organic ASV is derived from sell-side firms and primarily include broker-dealers, banking and advisory firms, and private equity and venture capital firms. </w:t>
      </w:r>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Client and User Additions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table below presents our total clients and users:</w:t>
      </w:r>
    </w:p>
    <w:tbl>
      <w:tblPr>
        <w:tblW w:w="4001" w:type="dxa"/>
        <w:jc w:val="left"/>
        <w:tblInd w:w="0" w:type="dxa"/>
        <w:tblLayout w:type="fixed"/>
        <w:tblCellMar>
          <w:top w:w="28" w:type="dxa"/>
          <w:left w:w="28" w:type="dxa"/>
          <w:bottom w:w="28" w:type="dxa"/>
          <w:right w:w="28" w:type="dxa"/>
        </w:tblCellMar>
      </w:tblPr>
      <w:tblGrid>
        <w:gridCol w:w="315"/>
        <w:gridCol w:w="277"/>
        <w:gridCol w:w="278"/>
        <w:gridCol w:w="485"/>
        <w:gridCol w:w="341"/>
        <w:gridCol w:w="242"/>
        <w:gridCol w:w="486"/>
        <w:gridCol w:w="340"/>
        <w:gridCol w:w="244"/>
        <w:gridCol w:w="203"/>
        <w:gridCol w:w="203"/>
        <w:gridCol w:w="587"/>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As of August 31,</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8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Clients</w:t>
            </w:r>
            <w:r>
              <w:rPr>
                <w:rFonts w:ascii="Times New Roman;serif" w:hAnsi="Times New Roman;serif"/>
                <w:b w:val="false"/>
                <w:color w:val="000000"/>
                <w:sz w:val="13"/>
              </w:rPr>
              <w:t>(1)</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8,996 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8,217 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Users</w:t>
            </w:r>
            <w:r>
              <w:rPr>
                <w:rFonts w:ascii="Times New Roman;serif" w:hAnsi="Times New Roman;serif"/>
                <w:b w:val="false"/>
                <w:color w:val="000000"/>
                <w:sz w:val="13"/>
              </w:rPr>
              <w:t>(2)</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237,324 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216,381 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(1)The client count includes clients with ASV of $10,000 and above.</w:t>
      </w:r>
    </w:p>
    <w:p>
      <w:pPr>
        <w:pStyle w:val="TextBody"/>
        <w:bidi w:val="0"/>
        <w:spacing w:lineRule="auto" w:line="288" w:before="60" w:after="283"/>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 xml:space="preserve">(2)The user count does not reflect users associated with our fiscal 2025 acquisitions.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total client count was 8,996 as of August 31, 2025, a net increase of 9.5% or 779 clients in the last 12 months, mainly due to an increase in corporate clients, primarily driven by clients from the Platform Group Limited ("Irwin") acquisition.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August 31, 2025, there were 237,324 professionals using FactSet, representing a net increase of 9.7% or 20,943 users in the last twelve months, primarily driven by an increase in wealth management users. The user count does not reflect our fiscal 2025 acquisitions.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Annual ASV retention was greater than 95% of ASV as of August 31, 2025 and August 31, 2024. When expressed as a percentage of clients, annual retention was 91% as of August 31, 2025, compared with 90% as of August 31, 2024.</w:t>
      </w:r>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Employee Headcount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August 31, 2025, our net employee headcount increased by 3.2% to 12,800, compared with 12,398 employees as of August 31, 2024. This net headcount increase was primarily in the technology and sales groups mainly driven by continued investment in our COEs, through an increase in employees based in the Philippines and India, and our Irwin and Liquid Holdings, LLC ("LiquidityBook") acquisitions.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of August 31, 2025, compared to August 31, 2024, our net headcount growth was 6.0% in the Americas and 2.6% in each of EMEA and Asia Pacific. As of August 31, 2025, we had 8,854 employees located in Asia Pacific, 2,510 in the Americas and 1,436 in EMEA. Approximately 68% of our employees are located in our COEs.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Results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an understanding of the significant factors that influenced our performance during fiscal 2025 and 2024, the following discussion should be read in conjunction with the Consolidated Financial Statements and related Notes presented in Part II, Item 8. in this Annual Report on Form 10-K.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results of operations for the years presented:</w:t>
      </w:r>
    </w:p>
    <w:tbl>
      <w:tblPr>
        <w:tblW w:w="8165" w:type="dxa"/>
        <w:jc w:val="left"/>
        <w:tblInd w:w="0" w:type="dxa"/>
        <w:tblLayout w:type="fixed"/>
        <w:tblCellMar>
          <w:top w:w="28" w:type="dxa"/>
          <w:left w:w="28" w:type="dxa"/>
          <w:bottom w:w="28" w:type="dxa"/>
          <w:right w:w="28" w:type="dxa"/>
        </w:tblCellMar>
      </w:tblPr>
      <w:tblGrid>
        <w:gridCol w:w="1264"/>
        <w:gridCol w:w="1112"/>
        <w:gridCol w:w="1118"/>
        <w:gridCol w:w="109"/>
        <w:gridCol w:w="109"/>
        <w:gridCol w:w="109"/>
        <w:gridCol w:w="211"/>
        <w:gridCol w:w="976"/>
        <w:gridCol w:w="109"/>
        <w:gridCol w:w="109"/>
        <w:gridCol w:w="109"/>
        <w:gridCol w:w="109"/>
        <w:gridCol w:w="211"/>
        <w:gridCol w:w="976"/>
        <w:gridCol w:w="109"/>
        <w:gridCol w:w="109"/>
        <w:gridCol w:w="109"/>
        <w:gridCol w:w="109"/>
        <w:gridCol w:w="254"/>
        <w:gridCol w:w="257"/>
        <w:gridCol w:w="587"/>
      </w:tblGrid>
      <w:tr>
        <w:trPr/>
        <w:tc>
          <w:tcPr>
            <w:tcW w:w="126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34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1,097,782 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1,011,945 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Revenues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Revenues in fiscal 2025 were $2,321.7 million, an increase of 5.4%. This 5.4% growth in revenues was driven by a 4.4% increase in organic revenues which totaled $2,300.2 million for fiscal 2025, a 0.9% increase from acquisition-related revenues and a net increase of 0.1% from foreign currency exchange rate fluctuations. Revenues increased in all our geographic segments, primarily in the Americas. The increase in revenues was mainly from workstations and, to a lesser extent, CGS and front office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Revenues by Segment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revenues by segment:</w:t>
      </w:r>
    </w:p>
    <w:tbl>
      <w:tblPr>
        <w:tblW w:w="7092" w:type="dxa"/>
        <w:jc w:val="left"/>
        <w:tblInd w:w="0" w:type="dxa"/>
        <w:tblLayout w:type="fixed"/>
        <w:tblCellMar>
          <w:top w:w="28" w:type="dxa"/>
          <w:left w:w="28" w:type="dxa"/>
          <w:bottom w:w="28" w:type="dxa"/>
          <w:right w:w="28" w:type="dxa"/>
        </w:tblCellMar>
      </w:tblPr>
      <w:tblGrid>
        <w:gridCol w:w="934"/>
        <w:gridCol w:w="821"/>
        <w:gridCol w:w="824"/>
        <w:gridCol w:w="109"/>
        <w:gridCol w:w="109"/>
        <w:gridCol w:w="109"/>
        <w:gridCol w:w="283"/>
        <w:gridCol w:w="267"/>
        <w:gridCol w:w="664"/>
        <w:gridCol w:w="146"/>
        <w:gridCol w:w="146"/>
        <w:gridCol w:w="146"/>
        <w:gridCol w:w="283"/>
        <w:gridCol w:w="267"/>
        <w:gridCol w:w="664"/>
        <w:gridCol w:w="109"/>
        <w:gridCol w:w="109"/>
        <w:gridCol w:w="109"/>
        <w:gridCol w:w="203"/>
        <w:gridCol w:w="203"/>
        <w:gridCol w:w="587"/>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(dollar 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1,506,108</w:t>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1,419,901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64.9 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64.4 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580,284</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25.0 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25.6 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235,356</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10.1 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10.0 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2,321,748</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Americas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Revenues from the Americas increased 6.1% to $1,506.1 million in fiscal 2025, compared with $1,419.9 million in fiscal 2024. This 6.1% growth in revenues was driven by a 4.9% increase in organic revenues and a 1.2% increase from acquisition-related revenues. The increase in revenues was mainly driven by workstations and, to a lesser extent, front office solutions.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EMEA</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Revenues from EMEA increased 3.0% to $580.3 million in fiscal 2025, compared with $563.2 million in fiscal 2024. This 3.0% growth in revenues was driven by a 2.5% increase in organic revenues, a 0.4% increase from acquisition-related revenues and a 0.1% net increase from foreign currency exchange rate fluctuations. The increase in revenues was primarily from data solutions and middle office solutions.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Asia Pacific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Revenues from Asia Pacific increased 7.0% to $235.3 million in fiscal 2025, compared with $220.0 million in fiscal 2024. This 7.0% was driven by a 6.3% increase in organic revenues, a 0.5% increase from acquisition-related revenues and a 0.2% net increase from foreign currency exchange rate fluctuations. The increase in revenues was mainly driven by data solutions, workstations and, to a lesser extent, front office solutions.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Principal Operating Expenses</w:t>
      </w:r>
    </w:p>
    <w:p>
      <w:pPr>
        <w:pStyle w:val="TextBody"/>
        <w:bidi w:val="0"/>
        <w:spacing w:lineRule="auto" w:line="288" w:before="200" w:after="283"/>
        <w:jc w:val="both"/>
        <w:rPr/>
      </w:pPr>
      <w:r>
        <w:rPr>
          <w:rFonts w:ascii="Times New Roman;serif" w:hAnsi="Times New Roman;serif"/>
          <w:b/>
          <w:color w:val="000000"/>
          <w:sz w:val="20"/>
        </w:rPr>
        <w:t>Cost of services</w:t>
      </w:r>
      <w:r>
        <w:rPr>
          <w:color w:val="000000"/>
        </w:rPr>
        <w:t xml:space="preserve"> </w:t>
      </w:r>
      <w:r>
        <w:rPr>
          <w:rFonts w:ascii="Times New Roman;serif" w:hAnsi="Times New Roman;serif"/>
          <w:b w:val="false"/>
          <w:color w:val="000000"/>
          <w:sz w:val="20"/>
        </w:rPr>
        <w:t>is mainly comprised of employee compensation costs and also includes expenses related to data costs, computer-related expenses, amortization of intangible assets, royalty fees, telecommunication costs and computer depreciation.</w:t>
      </w:r>
    </w:p>
    <w:p>
      <w:pPr>
        <w:pStyle w:val="TextBody"/>
        <w:bidi w:val="0"/>
        <w:spacing w:lineRule="auto" w:line="288" w:before="200" w:after="283"/>
        <w:jc w:val="both"/>
        <w:rPr/>
      </w:pPr>
      <w:r>
        <w:rPr>
          <w:rFonts w:ascii="Times New Roman;serif" w:hAnsi="Times New Roman;serif"/>
          <w:b/>
          <w:color w:val="000000"/>
          <w:sz w:val="20"/>
        </w:rPr>
        <w:t xml:space="preserve">Selling, general and administrative </w:t>
      </w:r>
      <w:r>
        <w:rPr>
          <w:rFonts w:ascii="Times New Roman;serif" w:hAnsi="Times New Roman;serif"/>
          <w:b w:val="false"/>
          <w:color w:val="000000"/>
          <w:sz w:val="20"/>
        </w:rPr>
        <w:t>("</w:t>
      </w:r>
      <w:r>
        <w:rPr>
          <w:rFonts w:ascii="Times New Roman;serif" w:hAnsi="Times New Roman;serif"/>
          <w:b/>
          <w:color w:val="000000"/>
          <w:sz w:val="20"/>
        </w:rPr>
        <w:t>SG&amp;A")</w:t>
      </w:r>
      <w:r>
        <w:rPr>
          <w:color w:val="000000"/>
        </w:rPr>
        <w:t xml:space="preserve"> </w:t>
      </w:r>
      <w:r>
        <w:rPr>
          <w:rFonts w:ascii="Times New Roman;serif" w:hAnsi="Times New Roman;serif"/>
          <w:b w:val="false"/>
          <w:color w:val="000000"/>
          <w:sz w:val="20"/>
        </w:rPr>
        <w:t>consists primarily of employee compensation costs and also includes expenses related to occupancy costs, professional fees, depreciation of furniture and fixtures, amortization of leasehold improvements, travel and entertainment expenses, marketing costs, other employee-related expenses, internal communication costs, bad debt expense, the impact from our foreign currency forward contracts and asset impairments.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Employee compensation costs are a major component of both our Cost of services and SG&amp;A. These expenses primarily include costs related to salaries, incentive compensation and sales commissions, stock-based compensation, benefits, employment taxes and restructuring costs.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assign employee compensation costs between Cost of services and SG&amp;A based on the roles and activities associated with each employee. We categorize employees within the content collection, consulting, product development, software and systems engineering groups as Cost of services personnel. Employees included in our sales department and those that serve in various other support departments, including marketing, finance, legal, human resources and administrative services, are classified as SG&amp;A.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our total operating expenses and operating margin:</w:t>
      </w:r>
    </w:p>
    <w:tbl>
      <w:tblPr>
        <w:tblW w:w="7166" w:type="dxa"/>
        <w:jc w:val="left"/>
        <w:tblInd w:w="0" w:type="dxa"/>
        <w:tblLayout w:type="fixed"/>
        <w:tblCellMar>
          <w:top w:w="28" w:type="dxa"/>
          <w:left w:w="28" w:type="dxa"/>
          <w:bottom w:w="28" w:type="dxa"/>
          <w:right w:w="28" w:type="dxa"/>
        </w:tblCellMar>
      </w:tblPr>
      <w:tblGrid>
        <w:gridCol w:w="934"/>
        <w:gridCol w:w="821"/>
        <w:gridCol w:w="824"/>
        <w:gridCol w:w="109"/>
        <w:gridCol w:w="109"/>
        <w:gridCol w:w="109"/>
        <w:gridCol w:w="283"/>
        <w:gridCol w:w="267"/>
        <w:gridCol w:w="664"/>
        <w:gridCol w:w="146"/>
        <w:gridCol w:w="146"/>
        <w:gridCol w:w="146"/>
        <w:gridCol w:w="283"/>
        <w:gridCol w:w="267"/>
        <w:gridCol w:w="664"/>
        <w:gridCol w:w="109"/>
        <w:gridCol w:w="109"/>
        <w:gridCol w:w="109"/>
        <w:gridCol w:w="239"/>
        <w:gridCol w:w="241"/>
        <w:gridCol w:w="587"/>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25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 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1,097,782</w:t>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1,011,945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475,663</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1,573,445</w:t>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1,501,757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748,303</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32.2 </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31.8 </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Cost of Services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Cost of services increased 8.5% to $1,097.8 million in fiscal 2025, compared with $1,011.9 million in fiscal 2024, primarily due to an increase in amortization of intangible assets, employee compensation costs and computer-related expenses.</w:t>
      </w:r>
    </w:p>
    <w:p>
      <w:pPr>
        <w:pStyle w:val="TextBody"/>
        <w:bidi w:val="0"/>
        <w:spacing w:lineRule="auto" w:line="288" w:before="140" w:after="200"/>
        <w:jc w:val="both"/>
        <w:rPr>
          <w:rFonts w:ascii="Times New Roman;serif" w:hAnsi="Times New Roman;serif"/>
          <w:b w:val="false"/>
          <w:color w:val="000000"/>
          <w:sz w:val="20"/>
        </w:rPr>
      </w:pPr>
      <w:r>
        <w:rPr>
          <w:rFonts w:ascii="Times New Roman;serif" w:hAnsi="Times New Roman;serif"/>
          <w:b w:val="false"/>
          <w:color w:val="000000"/>
          <w:sz w:val="20"/>
        </w:rPr>
        <w:t>Cost of services, when expressed as a percentage of revenues, was 47.3% for fiscal 2025, an increase of 130 basis points compared with fiscal 2024. This increase was primarily from higher amortization of intangible assets, mainly driven by a 100 basis point increase in amortization from our capitalized internal-use software development costs.</w:t>
      </w:r>
    </w:p>
    <w:p>
      <w:pPr>
        <w:pStyle w:val="TextBody"/>
        <w:bidi w:val="0"/>
        <w:spacing w:lineRule="auto" w:line="288" w:before="0" w:after="0"/>
        <w:jc w:val="both"/>
        <w:rPr/>
      </w:pPr>
      <w:r>
        <w:rPr>
          <w:rFonts w:ascii="Times New Roman;serif" w:hAnsi="Times New Roman;serif"/>
          <w:b/>
          <w:color w:val="000000"/>
          <w:sz w:val="20"/>
        </w:rPr>
        <w:t>Selling, General and Administrative</w:t>
      </w:r>
      <w:r>
        <w:rPr>
          <w:color w:val="FF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SG&amp;A expenses decreased 2.9% to $475.7 million during fiscal 2025, compared with $489.8 million in fiscal 2024. The decrease was primarily attributable to charges related to the Sales Tax Dispute recorded in the prior year, partially offset by higher employee compensation costs and professional fees in the current year.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SG&amp;A expenses, when expressed as a percentage of revenues, were 20.5% for fiscal 2025, a decrease of 170 basis points compared with fiscal 2024. This decrease was primarily due to charges associated with the Sales Tax Dispute recorded in the prior year, partially offset by higher employee compensation costs and professional fees in the current year.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When expressed as a percentage of revenues:</w:t>
      </w:r>
    </w:p>
    <w:p>
      <w:pPr>
        <w:pStyle w:val="TextBody"/>
        <w:bidi w:val="0"/>
        <w:spacing w:lineRule="auto" w:line="288" w:before="200" w:after="60"/>
        <w:ind w:left="0" w:right="0" w:hanging="360"/>
        <w:jc w:val="both"/>
        <w:rPr/>
      </w:pPr>
      <w:r>
        <w:rPr>
          <w:color w:val="000000"/>
        </w:rPr>
        <w:t>•</w:t>
      </w:r>
      <w:r>
        <w:rPr>
          <w:rFonts w:ascii="Times New Roman;serif" w:hAnsi="Times New Roman;serif"/>
          <w:b w:val="false"/>
          <w:color w:val="000000"/>
          <w:sz w:val="20"/>
        </w:rPr>
        <w:t xml:space="preserve">The charges related to the Sales Tax Dispute recorded in the prior year decreased SG&amp;A by 240 basis points. Refer to Part II, Item 8. Note 12, </w:t>
      </w:r>
      <w:r>
        <w:rPr>
          <w:rFonts w:ascii="Times New Roman;serif" w:hAnsi="Times New Roman;serif"/>
          <w:b w:val="false"/>
          <w:i/>
          <w:color w:val="000000"/>
          <w:sz w:val="20"/>
        </w:rPr>
        <w:t xml:space="preserve">Commitments and Contingencies </w:t>
      </w:r>
      <w:r>
        <w:rPr>
          <w:rFonts w:ascii="Times New Roman;serif" w:hAnsi="Times New Roman;serif"/>
          <w:b w:val="false"/>
          <w:color w:val="000000"/>
          <w:sz w:val="20"/>
        </w:rPr>
        <w:t>in the Notes to the Consolidated Financial Statements of this Annual Report on Form 10-K for more information on the Sales Tax Dispute.</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Employee compensation costs increased by 80 basis points, mainly due to higher variable compensation costs driven by a lower bonus accrual during fiscal 2024.</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Professional fees increased by 60 basis points, mainly due to acquisition-related costs.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Operating Income and Operating Margin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Operating income increased 6.7% to $748.3 million in fiscal 2025, compared with $701.3 million in fiscal 2024. This increase was primarily driven by growth in revenues and charges associated with the Sales Tax Dispute recorded in the prior year, partially offset by higher employee compensation costs and amortization of intangible assets in the current year.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Operating margin increased to 32.2% in fiscal 2025, compared with 31.8% in the prior year. This increase was primarily driven by growth in revenues and, when expressed as a percentage of revenues, charges associated with the Sales Tax Dispute recorded in the prior year, partially offset by higher amortization of intangible assets in the current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Operating Income by Segment</w:t>
      </w:r>
    </w:p>
    <w:p>
      <w:pPr>
        <w:pStyle w:val="TextBody"/>
        <w:bidi w:val="0"/>
        <w:spacing w:lineRule="auto" w:line="288" w:before="200" w:after="283"/>
        <w:jc w:val="both"/>
        <w:rPr/>
      </w:pPr>
      <w:r>
        <w:rPr>
          <w:rFonts w:ascii="Times New Roman;serif" w:hAnsi="Times New Roman;serif"/>
          <w:b w:val="false"/>
          <w:color w:val="000000"/>
          <w:sz w:val="20"/>
        </w:rPr>
        <w:t xml:space="preserve">We operate our business through three segments: the Americas; EMEA; and Asia Pacific. Refer to Part II, Item 8. Note 17, </w:t>
      </w:r>
      <w:r>
        <w:rPr>
          <w:rFonts w:ascii="Times New Roman;serif" w:hAnsi="Times New Roman;serif"/>
          <w:b w:val="false"/>
          <w:i/>
          <w:color w:val="000000"/>
          <w:sz w:val="20"/>
        </w:rPr>
        <w:t xml:space="preserve">Segment Information </w:t>
      </w:r>
      <w:r>
        <w:rPr>
          <w:rFonts w:ascii="Times New Roman;serif" w:hAnsi="Times New Roman;serif"/>
          <w:b w:val="false"/>
          <w:color w:val="000000"/>
          <w:sz w:val="20"/>
        </w:rPr>
        <w:t>in the Notes to the Consolidated Financial Statements included in this Annual Report on Form 10-K for further discussion regarding our segments. The following table summarizes our operating income by segment:</w:t>
      </w:r>
    </w:p>
    <w:tbl>
      <w:tblPr>
        <w:tblW w:w="6950" w:type="dxa"/>
        <w:jc w:val="left"/>
        <w:tblInd w:w="0" w:type="dxa"/>
        <w:tblLayout w:type="fixed"/>
        <w:tblCellMar>
          <w:top w:w="28" w:type="dxa"/>
          <w:left w:w="28" w:type="dxa"/>
          <w:bottom w:w="28" w:type="dxa"/>
          <w:right w:w="28" w:type="dxa"/>
        </w:tblCellMar>
      </w:tblPr>
      <w:tblGrid>
        <w:gridCol w:w="934"/>
        <w:gridCol w:w="821"/>
        <w:gridCol w:w="824"/>
        <w:gridCol w:w="109"/>
        <w:gridCol w:w="109"/>
        <w:gridCol w:w="109"/>
        <w:gridCol w:w="211"/>
        <w:gridCol w:w="826"/>
        <w:gridCol w:w="109"/>
        <w:gridCol w:w="109"/>
        <w:gridCol w:w="109"/>
        <w:gridCol w:w="109"/>
        <w:gridCol w:w="211"/>
        <w:gridCol w:w="826"/>
        <w:gridCol w:w="109"/>
        <w:gridCol w:w="109"/>
        <w:gridCol w:w="109"/>
        <w:gridCol w:w="109"/>
        <w:gridCol w:w="255"/>
        <w:gridCol w:w="256"/>
        <w:gridCol w:w="587"/>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 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Americas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Americas operating income increased 16.9% to $306.0 million during fiscal 2025, compared with $261.8 million from the prior year. This increase was primarily due to growth in revenues of 6.1% and charges associated with the Sales Tax Dispute recorded in the prior year, partially offset by higher amortization of intangible assets and employee compensation costs in the current year.</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The charge related to the Sales Tax Dispute in the prior year is discussed in Part II, Item 8. Note 12,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in the Notes to the Consolidated Financial Statements of this Annual Report on Form 10-K.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Amortization of intangible assets increased mainly due to higher amortization from our capitalized internal-use software development costs.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Employee compensation costs increased primarily due to higher variable compensation costs driven by a lower bonus accrual during fiscal 2024.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EMEA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EMEA operating income decreased 3.2% to $274.0 million during fiscal 2025, compared with $283.0 million from the prior year. This decrease was primarily due to higher employee compensation costs, partially offset by growth in revenues of 3.0%. Employee compensation costs increased primarily due to higher annual base salaries, driven by an increase in annual merit and net headcount growth of 37 employees, and, to a lesser extent, variable compensation costs mainly due to a lower bonus accrual during fiscal 2024.</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Asia Pacific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Asia Pacific operating income increased 7.5% to $168.3 million during fiscal 2025, compared with $156.5 million from the prior year. This increase was mainly due to growth in revenues of 7.0%, partially offset by higher employee compensation costs. Employee compensation costs increased primarily due to higher annual base salaries, driven by annual merit increases and a net headcount increase of 222 employees, and higher variable compensation costs mainly due to a lower bonus accrual during fiscal 2024.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and the effective tax rate are as follows:</w:t>
      </w:r>
    </w:p>
    <w:tbl>
      <w:tblPr>
        <w:tblW w:w="7274" w:type="dxa"/>
        <w:jc w:val="left"/>
        <w:tblInd w:w="0" w:type="dxa"/>
        <w:tblLayout w:type="fixed"/>
        <w:tblCellMar>
          <w:top w:w="28" w:type="dxa"/>
          <w:left w:w="28" w:type="dxa"/>
          <w:bottom w:w="28" w:type="dxa"/>
          <w:right w:w="28" w:type="dxa"/>
        </w:tblCellMar>
      </w:tblPr>
      <w:tblGrid>
        <w:gridCol w:w="934"/>
        <w:gridCol w:w="821"/>
        <w:gridCol w:w="824"/>
        <w:gridCol w:w="109"/>
        <w:gridCol w:w="109"/>
        <w:gridCol w:w="109"/>
        <w:gridCol w:w="211"/>
        <w:gridCol w:w="826"/>
        <w:gridCol w:w="271"/>
        <w:gridCol w:w="109"/>
        <w:gridCol w:w="109"/>
        <w:gridCol w:w="109"/>
        <w:gridCol w:w="211"/>
        <w:gridCol w:w="826"/>
        <w:gridCol w:w="271"/>
        <w:gridCol w:w="109"/>
        <w:gridCol w:w="109"/>
        <w:gridCol w:w="109"/>
        <w:gridCol w:w="255"/>
        <w:gridCol w:w="256"/>
        <w:gridCol w:w="587"/>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 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720,958 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651,503 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123,918 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We are subject to taxation in the U.S. and various state, local and foreign jurisdictions in which we conduct our business. Our effective tax rate will vary based on, among other factors, changes in levels of foreign income, as well as other non-recurring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Our effective tax rate for fiscal 2025 was 17.2% compared with 17.6% for fiscal 2024. This decrease was primarily due to a lower U.S. tax impact of foreign earnings. All local, federal and foreign taxes payable were paid in a timely manner, subject to normal audits of open years.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For the periods presented, our effective tax rates were lower than the applicable U.S. corporate income tax rate. This was primarily attributable to excess tax benefits from stock-based compensation, a lower U.S. tax impact of foreign earnings, research and development ("R&amp;D") tax credits and a foreign derived intangible income ("FDII") tax deduction, partially offset by our state income taxes.</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Net Income and Diluted EPS</w:t>
      </w:r>
    </w:p>
    <w:tbl>
      <w:tblPr>
        <w:tblW w:w="7865" w:type="dxa"/>
        <w:jc w:val="left"/>
        <w:tblInd w:w="0" w:type="dxa"/>
        <w:tblLayout w:type="fixed"/>
        <w:tblCellMar>
          <w:top w:w="28" w:type="dxa"/>
          <w:left w:w="28" w:type="dxa"/>
          <w:bottom w:w="28" w:type="dxa"/>
          <w:right w:w="28" w:type="dxa"/>
        </w:tblCellMar>
      </w:tblPr>
      <w:tblGrid>
        <w:gridCol w:w="1264"/>
        <w:gridCol w:w="1112"/>
        <w:gridCol w:w="1118"/>
        <w:gridCol w:w="109"/>
        <w:gridCol w:w="109"/>
        <w:gridCol w:w="109"/>
        <w:gridCol w:w="211"/>
        <w:gridCol w:w="826"/>
        <w:gridCol w:w="109"/>
        <w:gridCol w:w="109"/>
        <w:gridCol w:w="109"/>
        <w:gridCol w:w="109"/>
        <w:gridCol w:w="211"/>
        <w:gridCol w:w="826"/>
        <w:gridCol w:w="109"/>
        <w:gridCol w:w="109"/>
        <w:gridCol w:w="109"/>
        <w:gridCol w:w="109"/>
        <w:gridCol w:w="255"/>
        <w:gridCol w:w="256"/>
        <w:gridCol w:w="587"/>
      </w:tblGrid>
      <w:tr>
        <w:trPr/>
        <w:tc>
          <w:tcPr>
            <w:tcW w:w="126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34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5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Net income and Diluted EPS for fiscal 2025, compared with fiscal 2024, was primarily driven by higher operating income and a gain from the divestiture of a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Non-GAAP Financial Measures</w:t>
      </w:r>
    </w:p>
    <w:p>
      <w:pPr>
        <w:pStyle w:val="TextBody"/>
        <w:bidi w:val="0"/>
        <w:spacing w:lineRule="auto" w:line="288" w:before="200" w:after="283"/>
        <w:jc w:val="both"/>
        <w:rPr/>
      </w:pPr>
      <w:r>
        <w:rPr>
          <w:rFonts w:ascii="Times New Roman;serif" w:hAnsi="Times New Roman;serif"/>
          <w:b w:val="false"/>
          <w:color w:val="000000"/>
          <w:sz w:val="20"/>
        </w:rPr>
        <w:t xml:space="preserve">To supplement the financial measures prepared in accordance with generally accepted accounting principles in the United States ("GAAP"), we use non-GAAP financial measures including organic revenues, adjusted operating income, adjusted operating margin, adjusted net income, EBITDA, adjusted EBITDA, adjusted Diluted EPS and free cash flow. Reconciliations from our financial measures calculated and presented in accordance with GAAP to these non-GAAP financial measures are shown in the tables below, and the reconciliation of free cash flow is included in the </w:t>
      </w:r>
      <w:r>
        <w:rPr>
          <w:rFonts w:ascii="Times New Roman;serif" w:hAnsi="Times New Roman;serif"/>
          <w:b w:val="false"/>
          <w:i/>
          <w:color w:val="000000"/>
          <w:sz w:val="20"/>
        </w:rPr>
        <w:t xml:space="preserve">Liquidity and Capital Resources </w:t>
      </w:r>
      <w:r>
        <w:rPr>
          <w:rFonts w:ascii="Times New Roman;serif" w:hAnsi="Times New Roman;serif"/>
          <w:b w:val="false"/>
          <w:color w:val="000000"/>
          <w:sz w:val="20"/>
        </w:rPr>
        <w:t>section. These non-GAAP financial measures should not be considered in isolation from, as a substitute for, or superior to, financial measures reported in accordance with GAAP. Moreover, these non-GAAP financial measures have limitations in that they do not reflect all the items associated with the operations of our business as determined in accordance with GAAP. Other companies may calculate similarly titled non-GAAP financial measures differently than we do, limiting the usefulness of those measures for comparative purposes.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Organic revenues excludes the current year impact of revenues from acquisitions and dispositions completed within the past 12 months ("Acquisition revenues" and "Disposition revenues", respectively) and the current year impact from changes in foreign currency. In addition, for our year to date comparisons, organic revenues also excludes current year revenues that were incurred prior to the first anniversary date of an acquisition. The table below provides an unaudited reconciliation of revenues to organic revenues:</w:t>
      </w:r>
    </w:p>
    <w:tbl>
      <w:tblPr>
        <w:tblW w:w="6818" w:type="dxa"/>
        <w:jc w:val="left"/>
        <w:tblInd w:w="0" w:type="dxa"/>
        <w:tblLayout w:type="fixed"/>
        <w:tblCellMar>
          <w:top w:w="28" w:type="dxa"/>
          <w:left w:w="28" w:type="dxa"/>
          <w:bottom w:w="28" w:type="dxa"/>
          <w:right w:w="28" w:type="dxa"/>
        </w:tblCellMar>
      </w:tblPr>
      <w:tblGrid>
        <w:gridCol w:w="934"/>
        <w:gridCol w:w="821"/>
        <w:gridCol w:w="824"/>
        <w:gridCol w:w="211"/>
        <w:gridCol w:w="976"/>
        <w:gridCol w:w="109"/>
        <w:gridCol w:w="109"/>
        <w:gridCol w:w="109"/>
        <w:gridCol w:w="109"/>
        <w:gridCol w:w="211"/>
        <w:gridCol w:w="976"/>
        <w:gridCol w:w="109"/>
        <w:gridCol w:w="109"/>
        <w:gridCol w:w="109"/>
        <w:gridCol w:w="109"/>
        <w:gridCol w:w="203"/>
        <w:gridCol w:w="203"/>
        <w:gridCol w:w="587"/>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 amounts 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257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2,321,748 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2,203,056 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Currency impact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revenues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2,300,184 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2,203,056 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table below provides an unaudited reconciliation of Operating income, operating margin, Net income and Diluted EPS to adjusted operating income, adjusted operating margin, adjusted net income, EBITDA, adjusted EBITDA and adjusted Diluted EPS. Adjusted operating income and margin, adjusted net income, and adjusted Diluted EPS exclude the impact of acquisition-related intangible asset amortization and non-recurring items. EBITDA represents earnings before interest expense, provision for income taxes and depreciation and amortization, while adjusted EBITDA further excludes non-recurring non-cash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tbl>
      <w:tblPr>
        <w:tblW w:w="7943" w:type="dxa"/>
        <w:jc w:val="left"/>
        <w:tblInd w:w="0" w:type="dxa"/>
        <w:tblLayout w:type="fixed"/>
        <w:tblCellMar>
          <w:top w:w="28" w:type="dxa"/>
          <w:left w:w="28" w:type="dxa"/>
          <w:bottom w:w="28" w:type="dxa"/>
          <w:right w:w="28" w:type="dxa"/>
        </w:tblCellMar>
      </w:tblPr>
      <w:tblGrid>
        <w:gridCol w:w="1530"/>
        <w:gridCol w:w="1345"/>
        <w:gridCol w:w="1354"/>
        <w:gridCol w:w="211"/>
        <w:gridCol w:w="826"/>
        <w:gridCol w:w="271"/>
        <w:gridCol w:w="211"/>
        <w:gridCol w:w="826"/>
        <w:gridCol w:w="271"/>
        <w:gridCol w:w="255"/>
        <w:gridCol w:w="256"/>
        <w:gridCol w:w="587"/>
      </w:tblGrid>
      <w:tr>
        <w:trPr/>
        <w:tc>
          <w:tcPr>
            <w:tcW w:w="153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Years ended August 31, </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c>
          <w:tcPr>
            <w:tcW w:w="13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422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748,303 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701,299 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5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Business divestiture, acquisitions and related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Tax Dispute</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search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Restructuring/severance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 impairment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843,432 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832,653 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Adjusted operating margin</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597,040 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537,126 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business divestiture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Business divestiture, acquisitions and 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Tax Dispute</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search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Restructuring/severance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items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net income</w:t>
            </w:r>
            <w:r>
              <w:rPr>
                <w:rFonts w:ascii="Times New Roman;serif" w:hAnsi="Times New Roman;serif"/>
                <w:b w:val="false"/>
                <w:color w:val="000000"/>
                <w:sz w:val="13"/>
              </w:rPr>
              <w:t>(3)</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651,617 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635,073 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597,040 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537,126 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934,973 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842,468 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Non-recurring non-cash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934,973 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847,538 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58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business divestiture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Business divestiture, acquisitions and related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Tax Dispute</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search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Restructuring/severance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items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Diluted EPS</w:t>
            </w:r>
            <w:r>
              <w:rPr>
                <w:rFonts w:ascii="Times New Roman;serif" w:hAnsi="Times New Roman;serif"/>
                <w:b w:val="false"/>
                <w:color w:val="000000"/>
                <w:sz w:val="13"/>
              </w:rPr>
              <w:t>(3)</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(diluted)</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38,385 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38,618 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rFonts w:ascii="Times New Roman;serif" w:hAnsi="Times New Roman;serif"/>
          <w:b w:val="false"/>
          <w:color w:val="000000"/>
          <w:sz w:val="18"/>
        </w:rPr>
        <w:t xml:space="preserve">(1)Related to a resolved matter with the Massachusetts Department of Revenue. Refer to Note 12, </w:t>
      </w:r>
      <w:r>
        <w:rPr>
          <w:rFonts w:ascii="Times New Roman;serif" w:hAnsi="Times New Roman;serif"/>
          <w:b w:val="false"/>
          <w:i/>
          <w:color w:val="000000"/>
          <w:sz w:val="18"/>
        </w:rPr>
        <w:t>Commitments and Contingencies</w:t>
      </w:r>
      <w:r>
        <w:rPr>
          <w:color w:val="000000"/>
        </w:rPr>
        <w:t xml:space="preserve"> </w:t>
      </w:r>
      <w:r>
        <w:rPr>
          <w:rFonts w:ascii="Times New Roman;serif" w:hAnsi="Times New Roman;serif"/>
          <w:b w:val="false"/>
          <w:color w:val="000000"/>
          <w:sz w:val="18"/>
        </w:rPr>
        <w:t>in the Notes to the Consolidated Financial Statements included in Part II, Item 8. of this Annual Report on Form 10-K, for further discussion on this matter.</w:t>
      </w:r>
    </w:p>
    <w:p>
      <w:pPr>
        <w:pStyle w:val="TextBody"/>
        <w:bidi w:val="0"/>
        <w:spacing w:lineRule="auto" w:line="288" w:before="60" w:after="6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(2)Adjusted operating margin is calculated as Adjusted operating income divided by Revenues.</w:t>
      </w:r>
    </w:p>
    <w:p>
      <w:pPr>
        <w:pStyle w:val="TextBody"/>
        <w:bidi w:val="0"/>
        <w:spacing w:lineRule="auto" w:line="288" w:before="0" w:after="6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(3)For purposes of calculating Adjusted net income and Adjusted Diluted EPS, all adjustments were taxed at an adjusted tax rate of 26.0% and 26.5% for fiscal 2025 and fiscal 2024, respectively.</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Liquidity and Capital Resources</w:t>
      </w:r>
    </w:p>
    <w:p>
      <w:pPr>
        <w:pStyle w:val="TextBody"/>
        <w:bidi w:val="0"/>
        <w:spacing w:lineRule="auto" w:line="288" w:before="200" w:after="200"/>
        <w:jc w:val="both"/>
        <w:rPr/>
      </w:pPr>
      <w:r>
        <w:rPr>
          <w:rFonts w:ascii="Times New Roman;serif" w:hAnsi="Times New Roman;serif"/>
          <w:b w:val="false"/>
          <w:color w:val="000000"/>
          <w:sz w:val="20"/>
        </w:rPr>
        <w:t xml:space="preserve">As of August 31, 2025, Cash and cash equivalents were $337.7 million and restricted cash was $14.0 million, compared with Cash and cash equivalents of $423.0 million as of August 31, 2024. Refer to </w:t>
      </w:r>
      <w:r>
        <w:rPr>
          <w:rFonts w:ascii="Times New Roman;serif" w:hAnsi="Times New Roman;serif"/>
          <w:b w:val="false"/>
          <w:i/>
          <w:color w:val="000000"/>
          <w:sz w:val="20"/>
        </w:rPr>
        <w:t>Summary of Cash Flows</w:t>
      </w:r>
      <w:r>
        <w:rPr>
          <w:color w:val="000000"/>
        </w:rPr>
        <w:t xml:space="preserve"> </w:t>
      </w:r>
      <w:r>
        <w:rPr>
          <w:rFonts w:ascii="Times New Roman;serif" w:hAnsi="Times New Roman;serif"/>
          <w:b w:val="false"/>
          <w:color w:val="000000"/>
          <w:sz w:val="20"/>
        </w:rPr>
        <w:t xml:space="preserve">within this section below, for more information on cash flows during fiscal 2025 and 2024. Our Cash and cash equivalents as of August 31, 2025 are held in numerous locations throughout the world, with $169.8 million in EMEA (with the largest balance held in the UK), $106.1 million in the Americas and the remaining $61.8 million in Asia Pacific (with the largest balance held in the Philippines). </w:t>
      </w:r>
    </w:p>
    <w:p>
      <w:pPr>
        <w:pStyle w:val="TextBody"/>
        <w:bidi w:val="0"/>
        <w:spacing w:lineRule="auto" w:line="288" w:before="200" w:after="200"/>
        <w:jc w:val="both"/>
        <w:rPr/>
      </w:pPr>
      <w:r>
        <w:rPr>
          <w:rFonts w:ascii="Times New Roman;serif" w:hAnsi="Times New Roman;serif"/>
          <w:b w:val="false"/>
          <w:color w:val="000000"/>
          <w:sz w:val="20"/>
        </w:rPr>
        <w:t xml:space="preserve">As of </w:t>
      </w:r>
      <w:r>
        <w:rPr>
          <w:rFonts w:ascii="Times New Roman;serif" w:hAnsi="Times New Roman;serif"/>
          <w:b w:val="false"/>
          <w:color w:val="212529"/>
          <w:sz w:val="20"/>
        </w:rPr>
        <w:t>August 31, 2025</w:t>
      </w:r>
      <w:r>
        <w:rPr>
          <w:rFonts w:ascii="Times New Roman;serif" w:hAnsi="Times New Roman;serif"/>
          <w:b w:val="false"/>
          <w:color w:val="000000"/>
          <w:sz w:val="20"/>
        </w:rPr>
        <w:t xml:space="preserve">, we had $486.9 million of undistributed foreign earnings of which $69.1 million are permanently reinvested. It is our intent to permanently reinvest all foreign undistributed earnings, except in jurisdictions where earnings can be repatriated substantially free of tax. It is not practicable to determine the deferred tax liability that would be payable if these earnings were repatriated to the U.S.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cash flows provided by operating activities, existing cash and cash equivalents, supplemented with our debt borrowings, have been sufficient to fund our operations while allowing us to invest in activities that support the long-term growth of our operations. Generally, some or all of our remaining available cash flows have been used to, among other things, service our existing and future debt obligations, satisfy our working capital requirements and fund various activities, including our capital expenditures, acquisitions, investments, dividend payments and repurchases of our common stock. Based on past performance and current expectations, we believe our sources of liquidity, including the available capacity under our existing revolving credit facility and other financing alternatives, will provide us the necessary capital to fund these transactions and achieve our planned growth for the next 12 months and the foreseeable future. We are exposed to credit risk for our cash, cash equivalents and restricted cash held in financial institutions in the event of a default, to the extent that such amounts are in excess of applicable insurance limits; however, we do not believe our concentration of cash, cash equivalents and restricted cash presents a significant credit risk as the counterparties to the instruments consist of multiple high-quality, credit-worthy financial institutions.</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Sources of Liquidity</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Debt and Swap Agreements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2025 Credit Agreement</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On April 8, 2025, we entered into a credit agreement (the "2025 Credit Agreement") and borrowed $500.0 million under a senior unsecured term loan credit facility (the "2025 Term Facility"). We used the proceeds from the 2025 Term Facility borrowing to repay the outstanding balance under the 2022 Revolving Facility (as defined below). The 2025 Credit Agreement also provides for a $1.0 billion senior unsecured revolving credit facility (the "2025 Revolving Facility"). The 2025 Revolving Facility, together with the 2025 Term Facility, are referred to as the "2025 Credit Facilities".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2025 Term Facility matures on April 8, 2028, and the 2025 Revolving Facility matures on April 8, 2030. The 2025 Revolving Facility provides for up to $100.0 million in the form of letters of credit and up to $100.0 million in the form of swingline loans. We may seek additional commitments of up to $1.0 billion under the 2025 Revolving Facility from lenders or other financial institutions.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2025 Term Facility is subject to scheduled quarterly principal payments, commencing on August 31, 2025, with each quarterly principal payment equal to 1.25% of the original principal amount of the 2025 Term Facility. The 2025 Credit Facilities are not otherwise subject to any other mandatory repayments. We may voluntarily prepay loans under the 2025 Credit Facilities at any time without premium or penalty. Prepayments of the 2025 Term Facility shall be applied to reduce the subsequent scheduled quarterly principal payments in direct order of maturity.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During fiscal 2025, we repaid $125.0 million under the 2025 Term Facility. This included $68.8 million to satisfy all scheduled quarterly principal payments from loan inception through maturity, eliminating any future mandatory quarterly principal payment requirements. The remaining $56.2 million was made as a voluntary prepayment. From the effective date of the 2025 Revolving Facility through August 31, 2025, we have had no borrowings under the 2025 Revolving Facility.</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From the borrowing date through August 31, 2025, the outstanding borrowings under the 2025 Credit Facilities bore interest at a rate equal to the applicable one-month Term Secured Overnight Financing Rate ("SOFR") plus a 0.975% spread (comprised of a 0.875% interest rate margin, based on a pricing grid determined by reference to our senior unsecured non-credit enhanced long-term debt rating and our total leverage ratio, plus a 0.1% credit spread adjustment).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We pay a commitment fee on the daily unused amount of the 2025 Revolving Facility using a pricing grid based on our senior unsecured non-credit enhanced long-term debt rating and our total leverage ratio. The commitment fee remained consistent at 0.1% through August 31, 2025.</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Debt issuance costs related to the 2025 Credit Facilities were $3.4 million. These debt issuance costs are presented in the Consolidated Balance Sheets as a direct deduction from the carrying amount of the debt liability for the 2025 Term Facility and within Other assets for the 2025 Revolving Facility. Debt issuance costs are amortized to Interest expense in the Consolidated Statements of Income on a straight-line basis over the contractual term of the debt (which approximates the effective interest method for the 2025 Term Facility).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2025 Credit Agreement contains usual and customary event of default provisions for facilities of this type, which are subject to usual and customary grace periods and materiality thresholds. If an event of default occurs under the 2025 Credit Agreement, the lenders may, among other things, terminate their commitments and declare all outstanding borrowings immediately due and payable.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2025 Credit Agreement contains usual and customary affirmative and negative covenants for facilities of this type, including a financial covenant requiring maintenance of a total leverage ratio of no greater than 3.75 to 1.00 as of the last day of each fiscal quarter (subject to an increase to 4.25 to 1.00 for five consecutive fiscal quarters in connection with certain material acquisitions). We were in compliance with all covenants and requirements of the 2025 Credit Agreement as of August 31, 2025.</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2022 Credit Agreement</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 2022, we entered into a credit agreement (the "2022 Credit Agreement") and borrowed $1.0 billion under a senior unsecured term loan credit facility (the "2022 Term Facility") and $250.0 million of the available $500.0 million under a senior unsecured revolving credit facility (the "2022 Revolving Facility"). The 2022 Revolving Facility, together with the 2022 Term Facility, are referred to as the "2022 Credit Facilities". On January 31, 2025, we entered into a joinder agreement to our 2022 Credit Agreement pursuant to which commitments under the 2022 Revolving Facility were increased by $100.0 million, to a total of $600.0 million. All other terms of the 2022 Credit Agreement remained unchanged.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2022 Term Facility, originally due to mature on March 1, 2025, was repaid in full following $125.0 million of repayments made during the six months ended February 28, 2025. During fiscal 2025, we borrowed $305.0 million and repaid $555.0 million under the 2022 Revolving Facility. The 2022 Credit Agreement was terminated on April 8, 2025, concurrent with entering into the 2025 Credit Agreement.</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previously outstanding under the 2022 Credit Facilities bore interest at a rate equal to the applicable one-month Term SOFR plus a spread, using a debt leverage pricing grid and a credit spread adjustment (with total spread ranging from 0.975% to 1.1% over the term of the debt). </w:t>
      </w:r>
    </w:p>
    <w:p>
      <w:pPr>
        <w:pStyle w:val="TextBody"/>
        <w:bidi w:val="0"/>
        <w:spacing w:lineRule="auto" w:line="268" w:before="200" w:after="200"/>
        <w:jc w:val="both"/>
        <w:rPr>
          <w:rFonts w:ascii="Times New Roman;serif" w:hAnsi="Times New Roman;serif"/>
          <w:b/>
          <w:color w:val="000000"/>
          <w:sz w:val="20"/>
        </w:rPr>
      </w:pPr>
      <w:r>
        <w:rPr>
          <w:rFonts w:ascii="Times New Roman;serif" w:hAnsi="Times New Roman;serif"/>
          <w:b/>
          <w:color w:val="000000"/>
          <w:sz w:val="20"/>
        </w:rPr>
        <w:t>Interest Rate Swap Agreements</w:t>
      </w:r>
    </w:p>
    <w:p>
      <w:pPr>
        <w:pStyle w:val="TextBody"/>
        <w:bidi w:val="0"/>
        <w:spacing w:lineRule="auto" w:line="268" w:before="200" w:after="200"/>
        <w:jc w:val="both"/>
        <w:rPr>
          <w:rFonts w:ascii="Times New Roman;serif" w:hAnsi="Times New Roman;serif"/>
          <w:b w:val="false"/>
          <w:color w:val="000000"/>
          <w:sz w:val="20"/>
        </w:rPr>
      </w:pPr>
      <w:r>
        <w:rPr>
          <w:rFonts w:ascii="Times New Roman;serif" w:hAnsi="Times New Roman;serif"/>
          <w:b w:val="false"/>
          <w:color w:val="000000"/>
          <w:sz w:val="20"/>
        </w:rPr>
        <w:t>We leverage interest rate swap agreements to manage our floating interest rate exposure with a fixed interest rate. Our interest rate swap agreements are designated as cash flow hedges at inception.</w:t>
      </w:r>
    </w:p>
    <w:p>
      <w:pPr>
        <w:pStyle w:val="TextBody"/>
        <w:bidi w:val="0"/>
        <w:spacing w:lineRule="auto" w:line="268" w:before="200" w:after="200"/>
        <w:jc w:val="both"/>
        <w:rPr>
          <w:rFonts w:ascii="Times New Roman;serif" w:hAnsi="Times New Roman;serif"/>
          <w:b/>
          <w:color w:val="000000"/>
          <w:sz w:val="20"/>
        </w:rPr>
      </w:pPr>
      <w:r>
        <w:rPr>
          <w:rFonts w:ascii="Times New Roman;serif" w:hAnsi="Times New Roman;serif"/>
          <w:b/>
          <w:color w:val="000000"/>
          <w:sz w:val="20"/>
        </w:rPr>
        <w:t>2025 Swap Agreement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April 24, 2025, we entered into an interest rate swap agreement ("2025 Swap Agreement") with a notional amount of $200.0 million to hedge a portion of our outstanding floating SOFR debt with a fixed interest rate of 4.086%. The notional amount of the 2025 Swap Agreement declines by $50.0 million on a quarterly basis beginning May 31, 2025 and matures on February 28, 2026. As of August 31, 2025, the notional amount of the 2025 Swap Agreement was $100.0 million.</w:t>
      </w:r>
    </w:p>
    <w:p>
      <w:pPr>
        <w:pStyle w:val="TextBody"/>
        <w:bidi w:val="0"/>
        <w:spacing w:lineRule="auto" w:line="268" w:before="200" w:after="200"/>
        <w:jc w:val="both"/>
        <w:rPr>
          <w:rFonts w:ascii="Times New Roman;serif" w:hAnsi="Times New Roman;serif"/>
          <w:b/>
          <w:color w:val="000000"/>
          <w:sz w:val="20"/>
        </w:rPr>
      </w:pPr>
      <w:r>
        <w:rPr>
          <w:rFonts w:ascii="Times New Roman;serif" w:hAnsi="Times New Roman;serif"/>
          <w:b/>
          <w:color w:val="000000"/>
          <w:sz w:val="20"/>
        </w:rPr>
        <w:t>2024 Swap Agreement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March 1, 2024, we entered into an interest rate swap agreement ("2024 Swap Agreement") with a notional amount of $200.0 million to hedge a portion of our outstanding floating SOFR debt with a fixed interest rate of 5.145%. The notional amount of the 2024 Swap Agreement declined by $50.0 million on a quarterly basis beginning May 31, 2024. The 2024 Swap Agreement matured on February 28,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2022 Swap Agreement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 2022, we entered into an interest rate swap agreement ("2022 Swap Agreement") with a notional amount of $800.0 million to hedge a portion of our outstanding floating SOFR debt with a fixed interest rate of 1.162%. The notional amount of the 2022 Swap Agreement declined by $100.0 million on a quarterly basis beginning May 31, 2022. The 2022 Swap Agreement matured on February 28, 2024. </w:t>
      </w:r>
    </w:p>
    <w:p>
      <w:pPr>
        <w:pStyle w:val="TextBody"/>
        <w:bidi w:val="0"/>
        <w:spacing w:lineRule="auto" w:line="288" w:before="200" w:after="283"/>
        <w:jc w:val="both"/>
        <w:rPr/>
      </w:pPr>
      <w:r>
        <w:rPr>
          <w:rFonts w:ascii="Times New Roman;serif" w:hAnsi="Times New Roman;serif"/>
          <w:b w:val="false"/>
          <w:color w:val="000000"/>
          <w:sz w:val="20"/>
        </w:rPr>
        <w:t xml:space="preserve">Refer to Part II, Item 7A. </w:t>
      </w:r>
      <w:r>
        <w:rPr>
          <w:rFonts w:ascii="Times New Roman;serif" w:hAnsi="Times New Roman;serif"/>
          <w:b w:val="false"/>
          <w:i/>
          <w:color w:val="000000"/>
          <w:sz w:val="20"/>
        </w:rPr>
        <w:t>Quantitative and Qualitative Disclosures About Market Risk</w:t>
      </w:r>
      <w:r>
        <w:rPr>
          <w:rFonts w:ascii="Times New Roman;serif" w:hAnsi="Times New Roman;serif"/>
          <w:b w:val="false"/>
          <w:color w:val="000000"/>
          <w:sz w:val="20"/>
        </w:rPr>
        <w:t>, in this Annual Report on Form 10-K, for further discussion of our exposure to interest rate risk on our outstanding floating rate debt.</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Senior Notes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March 1, 2022, we completed a public offering issuing $500.0 million of 2.900% Senior Notes due March 1, 2027 (the "2027 Notes") and $500.0 million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Senior Notes were issued at an aggregate discount of $2.8 million and we incurred approximately $9.1 million in debt issuance costs during fiscal 2022. Debt discounts and debt issuance costs are presented in the Consolidated Balance Sheets as a net direct deduction from the carrying amount of the debt liability. The debt discounts and debt issuance costs are amortized to Interest expense in the Consolidated Statements of Income over the contractual term of the debt, leveraging the effective interest method.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on the Senior Notes is payable semiannually in arrears on March 1 and September 1 of each year.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 </w:t>
      </w:r>
    </w:p>
    <w:p>
      <w:pPr>
        <w:pStyle w:val="TextBody"/>
        <w:bidi w:val="0"/>
        <w:spacing w:lineRule="auto" w:line="288" w:before="200" w:after="283"/>
        <w:jc w:val="left"/>
        <w:rPr>
          <w:rFonts w:ascii="Times New Roman;serif" w:hAnsi="Times New Roman;serif"/>
          <w:b/>
          <w:color w:val="000000"/>
          <w:sz w:val="22"/>
        </w:rPr>
      </w:pPr>
      <w:r>
        <w:rPr>
          <w:rFonts w:ascii="Times New Roman;serif" w:hAnsi="Times New Roman;serif"/>
          <w:b/>
          <w:color w:val="000000"/>
          <w:sz w:val="22"/>
        </w:rPr>
        <w:t>Uses of Liquidity</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Returning Value to Stockholders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returned $460.4 million and $385.9 million to our stockholders in the form of share repurchases and dividends during fiscal 2025 and 2024, respectively.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may repurchase shares of our common stock under our share repurchase program from time-to-time in the open market or via privately negotiated transactions, subject to market conditions. During fiscal 2025 and 2024, we repurchased 684,960 shares for $300.5 million and 537,800 shares for $235.2 million, respectively.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is no defined number of shares to be repurchased over a specified timeframe through the life of our share repurchase program. On September 17, 2024, our Board of Directors approved a new share repurchase authorization of up to $300 million in aggregate, which was available during fiscal 2025. This authorization expired upon the conclusion of fiscal 2025 and was not available for share repurchases after that date.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June 17, 2025, our Board of Directors authorized up to $400 million for share repurchases on or after September 1, 2025 through September 30, 2026. </w:t>
      </w:r>
    </w:p>
    <w:p>
      <w:pPr>
        <w:pStyle w:val="TextBody"/>
        <w:bidi w:val="0"/>
        <w:spacing w:lineRule="auto" w:line="288" w:before="200" w:after="283"/>
        <w:jc w:val="both"/>
        <w:rPr/>
      </w:pPr>
      <w:r>
        <w:rPr>
          <w:rFonts w:ascii="Times New Roman;serif" w:hAnsi="Times New Roman;serif"/>
          <w:b w:val="false"/>
          <w:color w:val="000000"/>
          <w:sz w:val="20"/>
        </w:rPr>
        <w:t xml:space="preserve">Refer to Part III, Item 12, </w:t>
      </w:r>
      <w:r>
        <w:rPr>
          <w:rFonts w:ascii="Times New Roman;serif" w:hAnsi="Times New Roman;serif"/>
          <w:b w:val="false"/>
          <w:i/>
          <w:color w:val="000000"/>
          <w:sz w:val="20"/>
        </w:rPr>
        <w:t>Security Ownership of Certain Beneficial Owners and Management and Related Stockholder Matters</w:t>
      </w:r>
      <w:r>
        <w:rPr>
          <w:rFonts w:ascii="Times New Roman;serif" w:hAnsi="Times New Roman;serif"/>
          <w:b w:val="false"/>
          <w:color w:val="000000"/>
          <w:sz w:val="20"/>
        </w:rPr>
        <w:t xml:space="preserve">, of this Annual Report on Form 10-K for further discussion on our share repurchase program.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fiscal 2025 and 2024, we paid dividends of $160.0 million and $150.7 million, respectively. In the third quarter of fiscal 2025, our Board of Directors approved a 6% increase in the regular quarterly dividend from $1.04 to $1.10 per share. Fiscal 2025 marked the 26th consecutive fiscal year we have increased dividends on a stock split-adjusted basis, highlighting our continued commitment to returning value to our stockholders. Future cash dividend payments are subject to final determination by our Board of Directors and will depend on our earnings, capital requirements, financial condition and other relevant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Capital Expenditures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year ended August 31, 2025, capital expenditures increased by 27.0% to $108.8 million, compared with $85.7 million in fiscal 2024. This increase was primarily due to higher capitalized costs related to the development of our internal-use software.</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Acquisitions</w:t>
      </w:r>
    </w:p>
    <w:p>
      <w:pPr>
        <w:pStyle w:val="TextBody"/>
        <w:bidi w:val="0"/>
        <w:spacing w:lineRule="auto" w:line="288" w:before="200" w:after="283"/>
        <w:jc w:val="both"/>
        <w:rPr/>
      </w:pPr>
      <w:r>
        <w:rPr>
          <w:rFonts w:ascii="Times New Roman;serif" w:hAnsi="Times New Roman;serif"/>
          <w:b w:val="false"/>
          <w:color w:val="000000"/>
          <w:sz w:val="20"/>
        </w:rPr>
        <w:t xml:space="preserve">Our acquisitions with the most significant cash flows from fiscal 2023 through fiscal 2025 included Liquid Holdings, LLC ("LiquidityBook") and Platform Group Limited ("Irwin"). Refer to Part II, Item 8. Note 5, </w:t>
      </w:r>
      <w:r>
        <w:rPr>
          <w:rFonts w:ascii="Times New Roman;serif" w:hAnsi="Times New Roman;serif"/>
          <w:b w:val="false"/>
          <w:i/>
          <w:color w:val="000000"/>
          <w:sz w:val="20"/>
        </w:rPr>
        <w:t xml:space="preserve">Acquisitions </w:t>
      </w:r>
      <w:r>
        <w:rPr>
          <w:rFonts w:ascii="Times New Roman;serif" w:hAnsi="Times New Roman;serif"/>
          <w:b w:val="false"/>
          <w:color w:val="000000"/>
          <w:sz w:val="20"/>
        </w:rPr>
        <w:t>in the Notes to the Consolidated Financial Statements included in this Annual Report on Form 10-K for further discussion of these acquisitions.</w:t>
      </w:r>
    </w:p>
    <w:p>
      <w:pPr>
        <w:pStyle w:val="TextBody"/>
        <w:bidi w:val="0"/>
        <w:spacing w:lineRule="auto" w:line="276" w:before="200" w:after="200"/>
        <w:jc w:val="both"/>
        <w:rPr>
          <w:rFonts w:ascii="Times New Roman;serif" w:hAnsi="Times New Roman;serif"/>
          <w:b w:val="false"/>
          <w:i/>
          <w:color w:val="000000"/>
          <w:sz w:val="20"/>
        </w:rPr>
      </w:pPr>
      <w:r>
        <w:rPr>
          <w:rFonts w:ascii="Times New Roman;serif" w:hAnsi="Times New Roman;serif"/>
          <w:b w:val="false"/>
          <w:i/>
          <w:color w:val="000000"/>
          <w:sz w:val="20"/>
        </w:rPr>
        <w:t>LiquidityBook</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7, 2025 we completed the acquisition of LiquidityBook for a purchase price of $243.2 million, net of cash acquired, and inclusive of preliminary working capital adjustments. The purchase price includes contingent consideration of $11.9 million, which reflects the acquisition date fair value of potential future payments that are contingent upon the achievement of certain specified milestones.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LiquidityBook provides cloud-native trading solutions to hedge fund, asset and wealth management, outsourced trading, and sell-side middle office clients. LiquidityBook operates a proprietary FIX network that enables streamlined connectivity to over 200 brokers and order routing to more than 1,600 destinations across 80 markets globally. This acquisition adds technology-forward order management and investment book of record capabilities and enhances FactSet’s ability to serve the integrated workflow needs of clients across the portfolio life cycle.</w:t>
      </w:r>
    </w:p>
    <w:p>
      <w:pPr>
        <w:pStyle w:val="TextBody"/>
        <w:bidi w:val="0"/>
        <w:spacing w:lineRule="auto" w:line="276" w:before="200" w:after="200"/>
        <w:jc w:val="both"/>
        <w:rPr>
          <w:rFonts w:ascii="Times New Roman;serif" w:hAnsi="Times New Roman;serif"/>
          <w:b w:val="false"/>
          <w:i/>
          <w:color w:val="000000"/>
          <w:sz w:val="20"/>
        </w:rPr>
      </w:pPr>
      <w:r>
        <w:rPr>
          <w:rFonts w:ascii="Times New Roman;serif" w:hAnsi="Times New Roman;serif"/>
          <w:b w:val="false"/>
          <w:i/>
          <w:color w:val="000000"/>
          <w:sz w:val="20"/>
        </w:rPr>
        <w:t>Irwin</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5, 2024, we completed the acquisition of Irwin for a purchase price of $120.2 million, net of cash acquired, and inclusive of working capital adjustments. The purchase price includes contingent consideration of $9.6 million, which reflects the acquisition date fair value of potential future payments that are contingent upon the achievement of certain specified milestones. We finalized the purchase accounting for the Irwin acquisition during the third quarter of fiscal 2025.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Irwin is a leading investor relations and capital markets platform for public companies and their advisors. This acquisition builds on a recent successful partnership between FactSet and Irwin, and expands our ability to address the holistic workflow needs of investor relations professionals with an integrated, modern solution.</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Purchase obligations represent our legally-binding agreements to purchase fixed or minimum quantities at determinable prices. As of August 31, 2025 and 2024, we had total purchase obligations with suppliers and vendors of approximately $352 million and $383 million, respectively. Our total purchase obligations as of August 31, 2025 and 2024 primarily related to hosting services, acquisition of data and, to a lesser extent, third-party software providers.</w:t>
      </w:r>
    </w:p>
    <w:p>
      <w:pPr>
        <w:pStyle w:val="TextBody"/>
        <w:bidi w:val="0"/>
        <w:spacing w:lineRule="auto" w:line="288" w:before="200" w:after="283"/>
        <w:jc w:val="both"/>
        <w:rPr/>
      </w:pPr>
      <w:r>
        <w:rPr>
          <w:rFonts w:ascii="Times New Roman;serif" w:hAnsi="Times New Roman;serif"/>
          <w:b w:val="false"/>
          <w:color w:val="000000"/>
          <w:sz w:val="20"/>
        </w:rPr>
        <w:t xml:space="preserve">We also have contractual obligations related to our lease liabilities and outstanding debt. Refer to Part II, Item 8. Note 10,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 xml:space="preserve">and Note 11,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in the Notes to the Consolidated Financial Statements included in this Annual Report on Form 10-K for information regarding our lease commitments and outstanding debt obligations, respectively.</w:t>
      </w:r>
    </w:p>
    <w:p>
      <w:pPr>
        <w:pStyle w:val="TextBody"/>
        <w:bidi w:val="0"/>
        <w:spacing w:lineRule="auto" w:line="276" w:before="200" w:after="283"/>
        <w:jc w:val="both"/>
        <w:rPr>
          <w:rFonts w:ascii="Times New Roman;serif" w:hAnsi="Times New Roman;serif"/>
          <w:b/>
          <w:color w:val="000000"/>
          <w:sz w:val="22"/>
        </w:rPr>
      </w:pPr>
      <w:r>
        <w:rPr>
          <w:rFonts w:ascii="Times New Roman;serif" w:hAnsi="Times New Roman;serif"/>
          <w:b/>
          <w:color w:val="000000"/>
          <w:sz w:val="22"/>
        </w:rPr>
        <w:t>Summary of Cash Flows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our net cash flow activity for the fiscal years presented:</w:t>
      </w:r>
    </w:p>
    <w:tbl>
      <w:tblPr>
        <w:tblW w:w="9783" w:type="dxa"/>
        <w:jc w:val="left"/>
        <w:tblInd w:w="0" w:type="dxa"/>
        <w:tblLayout w:type="fixed"/>
        <w:tblCellMar>
          <w:top w:w="28" w:type="dxa"/>
          <w:left w:w="28" w:type="dxa"/>
          <w:bottom w:w="28" w:type="dxa"/>
          <w:right w:w="28" w:type="dxa"/>
        </w:tblCellMar>
      </w:tblPr>
      <w:tblGrid>
        <w:gridCol w:w="2292"/>
        <w:gridCol w:w="2015"/>
        <w:gridCol w:w="2023"/>
        <w:gridCol w:w="211"/>
        <w:gridCol w:w="826"/>
        <w:gridCol w:w="109"/>
        <w:gridCol w:w="211"/>
        <w:gridCol w:w="826"/>
        <w:gridCol w:w="109"/>
        <w:gridCol w:w="211"/>
        <w:gridCol w:w="796"/>
        <w:gridCol w:w="154"/>
      </w:tblGrid>
      <w:tr>
        <w:trPr/>
        <w:tc>
          <w:tcPr>
            <w:tcW w:w="2292"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 amounts in thousands)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Change</w:t>
            </w:r>
          </w:p>
        </w:tc>
      </w:tr>
      <w:tr>
        <w:trPr/>
        <w:tc>
          <w:tcPr>
            <w:tcW w:w="63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726,260 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700,338 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(71,284)</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(68,819)</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Operating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fiscal 2025, net cash provided by operating activities was $726.3 million, which included net income of $597.0 million, non-cash charges of $235.0 million and a net cash outflow of $105.7 million to support our working capital requirements. The non-cash charges were primarily driven by depreciation and amortization. The change in our working capital was primarily driven by cash outflows related to payments to resolve the Sales Tax Dispute, timing of vendor payments and client collections, as well as lease payments.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fiscal 2024, net cash provided by operating activities was $700.3 million, which included net income of $537.1 million, non-cash charges of $201.6 million and a net cash outflow of $38.4 million to support our working capital requirements. The non-cash charges were primarily driven by depreciation and amortization and, to a lesser extent, stock-based compensation expense. The change in our working capital was primarily driven by cash outflows related to lease payments and prepaid expenses, partially offset by the timing of payments to vendors.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Investing</w:t>
      </w:r>
    </w:p>
    <w:p>
      <w:pPr>
        <w:pStyle w:val="TextBody"/>
        <w:bidi w:val="0"/>
        <w:spacing w:lineRule="auto" w:line="288" w:before="200" w:after="283"/>
        <w:jc w:val="both"/>
        <w:rPr/>
      </w:pPr>
      <w:r>
        <w:rPr>
          <w:rFonts w:ascii="Times New Roman;serif" w:hAnsi="Times New Roman;serif"/>
          <w:b w:val="false"/>
          <w:color w:val="000000"/>
          <w:sz w:val="20"/>
        </w:rPr>
        <w:t>For fiscal 2025, net cash used in investing activities was $392.8 million. The cash used in investing activities primarily consisted of $348.3 million of acquisition-related consideration related mainly to the Irwin and LiquidityBook transactions, $108.8 million of</w:t>
      </w:r>
      <w:r>
        <w:rPr>
          <w:color w:val="008080"/>
        </w:rPr>
        <w:t xml:space="preserve"> </w:t>
      </w:r>
      <w:r>
        <w:rPr>
          <w:rFonts w:ascii="Times New Roman;serif" w:hAnsi="Times New Roman;serif"/>
          <w:b w:val="false"/>
          <w:color w:val="000000"/>
          <w:sz w:val="20"/>
        </w:rPr>
        <w:t>capital expenditures mainly driven by the capitalization of internal-use software development costs, partially offset by $58.2 million in proceeds from our investments in mutual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fiscal 2024, net cash used in investing activities was $144.3 million. The cash used in investing activities was primarily related to capital expenditures of $85.7 million, mainly driven by the capitalization of internal-use software development costs and $58.6 million in investments, primarily related to the purchase of mutual funds.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Financing</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For fiscal 2025, net cash used in financing activities was $407.8 million, consisting mainly of $805.0 million related primarily to the repayment of the 2022 Credit Facilities, $300.5 million of share repurchases and $160.0 million of dividend payments, partially offset by $803.4 million of proceeds from borrowings under the 2025 Term Facility and the 2022 Revolving Facility, in periods prior to its termination, and $81.7 million of proceeds from employee stock plans.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For fiscal 2024, net cash used in financing activities was $560.9 million, consisting mainly of $250.0 million related to the partial repayment of the 2022 Term Facility, $235.2 million of share repurchases and $150.7 million of dividend payments, partially offset by $91.7 million of proceeds from employee stock plans.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Free Cash Flow</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define free cash flow, a non-GAAP financial measure, as cash provided by operating activities, less purchases of property, equipment and leasehold improvements ("PPE") and capitalized internal-use software. We believe free cash flow is a liquidity measure that provides useful information to management and investors about the amount of cash generated by the business that, after capital expenditures, can be used for strategic opportunities, including returning value to stockholders, investing in our business, making strategic acquisitions, and strengthening the balance sheet. Free cash flow should be considered in addition to consolidated net income and net cash provided by operating activities, but should not be used as a substitute for these key measures of our performance and liquidity.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our net cash provided by operating activities to free cash flow:</w:t>
      </w:r>
    </w:p>
    <w:tbl>
      <w:tblPr>
        <w:tblW w:w="10205" w:type="dxa"/>
        <w:jc w:val="left"/>
        <w:tblInd w:w="0" w:type="dxa"/>
        <w:tblLayout w:type="fixed"/>
        <w:tblCellMar>
          <w:top w:w="28" w:type="dxa"/>
          <w:left w:w="28" w:type="dxa"/>
          <w:bottom w:w="28" w:type="dxa"/>
          <w:right w:w="28" w:type="dxa"/>
        </w:tblCellMar>
      </w:tblPr>
      <w:tblGrid>
        <w:gridCol w:w="2407"/>
        <w:gridCol w:w="2042"/>
        <w:gridCol w:w="2050"/>
        <w:gridCol w:w="211"/>
        <w:gridCol w:w="826"/>
        <w:gridCol w:w="109"/>
        <w:gridCol w:w="109"/>
        <w:gridCol w:w="109"/>
        <w:gridCol w:w="109"/>
        <w:gridCol w:w="211"/>
        <w:gridCol w:w="826"/>
        <w:gridCol w:w="109"/>
        <w:gridCol w:w="211"/>
        <w:gridCol w:w="721"/>
        <w:gridCol w:w="155"/>
      </w:tblGrid>
      <w:tr>
        <w:trPr/>
        <w:tc>
          <w:tcPr>
            <w:tcW w:w="2407"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 amounts 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6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purchases of property, equipment, leasehold improvements and capitalized internal-use software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generated free cash flow of $617.5 million during fiscal 2025, an increase of $2.8 million compared with fiscal 2024. This increase was driven by $25.9 million in cash provided by operating activities, partially offset by higher PPE mainly from capitalized costs related to the development of our internal-use software.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Off-Balance Sheet Arrangements</w:t>
      </w:r>
    </w:p>
    <w:p>
      <w:pPr>
        <w:pStyle w:val="TextBody"/>
        <w:bidi w:val="0"/>
        <w:spacing w:lineRule="auto" w:line="288" w:before="200" w:after="283"/>
        <w:jc w:val="both"/>
        <w:rPr/>
      </w:pPr>
      <w:r>
        <w:rPr>
          <w:rFonts w:ascii="Times New Roman;serif" w:hAnsi="Times New Roman;serif"/>
          <w:b w:val="false"/>
          <w:color w:val="000000"/>
          <w:sz w:val="20"/>
        </w:rPr>
        <w:t xml:space="preserve">As of August 31, 2025 and August 31, 2024, we had no off-balance sheet financing other than letters of credit incurred in the ordinary course of business. Refer to Part II, Item 8. Note 11, </w:t>
      </w:r>
      <w:r>
        <w:rPr>
          <w:rFonts w:ascii="Times New Roman;serif" w:hAnsi="Times New Roman;serif"/>
          <w:b w:val="false"/>
          <w:i/>
          <w:color w:val="000000"/>
          <w:sz w:val="20"/>
        </w:rPr>
        <w:t xml:space="preserve">Debt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 xml:space="preserve">Note 12, </w:t>
      </w:r>
      <w:r>
        <w:rPr>
          <w:rFonts w:ascii="Times New Roman;serif" w:hAnsi="Times New Roman;serif"/>
          <w:b w:val="false"/>
          <w:i/>
          <w:color w:val="000000"/>
          <w:sz w:val="20"/>
        </w:rPr>
        <w:t xml:space="preserve">Commitments and Contingencies </w:t>
      </w:r>
      <w:r>
        <w:rPr>
          <w:rFonts w:ascii="Times New Roman;serif" w:hAnsi="Times New Roman;serif"/>
          <w:b w:val="false"/>
          <w:color w:val="000000"/>
          <w:sz w:val="20"/>
        </w:rPr>
        <w:t xml:space="preserve">in the Notes to the Consolidated Financial Statements included in this Annual Report on Form 10-K for more information on our letters of credit.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August 31, 2025 and August 31, 2024, we also had no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Foreign Currency Exposure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we operate globally, we are exposed to the risk that our financial condition, results of operations and cash flows could be impacted by changes in foreign currency exchange rates. During fiscal 2025 and 2024, we maintained a series of foreign currency forward contracts to hedge a portion of our projected operating expenses in our primary currency exposures, namely the British Pound Sterling, Euro, Indian Rupee, and Philippine Peso. As of August 31, 2025, the hedge maturity periods of our outstanding foreign currency forward contracts range from the first quarter of fiscal 2026 through the fourth quarter of fiscal 2026. </w:t>
      </w:r>
    </w:p>
    <w:p>
      <w:pPr>
        <w:pStyle w:val="TextBody"/>
        <w:bidi w:val="0"/>
        <w:spacing w:lineRule="auto" w:line="288" w:before="200" w:after="283"/>
        <w:jc w:val="both"/>
        <w:rPr/>
      </w:pPr>
      <w:r>
        <w:rPr>
          <w:rFonts w:ascii="Times New Roman;serif" w:hAnsi="Times New Roman;serif"/>
          <w:b w:val="false"/>
          <w:color w:val="000000"/>
          <w:sz w:val="20"/>
        </w:rPr>
        <w:t xml:space="preserve">Refer to Part II, Item 7A. </w:t>
      </w:r>
      <w:r>
        <w:rPr>
          <w:rFonts w:ascii="Times New Roman;serif" w:hAnsi="Times New Roman;serif"/>
          <w:b w:val="false"/>
          <w:i/>
          <w:color w:val="000000"/>
          <w:sz w:val="20"/>
        </w:rPr>
        <w:t>Quantitative and Qualitative Disclosures About Market Risk</w:t>
      </w:r>
      <w:r>
        <w:rPr>
          <w:color w:val="000000"/>
        </w:rPr>
        <w:t xml:space="preserve"> </w:t>
      </w:r>
      <w:r>
        <w:rPr>
          <w:rFonts w:ascii="Times New Roman;serif" w:hAnsi="Times New Roman;serif"/>
          <w:b w:val="false"/>
          <w:color w:val="000000"/>
          <w:sz w:val="20"/>
        </w:rPr>
        <w:t>in this Annual Report on Form 10-K for more information on our foreign currency exposures.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Critical Accounting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prepare the Consolidated Financial Statements in conformity with GAAP, which requires us to make certain estimates and apply judgments that affect the reported amounts of assets, liabilities, revenues and expenses and related disclosures. We base our estimates on historical experience and other assumptions that we believe to be reasonable at the time the Consolidated Financial Statements are prepared and, as such, they may ultimately differ materially from actual results.</w:t>
      </w:r>
    </w:p>
    <w:p>
      <w:pPr>
        <w:pStyle w:val="TextBody"/>
        <w:bidi w:val="0"/>
        <w:spacing w:lineRule="auto" w:line="288" w:before="200" w:after="283"/>
        <w:jc w:val="both"/>
        <w:rPr/>
      </w:pPr>
      <w:r>
        <w:rPr>
          <w:rFonts w:ascii="Times New Roman;serif" w:hAnsi="Times New Roman;serif"/>
          <w:b w:val="false"/>
          <w:color w:val="000000"/>
          <w:sz w:val="20"/>
        </w:rPr>
        <w:t xml:space="preserve">We describe our significant accounting policies in Part II, Item 8.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 xml:space="preserve">in the Notes to the Consolidated Financial Statements included in this Annual Report on Form 10-K.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Audit Committee of our Board of Directors reviews the development and selection of our critical accounting estimates. The critical accounting estimates and judgments that we believe to have the most significant impacts to our Consolidated Financial Statements are described below.</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taxation in the U.S. and various state, local and foreign jurisdictions in which we conduct our business. Our provision for income taxes is an estimate based on our understanding of laws in these federal, state, local and foreign tax jurisdictions. These laws can be complicated and are difficult to apply to any business. The tax laws also require us to allocate our taxable income to many jurisdictions based on subjective allocation methodologies and information collection processes.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provision for income taxes is subject to volatility and could be adversely impacted by numerous factors such as changes in earnings or tax laws, regulations, or accounting principles, including accounting for uncertain tax positions or interpretations of them. Significant judgment is required in determining our provision for income taxes, deferred tax assets and liabilities and unrecognized tax benefits.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Further, as a result of certain ongoing employment and capital investment actions and commitments, our income in certain countries is subject to reduced tax rates. Our failure to meet these employment and capital investment actions and commitments could adversely affect our provision for income taxes. In addition, we are subject to the continuous examination of our income tax returns by the Internal Revenue Service and other tax authorities. We regularly assess the likelihood of adverse outcomes resulting from these examinations to determine the adequacy of our provision for income taxes. There can be no assurance that the outcomes from these continuous examinations will not adversely impact our operating results and financial condition.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Significant judgment is required in determining our uncertain tax positions. We follow a two-step approach in recognizing and measuring uncertain tax positions. The first step is to evaluate the tax position for recognition by determining if the weight of available evidence indicates that it is more likely than not (defined as a likelihood of more than 50%) that a tax position will be sustained based on its technical merits as of the reporting date. The second step, for those positions that meet the recognition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pPr>
      <w:r>
        <w:rPr>
          <w:rFonts w:ascii="Times New Roman;serif" w:hAnsi="Times New Roman;serif"/>
          <w:b w:val="false"/>
          <w:color w:val="000000"/>
          <w:sz w:val="20"/>
        </w:rPr>
        <w:t xml:space="preserve">criteria, is to measure and recognize the largest amount of benefit that is greater than 50% likely of being realized upon effective settlement with a taxing authority. As the determination of liabilities related to uncertain tax positions and associated interest and penalties requires significant estimates and assumptions, there can be no assurance that we will accurately predict the outcomes of these audits. For this reason and due to ongoing audits by multiple tax authorities, we regularly engage in discussions and negotiations with tax authorities regarding tax matters in various jurisdictions. We adjust these reserves in light of changing facts and circumstances, such as the closing of a tax audit or the refinement of an estimate. To the extent that the final outcome of these matters is different than the amounts recorded, such differences will affect the provision for income taxes in the period in which such determination is made. </w:t>
      </w:r>
      <w:r>
        <w:rPr>
          <w:rFonts w:ascii="Times New Roman;serif" w:hAnsi="Times New Roman;serif"/>
          <w:b w:val="false"/>
          <w:color w:val="212121"/>
          <w:sz w:val="20"/>
        </w:rPr>
        <w:t xml:space="preserve">We accrue interest on all tax exposures for which reserves have been established consistent with jurisdictional tax laws. </w:t>
      </w:r>
      <w:r>
        <w:rPr>
          <w:rFonts w:ascii="Times New Roman;serif" w:hAnsi="Times New Roman;serif"/>
          <w:b w:val="false"/>
          <w:color w:val="000000"/>
          <w:sz w:val="20"/>
        </w:rPr>
        <w:t xml:space="preserve">The Provision for income taxes on our Consolidated Statements of Income includes the impact of changes to reserves and any related interest. We have no reason to believe that such audits will result in the payment of additional taxes and/or penalties that would have a material adverse effect on our results of operations or financial position, beyond current estimates. </w:t>
      </w:r>
    </w:p>
    <w:p>
      <w:pPr>
        <w:pStyle w:val="TextBody"/>
        <w:bidi w:val="0"/>
        <w:spacing w:lineRule="auto" w:line="288" w:before="200" w:after="283"/>
        <w:jc w:val="both"/>
        <w:rPr/>
      </w:pPr>
      <w:r>
        <w:rPr>
          <w:rFonts w:ascii="Times New Roman;serif" w:hAnsi="Times New Roman;serif"/>
          <w:b w:val="false"/>
          <w:color w:val="000000"/>
          <w:sz w:val="20"/>
        </w:rPr>
        <w:t xml:space="preserve">Refer to Part II, Item 8. Note 9,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in the Notes to the Consolidated Financial Statements included in this Annual Report on Form 10-K for further information.</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measure and recognize stock-based compensation expense for all stock-based awards and purchases of common stock under the employee stock purchase plan ("ESPP") based on their estimated grant date fair value.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utilize a lattice-binomial option-pricing model ("binomial model") to estimate the grant date fair value for our employee stock options and the Black-Scholes model to estimate the grant date fair value for stock options granted to the members of the Board of Directors ("non-employee directors") and common stock purchased by eligible employees under our ESPP.</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Both the binomial model and Black-Scholes model involve certain estimates and assumptions such as:</w:t>
      </w:r>
    </w:p>
    <w:p>
      <w:pPr>
        <w:pStyle w:val="TextBody"/>
        <w:bidi w:val="0"/>
        <w:spacing w:lineRule="auto" w:line="288" w:before="200" w:after="283"/>
        <w:ind w:left="0" w:right="0" w:hanging="360"/>
        <w:jc w:val="both"/>
        <w:rPr/>
      </w:pPr>
      <w:r>
        <w:rPr>
          <w:color w:val="000000"/>
        </w:rPr>
        <w:t>•</w:t>
      </w:r>
      <w:r>
        <w:rPr>
          <w:rFonts w:ascii="Times New Roman;serif" w:hAnsi="Times New Roman;serif"/>
          <w:b/>
          <w:i/>
          <w:color w:val="000000"/>
          <w:sz w:val="20"/>
        </w:rPr>
        <w:t>Risk-free interest rate</w:t>
      </w:r>
      <w:r>
        <w:rPr>
          <w:color w:val="000000"/>
        </w:rPr>
        <w:t xml:space="preserve"> </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based on the U.S. Treasury yield curve in effect at the time of grant with maturities equal to the expected terms of the stock-based awards granted. </w:t>
      </w:r>
    </w:p>
    <w:p>
      <w:pPr>
        <w:pStyle w:val="TextBody"/>
        <w:bidi w:val="0"/>
        <w:spacing w:lineRule="auto" w:line="288" w:before="100" w:after="283"/>
        <w:ind w:left="0" w:right="0" w:hanging="360"/>
        <w:jc w:val="both"/>
        <w:rPr/>
      </w:pPr>
      <w:r>
        <w:rPr>
          <w:color w:val="000000"/>
        </w:rPr>
        <w:t>•</w:t>
      </w:r>
      <w:r>
        <w:rPr>
          <w:rFonts w:ascii="Times New Roman;serif" w:hAnsi="Times New Roman;serif"/>
          <w:b/>
          <w:i/>
          <w:color w:val="000000"/>
          <w:sz w:val="20"/>
        </w:rPr>
        <w:t>Expected life</w:t>
      </w:r>
      <w:r>
        <w:rPr>
          <w:color w:val="000000"/>
        </w:rPr>
        <w:t xml:space="preserve">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the weighted average period the stock-based awards are expected to remain outstanding.</w:t>
      </w:r>
    </w:p>
    <w:p>
      <w:pPr>
        <w:pStyle w:val="TextBody"/>
        <w:bidi w:val="0"/>
        <w:spacing w:lineRule="auto" w:line="288" w:before="100" w:after="283"/>
        <w:ind w:left="0" w:right="0" w:hanging="360"/>
        <w:jc w:val="both"/>
        <w:rPr/>
      </w:pPr>
      <w:r>
        <w:rPr>
          <w:color w:val="000000"/>
        </w:rPr>
        <w:t>•</w:t>
      </w:r>
      <w:r>
        <w:rPr>
          <w:rFonts w:ascii="Times New Roman;serif" w:hAnsi="Times New Roman;serif"/>
          <w:b/>
          <w:i/>
          <w:color w:val="000000"/>
          <w:sz w:val="20"/>
        </w:rPr>
        <w:t>Expected volatility</w:t>
      </w:r>
      <w:r>
        <w:rPr>
          <w:color w:val="000000"/>
        </w:rPr>
        <w:t xml:space="preserve"> </w:t>
      </w:r>
      <w:r>
        <w:rPr>
          <w:rFonts w:ascii="Times New Roman;serif" w:hAnsi="Times New Roman;serif"/>
          <w:b w:val="false"/>
          <w:color w:val="000000"/>
          <w:sz w:val="20"/>
        </w:rPr>
        <w:t xml:space="preserve">- based on a blend of historical volatility of the stock-based award's useful life and the weighted average implied volatility for call option contracts traded in the 90 days preceding the stock-based award's valuation date. </w:t>
      </w:r>
    </w:p>
    <w:p>
      <w:pPr>
        <w:pStyle w:val="TextBody"/>
        <w:bidi w:val="0"/>
        <w:spacing w:lineRule="auto" w:line="288" w:before="100" w:after="283"/>
        <w:ind w:left="0" w:right="0" w:hanging="360"/>
        <w:jc w:val="both"/>
        <w:rPr/>
      </w:pPr>
      <w:r>
        <w:rPr>
          <w:color w:val="000000"/>
        </w:rPr>
        <w:t>•</w:t>
      </w:r>
      <w:r>
        <w:rPr>
          <w:rFonts w:ascii="Times New Roman;serif" w:hAnsi="Times New Roman;serif"/>
          <w:b/>
          <w:i/>
          <w:color w:val="000000"/>
          <w:sz w:val="20"/>
        </w:rPr>
        <w:t>Dividend yield</w:t>
      </w:r>
      <w:r>
        <w:rPr>
          <w:color w:val="000000"/>
        </w:rPr>
        <w:t xml:space="preserve">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the expectation of dividend payouts based on our history.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binomial model also incorporates market conditions, vesting restrictions and exercise patterns.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our performance share units ("PSUs"), management makes quarterly assessments of the probability of achieving specified performance criteria established at the time of grant. The ultimate number of common shares that may be earned from a PSU is determined pursuant to a payout range based on the achievement of specified performance levels.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estimate expected forfeitures of equity awards at the date of grant and recognize compensation expense only for those awards expected to vest. The forfeiture assumption is revised if actual forfeitures differ from those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assumptions we use to calculate and account for stock-based compensation awards represent management's best estimates, which involve inherent uncertainties. As a result, if we revise our assumptions and estimates, our stock-based compensation expense could differ from amounts recorded. </w:t>
      </w:r>
    </w:p>
    <w:p>
      <w:pPr>
        <w:pStyle w:val="TextBody"/>
        <w:bidi w:val="0"/>
        <w:spacing w:lineRule="auto" w:line="288" w:before="200" w:after="283"/>
        <w:jc w:val="both"/>
        <w:rPr/>
      </w:pPr>
      <w:r>
        <w:rPr>
          <w:rFonts w:ascii="Times New Roman;serif" w:hAnsi="Times New Roman;serif"/>
          <w:b w:val="false"/>
          <w:color w:val="000000"/>
          <w:sz w:val="20"/>
        </w:rPr>
        <w:t xml:space="preserve">Refer to Part II, Item 8. Note 15, </w:t>
      </w:r>
      <w:r>
        <w:rPr>
          <w:rFonts w:ascii="Times New Roman;serif" w:hAnsi="Times New Roman;serif"/>
          <w:b w:val="false"/>
          <w:i/>
          <w:color w:val="000000"/>
          <w:sz w:val="20"/>
        </w:rPr>
        <w:t>Stock-Based Compensation</w:t>
      </w:r>
      <w:r>
        <w:rPr>
          <w:color w:val="000000"/>
        </w:rPr>
        <w:t xml:space="preserve"> </w:t>
      </w:r>
      <w:r>
        <w:rPr>
          <w:rFonts w:ascii="Times New Roman;serif" w:hAnsi="Times New Roman;serif"/>
          <w:b w:val="false"/>
          <w:color w:val="000000"/>
          <w:sz w:val="20"/>
        </w:rPr>
        <w:t>in the Notes to the Consolidated Financial Statements included in this Annual Report on Form 10-K for further information.</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Goodwill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over the fair value of identifiable net assets acquired at the acquisition date. Goodwill is not amortized as it is estimated to have an indefinite life. We test goodwill annually for impairment during the fourth quarter of each fiscal year or more frequently if events and circumstances occur indicating that it is more likely than not that the fair value of any one of our reporting units is less than its respective carrying value. Impairment is tested at the reporting unit level and if the carrying value of the reporting unit exceeds the fair value, then the goodwill is considered impaired and written down to the reporting unit’s fair value. The impairment loss for the reporting unit cannot exceed the carrying value of the goodwill allocated to that reporting unit.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may elect to perform a qualitative analysis for the reporting units to determine whether it is more likely than not (a likelihood of more than 50%) that the fair value of the reporting unit is less than its carrying value. In performing a qualitative assessment, we consider such factors as macro-economic conditions, industry and market conditions in which we operate, including the competitive environment and significant changes in demand for our products or services. We also consider the share price both in absolute terms and in relation to peer companies. If the qualitative analysis indicates that it is more likely than not the fair value of a reporting unit is less than its carrying value or if we elect not to perform a qualitative analysis, a quantitative analysis is performed to determine whether a goodwill impairment exists.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quantitative goodwill impairment analysis is used to identify potential impairment by comparing the carrying value of a reporting unit with its fair value. To perform this analysis, we apply the income approach which utilizes discounted cash flows and other relevant market information. Significant judgment is involved in determining the assumptions used in estimating future cash flows, such as: expected sales, working capital needs to support each reporting unit, capital expenditures and related depreciation and amortization, operating expenses, expected tax rates and the weighted average cost of capital for each reporting unit. Our cost of capital is based on assumptions about interest rates, as well as a risk-adjusted rate of return required by our equity investors. These estimates and judgments are critical, as they directly influence the calculated fair value of our reporting units and, consequently, the results of our goodwill impairment assessment. </w:t>
      </w:r>
    </w:p>
    <w:p>
      <w:pPr>
        <w:pStyle w:val="TextBody"/>
        <w:bidi w:val="0"/>
        <w:spacing w:lineRule="auto" w:line="288" w:before="200" w:after="283"/>
        <w:jc w:val="both"/>
        <w:rPr/>
      </w:pPr>
      <w:r>
        <w:rPr>
          <w:rFonts w:ascii="Times New Roman;serif" w:hAnsi="Times New Roman;serif"/>
          <w:b w:val="false"/>
          <w:color w:val="000000"/>
          <w:sz w:val="20"/>
        </w:rPr>
        <w:t xml:space="preserve">Refer to Part II, Item 8. Note 7, </w:t>
      </w:r>
      <w:r>
        <w:rPr>
          <w:rFonts w:ascii="Times New Roman;serif" w:hAnsi="Times New Roman;serif"/>
          <w:b w:val="false"/>
          <w:i/>
          <w:color w:val="000000"/>
          <w:sz w:val="20"/>
        </w:rPr>
        <w:t xml:space="preserve">Goodwill </w:t>
      </w:r>
      <w:r>
        <w:rPr>
          <w:rFonts w:ascii="Times New Roman;serif" w:hAnsi="Times New Roman;serif"/>
          <w:b w:val="false"/>
          <w:color w:val="000000"/>
          <w:sz w:val="20"/>
        </w:rPr>
        <w:t>in the Notes to the Consolidated Financial Statements included in this Annual Report on Form 10-K for further details.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Business Combinations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account for business combinations using the purchase method of accounting. Under this method, the acquisition purchase price is allocated to the underlying identified tangible and intangible assets acquired, and liabilities assumed, based on their respective estimated fair values on the acquisition date. The excess of the purchase consideration over the fair value of the identified assets and liabilities is recorded as goodwill and assigned to one or more reporting units. The value and useful life assigned to acquisition-related tangible and intangible assets impact the amount and timing of future amortization expense. Determining the fair value of assets acquired and liabilities assumed and the expected useful life requires management’s judgment and often involves the use of significant estimates and assumptions, including assumptions with respect to future cash inflows and outflows, discount rates, asset lives and market multiples, among other items. Acquisition-related expenses and restructuring costs, if any, are recognized separately from the business combination and are expensed as incurred.</w:t>
      </w:r>
    </w:p>
    <w:p>
      <w:pPr>
        <w:pStyle w:val="TextBody"/>
        <w:bidi w:val="0"/>
        <w:spacing w:lineRule="auto" w:line="288" w:before="200" w:after="283"/>
        <w:jc w:val="both"/>
        <w:rPr/>
      </w:pPr>
      <w:r>
        <w:rPr>
          <w:rFonts w:ascii="Times New Roman;serif" w:hAnsi="Times New Roman;serif"/>
          <w:b w:val="false"/>
          <w:color w:val="000000"/>
          <w:sz w:val="20"/>
        </w:rPr>
        <w:t xml:space="preserve">Refer to Part II, Item 8. Note 5, </w:t>
      </w:r>
      <w:r>
        <w:rPr>
          <w:rFonts w:ascii="Times New Roman;serif" w:hAnsi="Times New Roman;serif"/>
          <w:b w:val="false"/>
          <w:i/>
          <w:color w:val="000000"/>
          <w:sz w:val="20"/>
        </w:rPr>
        <w:t xml:space="preserve">Acquisitions </w:t>
      </w:r>
      <w:r>
        <w:rPr>
          <w:rFonts w:ascii="Times New Roman;serif" w:hAnsi="Times New Roman;serif"/>
          <w:b w:val="false"/>
          <w:color w:val="000000"/>
          <w:sz w:val="20"/>
        </w:rPr>
        <w:t>in the Notes to the Consolidated Financial Statements included in this Annual Report on Form 10-K for further information.</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PPE and Intangible Assets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amortize our PPE and identifiable intangible assets over their estimated useful lives. Determining the useful life requires judgment and an understanding of our planned use of the asset, among other factors. If different useful lives had been used, the resulting amortization or depreciation expense recognized may be materially different. If the estimate of the remaining useful life is changed, the remaining carrying amount of the PPE and intangible asset is, respectively, amortized or depreciated, prospectively over that revised remaining useful life.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review our PPE and intangible assets to determine if any indicators of impairment are present on a quarterly basis or whenever events or changes in circumstances indicate that the carrying amount of an asset group may not be recoverable. If indicators of impairment are present, the asset group is tested for impairment by comparing the carrying value to undiscounted cash flows and, if impaired, written down to fair value based on discounted cash flows. In performing this assessment, significant judgment is involved in determining the assumptions used in estimating future cash flows and the discount rate. </w:t>
      </w:r>
    </w:p>
    <w:p>
      <w:pPr>
        <w:pStyle w:val="TextBody"/>
        <w:bidi w:val="0"/>
        <w:spacing w:lineRule="auto" w:line="288" w:before="200" w:after="283"/>
        <w:jc w:val="both"/>
        <w:rPr/>
      </w:pPr>
      <w:r>
        <w:rPr>
          <w:rFonts w:ascii="Times New Roman;serif" w:hAnsi="Times New Roman;serif"/>
          <w:b w:val="false"/>
          <w:color w:val="000000"/>
          <w:sz w:val="20"/>
        </w:rPr>
        <w:t xml:space="preserve">Refer to Part II, Item 8. Note 6, </w:t>
      </w:r>
      <w:r>
        <w:rPr>
          <w:rFonts w:ascii="Times New Roman;serif" w:hAnsi="Times New Roman;serif"/>
          <w:b w:val="false"/>
          <w:i/>
          <w:color w:val="000000"/>
          <w:sz w:val="20"/>
        </w:rPr>
        <w:t xml:space="preserve">Property, Equipment and Leasehold Improvements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 xml:space="preserve">Note 8, </w:t>
      </w:r>
      <w:r>
        <w:rPr>
          <w:rFonts w:ascii="Times New Roman;serif" w:hAnsi="Times New Roman;serif"/>
          <w:b w:val="false"/>
          <w:i/>
          <w:color w:val="000000"/>
          <w:sz w:val="20"/>
        </w:rPr>
        <w:t xml:space="preserve">Intangible Assets </w:t>
      </w:r>
      <w:r>
        <w:rPr>
          <w:rFonts w:ascii="Times New Roman;serif" w:hAnsi="Times New Roman;serif"/>
          <w:b w:val="false"/>
          <w:color w:val="000000"/>
          <w:sz w:val="20"/>
        </w:rPr>
        <w:t>in the Notes to the Consolidated Financial Statements included in this Annual Report on Form 10-K for further information.</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Contingencies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various legal proceedings, claims and litigation that have arisen in the ordinary course of business, which involve inherent uncertainties. We accrue for contingencies when we believe that a loss is probable and the amount can be reasonably estimated. Judgment is required to determine both the probability and the estimated amount of loss. If the reasonable estimate of a probable loss is a range, we record an accrual for the most probable estimate of the loss or the minimum amount when no amount within the range is a better estimate than any other amount. We review these accruals on a quarterly basis and adjust, as necessary, to reflect the impact of negotiations, settlements, rulings, advice of legal counsel and other current information. If actual results differ from our assessments, our financial position, results of operations, or cash flows would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pPr>
      <w:r>
        <w:rPr>
          <w:rFonts w:ascii="Times New Roman;serif" w:hAnsi="Times New Roman;serif"/>
          <w:b w:val="false"/>
          <w:color w:val="000000"/>
          <w:sz w:val="20"/>
        </w:rPr>
        <w:t xml:space="preserve">affected. Refer to Part II, Item 8. Note 12, </w:t>
      </w:r>
      <w:r>
        <w:rPr>
          <w:rFonts w:ascii="Times New Roman;serif" w:hAnsi="Times New Roman;serif"/>
          <w:b w:val="false"/>
          <w:i/>
          <w:color w:val="000000"/>
          <w:sz w:val="20"/>
        </w:rPr>
        <w:t xml:space="preserve">Commitments and Contingencies </w:t>
      </w:r>
      <w:r>
        <w:rPr>
          <w:rFonts w:ascii="Times New Roman;serif" w:hAnsi="Times New Roman;serif"/>
          <w:b w:val="false"/>
          <w:color w:val="000000"/>
          <w:sz w:val="20"/>
        </w:rPr>
        <w:t>in the Notes to the Consolidated Financial Statements included in this Annual Report on Form 10-K for more information on our contingent matters.</w:t>
      </w:r>
    </w:p>
    <w:p>
      <w:pPr>
        <w:pStyle w:val="TextBody"/>
        <w:bidi w:val="0"/>
        <w:spacing w:lineRule="auto" w:line="288" w:before="200" w:after="283"/>
        <w:jc w:val="both"/>
        <w:rPr/>
      </w:pPr>
      <w:r>
        <w:rPr>
          <w:rFonts w:ascii="Times New Roman;serif" w:hAnsi="Times New Roman;serif"/>
          <w:b w:val="false"/>
          <w:color w:val="000000"/>
          <w:sz w:val="20"/>
        </w:rPr>
        <w:t xml:space="preserve">For more information on the accounting of our income tax contingencies, refer to Part II, Item 8. Note 9,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in the Notes to the Consolidated Financial Statements included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New Accounting Pronouncements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a discussion of accounting pronouncements recently adopted and those issued but not yet adopted, refer to Part II, Item 8. Note 2, Summary of Significant Accounting Policies in the Notes to the Consolidated Financial Statements included in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ITEM 7A. QUANTITATIVE AND QUALITATIVE DISCLOSURES ABOUT MARKET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we are exposed to foreign currency exchange risk and interest rate risk that could impact our financial position and results of operations. Current market events have not required us to materially modify our financial risk management strategies with respect to our exposures to foreign currency exchange risk or interest rate risk.</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Foreign Currency Transaction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we operate globally, we are exposed to the risk that our financial condition, results of operations and cash flows could be impacted by changes in foreign currency exchange rates. During fiscal 2025 and 2024, we maintained a series of foreign currency forward contracts to hedge a portion of our projected operating expenses in these primary currency exposures, namely the British Pound Sterling, Euro, Indian Rupee and Philippine Peso. As of August 31, 2025, the hedge maturity periods of our outstanding foreign currency forward contracts range from the first quarter of fiscal 2026 through the fourth quarter of fiscal 2026. Based on the operating income for fiscal 2025, comparing the average quarterly foreign currency exchange rates for fiscal 2025 to the respective rates for fiscal 2024, net of hedge activity, resulted in an increase in operating income of $0.3 million. We utilize cash flow hedges to manage risk and not for speculative or trading purposes.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performed a sensitivity analysis to determine the effects on both the fair value of our outstanding foreign currency forward contracts and our operating income, excluding these forward contracts, of a hypothetical devaluation of the U.S. dollar by 10% as of August 31, 2025, relative to the other foreign currencies in which we transact. The sensitivity analysis indicated that a devaluation of the U.S. dollar by 10% would have increased the fair value of our outstanding forward contracts by approximately $19 million as of August 31, 2025 and decreased our operating income, excluding these forward contracts, by an estimated $47 million for fiscal 2025. This sensitivity analysis has inherent limitations as it disregards the possibility that rates of multiple foreign currencies will not always move in the same direction relative to the value of the U.S. dollar over time and does not account for our forward contracts that we utilize to mitigate fluctuations in exchange rates. </w:t>
      </w:r>
    </w:p>
    <w:p>
      <w:pPr>
        <w:pStyle w:val="TextBody"/>
        <w:bidi w:val="0"/>
        <w:spacing w:lineRule="auto" w:line="288" w:before="200" w:after="283"/>
        <w:jc w:val="both"/>
        <w:rPr/>
      </w:pPr>
      <w:r>
        <w:rPr>
          <w:rFonts w:ascii="Times New Roman;serif" w:hAnsi="Times New Roman;serif"/>
          <w:b/>
          <w:color w:val="000000"/>
          <w:sz w:val="20"/>
        </w:rPr>
        <w:t>Foreign Currency Translation</w:t>
      </w:r>
      <w:r>
        <w:rPr>
          <w:color w:val="212121"/>
        </w:rPr>
        <w:t xml:space="preserve"> </w:t>
      </w:r>
      <w:r>
        <w:rPr>
          <w:rFonts w:ascii="Times New Roman;serif" w:hAnsi="Times New Roman;serif"/>
          <w:b/>
          <w:color w:val="212121"/>
          <w:sz w:val="20"/>
        </w:rPr>
        <w:t>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foreign currency risk due to the translation of our results from certain international operations into U.S. Dollars, as part of the consolidation process. Fluctuations in foreign currency exchange rates can create volatility in our results of operations and our financial condition.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foreign currency translation adjustment gains and losses recorded in Other comprehensive income (loss):</w:t>
      </w:r>
    </w:p>
    <w:tbl>
      <w:tblPr>
        <w:tblW w:w="6553" w:type="dxa"/>
        <w:jc w:val="left"/>
        <w:tblInd w:w="0" w:type="dxa"/>
        <w:tblLayout w:type="fixed"/>
        <w:tblCellMar>
          <w:top w:w="28" w:type="dxa"/>
          <w:left w:w="28" w:type="dxa"/>
          <w:bottom w:w="28" w:type="dxa"/>
          <w:right w:w="28" w:type="dxa"/>
        </w:tblCellMar>
      </w:tblPr>
      <w:tblGrid>
        <w:gridCol w:w="1624"/>
        <w:gridCol w:w="1429"/>
        <w:gridCol w:w="1432"/>
        <w:gridCol w:w="216"/>
        <w:gridCol w:w="738"/>
        <w:gridCol w:w="111"/>
        <w:gridCol w:w="216"/>
        <w:gridCol w:w="630"/>
        <w:gridCol w:w="157"/>
      </w:tblGrid>
      <w:tr>
        <w:trPr/>
        <w:tc>
          <w:tcPr>
            <w:tcW w:w="1624"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gains (losses)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Cash and Cash Equivalents and Investments</w:t>
      </w:r>
    </w:p>
    <w:p>
      <w:pPr>
        <w:pStyle w:val="TextBody"/>
        <w:bidi w:val="0"/>
        <w:spacing w:lineRule="auto" w:line="288" w:before="200" w:after="283"/>
        <w:jc w:val="both"/>
        <w:rPr/>
      </w:pPr>
      <w:r>
        <w:rPr>
          <w:rFonts w:ascii="Times New Roman;serif" w:hAnsi="Times New Roman;serif"/>
          <w:b w:val="false"/>
          <w:color w:val="000000"/>
          <w:sz w:val="20"/>
        </w:rPr>
        <w:t xml:space="preserve">As of August 31, 2025, we had Cash and cash equivalents of $337.7 million and Investments of $17.4 million. Our Cash and cash equivalents consist of cash and highly liquid investments including demand deposits and money market funds and our Investments consist of mutual funds. We are exposed to interest rate risk through fluctuations of interest rates on these investments. As we have a restrictive investment policy, our financial exposure to fluctuations in interest rates is expected to remain low. Refer to Part II, Item 8. Note 2, </w:t>
      </w:r>
      <w:r>
        <w:rPr>
          <w:rFonts w:ascii="Times New Roman;serif" w:hAnsi="Times New Roman;serif"/>
          <w:b w:val="false"/>
          <w:i/>
          <w:color w:val="000000"/>
          <w:sz w:val="20"/>
        </w:rPr>
        <w:t xml:space="preserve">Summary of Significant Accounting Policies </w:t>
      </w:r>
      <w:r>
        <w:rPr>
          <w:rFonts w:ascii="Times New Roman;serif" w:hAnsi="Times New Roman;serif"/>
          <w:b w:val="false"/>
          <w:color w:val="000000"/>
          <w:sz w:val="20"/>
        </w:rPr>
        <w:t>in the Notes to the Consolidated Financial Statements included in this Annual Report on Form 10-K for more information on our Cash and cash equivalents.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Debt</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2025 Credit Agreement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August 31, 2025, our outstanding floating rate debt included $375.0 million under the 2025 Credit Agreement. As of August 31, 2025, the outstanding borrowings under the 2025 Credit Agreement bore interest at a rate equal to the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one-month Term SOFR plus a 0.975% spread (comprised of a 0.875% interest rate margin based on a debt leverage pricing grid plus a 0.1% credit spread adjustment).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 mitigate our exposure to interest rate volatility due to changes in SOFR, we entered into the 2025 Swap Agreement on April 24, 2025, to hedge a portion of our outstanding floating SOFR debt with a fixed interest rate of 4.086%. As of August 31, 2025, the 2025 Swap Agreement has a notional amount of $100.0 million and matures on February 28, 2026.</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Senior Notes have a fixed interest rate and are not subject to interest rate change. As such, our interest rate exposure as of August 31, 2025 is limited to the outstanding principal balance of our floating rate debt under our 2025 Credit Facilities in excess of the 2025 Swap Agreement. As of August 31, 2025, our interest rate exposure equals the Term SOFR applied to $275.0 million, our outstanding floating rate debt, net of our 2025 Swap Agreement. Assuming the principal balance of our outstanding floating rate debt, net of the 2025 Swap Agreement, remained at $275.0 million, a hypothetical 25 basis point change (up or down) in the one-month SOFR would result in an approximate $1 million change to our annual interest expense as of August 31, 2025. </w:t>
      </w:r>
    </w:p>
    <w:p>
      <w:pPr>
        <w:pStyle w:val="TextBody"/>
        <w:bidi w:val="0"/>
        <w:spacing w:lineRule="auto" w:line="288" w:before="200" w:after="283"/>
        <w:jc w:val="both"/>
        <w:rPr/>
      </w:pPr>
      <w:r>
        <w:rPr>
          <w:rFonts w:ascii="Times New Roman;serif" w:hAnsi="Times New Roman;serif"/>
          <w:b w:val="false"/>
          <w:color w:val="000000"/>
          <w:sz w:val="20"/>
        </w:rPr>
        <w:t xml:space="preserve">Refer to Part II, Item 8. Note 11, </w:t>
      </w:r>
      <w:r>
        <w:rPr>
          <w:rFonts w:ascii="Times New Roman;serif" w:hAnsi="Times New Roman;serif"/>
          <w:b w:val="false"/>
          <w:i/>
          <w:color w:val="000000"/>
          <w:sz w:val="20"/>
        </w:rPr>
        <w:t xml:space="preserve">Debt </w:t>
      </w:r>
      <w:r>
        <w:rPr>
          <w:rFonts w:ascii="Times New Roman;serif" w:hAnsi="Times New Roman;serif"/>
          <w:b w:val="false"/>
          <w:color w:val="000000"/>
          <w:sz w:val="20"/>
        </w:rPr>
        <w:t>in the Notes to the Consolidated Financial Statements included in this Annual Report on Form 10-K for more information on our swap agreements and outstanding borrowings.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tbl>
      <w:tblPr>
        <w:tblW w:w="10205" w:type="dxa"/>
        <w:jc w:val="left"/>
        <w:tblInd w:w="0" w:type="dxa"/>
        <w:tblLayout w:type="fixed"/>
        <w:tblCellMar>
          <w:top w:w="28" w:type="dxa"/>
          <w:left w:w="28" w:type="dxa"/>
          <w:bottom w:w="28" w:type="dxa"/>
          <w:right w:w="28" w:type="dxa"/>
        </w:tblCellMar>
      </w:tblPr>
      <w:tblGrid>
        <w:gridCol w:w="3516"/>
        <w:gridCol w:w="3065"/>
        <w:gridCol w:w="3082"/>
        <w:gridCol w:w="158"/>
        <w:gridCol w:w="158"/>
        <w:gridCol w:w="226"/>
      </w:tblGrid>
      <w:tr>
        <w:trPr/>
        <w:tc>
          <w:tcPr>
            <w:tcW w:w="3516"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c>
          <w:tcPr>
            <w:tcW w:w="30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Index to Consolidated Financial Statements</w:t>
            </w:r>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6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ib796dee8748c4638b4a4bf5def45c14d_79">
              <w:r>
                <w:rPr>
                  <w:rStyle w:val="InternetLink"/>
                  <w:rFonts w:ascii="Times New Roman;serif" w:hAnsi="Times New Roman;serif"/>
                  <w:b w:val="false"/>
                  <w:color w:val="0000FF"/>
                  <w:sz w:val="20"/>
                  <w:u w:val="single"/>
                </w:rPr>
                <w:t>Management’s Statement of Responsibility for Financial Statements</w:t>
              </w:r>
            </w:hyperlink>
          </w:p>
        </w:tc>
        <w:tc>
          <w:tcPr>
            <w:tcW w:w="5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b796dee8748c4638b4a4bf5def45c14d_79">
              <w:r>
                <w:rPr>
                  <w:rStyle w:val="InternetLink"/>
                  <w:rFonts w:ascii="Times New Roman;serif" w:hAnsi="Times New Roman;serif"/>
                  <w:b w:val="false"/>
                  <w:color w:val="0000FF"/>
                  <w:sz w:val="20"/>
                  <w:u w:val="single"/>
                </w:rPr>
                <w:t>50</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82">
              <w:r>
                <w:rPr>
                  <w:rStyle w:val="InternetLink"/>
                  <w:rFonts w:ascii="Times New Roman;serif" w:hAnsi="Times New Roman;serif"/>
                  <w:b w:val="false"/>
                  <w:color w:val="0000FF"/>
                  <w:sz w:val="20"/>
                  <w:u w:val="single"/>
                </w:rPr>
                <w:t>Management’s Report on Internal Control Over Financial Reporting</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82">
              <w:r>
                <w:rPr>
                  <w:rStyle w:val="InternetLink"/>
                  <w:rFonts w:ascii="Times New Roman;serif" w:hAnsi="Times New Roman;serif"/>
                  <w:b w:val="false"/>
                  <w:color w:val="0000FF"/>
                  <w:sz w:val="20"/>
                  <w:u w:val="single"/>
                </w:rPr>
                <w:t>50</w:t>
              </w:r>
            </w:hyperlink>
          </w:p>
        </w:tc>
      </w:tr>
      <w:tr>
        <w:trPr/>
        <w:tc>
          <w:tcPr>
            <w:tcW w:w="9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85">
              <w:r>
                <w:rPr>
                  <w:rStyle w:val="InternetLink"/>
                  <w:rFonts w:ascii="Times New Roman;serif" w:hAnsi="Times New Roman;serif"/>
                  <w:b w:val="false"/>
                  <w:color w:val="000080"/>
                  <w:sz w:val="20"/>
                  <w:u w:val="single"/>
                </w:rPr>
                <w:t>Reports of Independent Registered Public Accounting Firm Reports of Independent Registered Public Accounting Firm (PCAOB ID:</w:t>
              </w:r>
            </w:hyperlink>
            <w:r>
              <w:rPr>
                <w:rFonts w:ascii="Times New Roman;serif" w:hAnsi="Times New Roman;serif"/>
                <w:b w:val="false"/>
                <w:color w:val="0000FF"/>
                <w:sz w:val="20"/>
                <w:u w:val="single"/>
              </w:rPr>
              <w:t xml:space="preserve"> 42</w:t>
            </w:r>
            <w:hyperlink w:anchor="ib796dee8748c4638b4a4bf5def45c14d_85">
              <w:r>
                <w:rPr>
                  <w:rStyle w:val="InternetLink"/>
                  <w:rFonts w:ascii="Times New Roman;serif" w:hAnsi="Times New Roman;serif"/>
                  <w:b w:val="false"/>
                  <w:color w:val="000080"/>
                  <w:sz w:val="20"/>
                  <w:u w:val="single"/>
                </w:rPr>
                <w:t>)</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85">
              <w:r>
                <w:rPr>
                  <w:rStyle w:val="InternetLink"/>
                  <w:rFonts w:ascii="Times New Roman;serif" w:hAnsi="Times New Roman;serif"/>
                  <w:b w:val="false"/>
                  <w:color w:val="0000FF"/>
                  <w:sz w:val="20"/>
                  <w:u w:val="single"/>
                </w:rPr>
                <w:t>52</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Financial Statements:</w:t>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88">
              <w:r>
                <w:rPr>
                  <w:rStyle w:val="InternetLink"/>
                  <w:rFonts w:ascii="Times New Roman;serif" w:hAnsi="Times New Roman;serif"/>
                  <w:b w:val="false"/>
                  <w:color w:val="000080"/>
                  <w:sz w:val="20"/>
                  <w:u w:val="single"/>
                </w:rPr>
                <w:t>Consolidated Statements of Income for the years ended</w:t>
              </w:r>
            </w:hyperlink>
            <w:r>
              <w:rPr>
                <w:rFonts w:ascii="Times New Roman;serif" w:hAnsi="Times New Roman;serif"/>
                <w:b w:val="false"/>
                <w:color w:val="0000FF"/>
                <w:sz w:val="20"/>
                <w:u w:val="single"/>
              </w:rPr>
              <w:t xml:space="preserve"> August 31, 2025, 2024 </w:t>
            </w:r>
            <w:hyperlink w:anchor="ib796dee8748c4638b4a4bf5def45c14d_88">
              <w:r>
                <w:rPr>
                  <w:rStyle w:val="InternetLink"/>
                  <w:rFonts w:ascii="Times New Roman;serif" w:hAnsi="Times New Roman;serif"/>
                  <w:b w:val="false"/>
                  <w:color w:val="000080"/>
                  <w:sz w:val="20"/>
                  <w:u w:val="single"/>
                </w:rPr>
                <w:t>and</w:t>
              </w:r>
            </w:hyperlink>
            <w:r>
              <w:rPr>
                <w:rFonts w:ascii="Times New Roman;serif" w:hAnsi="Times New Roman;serif"/>
                <w:b w:val="false"/>
                <w:color w:val="0000FF"/>
                <w:sz w:val="20"/>
                <w:u w:val="single"/>
              </w:rPr>
              <w:t xml:space="preserve"> 2023</w:t>
            </w:r>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88">
              <w:r>
                <w:rPr>
                  <w:rStyle w:val="InternetLink"/>
                  <w:rFonts w:ascii="Times New Roman;serif" w:hAnsi="Times New Roman;serif"/>
                  <w:b w:val="false"/>
                  <w:color w:val="0000FF"/>
                  <w:sz w:val="20"/>
                  <w:u w:val="single"/>
                </w:rPr>
                <w:t>56</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91">
              <w:r>
                <w:rPr>
                  <w:rStyle w:val="InternetLink"/>
                  <w:rFonts w:ascii="Times New Roman;serif" w:hAnsi="Times New Roman;serif"/>
                  <w:b w:val="false"/>
                  <w:color w:val="000080"/>
                  <w:sz w:val="20"/>
                  <w:u w:val="single"/>
                </w:rPr>
                <w:t xml:space="preserve">Consolidated Statements of Comprehensive Income for the years ended August 31, </w:t>
              </w:r>
            </w:hyperlink>
            <w:r>
              <w:rPr>
                <w:rFonts w:ascii="Times New Roman;serif" w:hAnsi="Times New Roman;serif"/>
                <w:b w:val="false"/>
                <w:color w:val="0000FF"/>
                <w:sz w:val="20"/>
                <w:u w:val="single"/>
              </w:rPr>
              <w:t>2025, 2024</w:t>
            </w:r>
            <w:r>
              <w:rPr>
                <w:color w:val="0000FF"/>
              </w:rPr>
              <w:t xml:space="preserve"> </w:t>
            </w:r>
            <w:hyperlink w:anchor="ib796dee8748c4638b4a4bf5def45c14d_91">
              <w:r>
                <w:rPr>
                  <w:rStyle w:val="InternetLink"/>
                  <w:rFonts w:ascii="Times New Roman;serif" w:hAnsi="Times New Roman;serif"/>
                  <w:b w:val="false"/>
                  <w:color w:val="000080"/>
                  <w:sz w:val="20"/>
                  <w:u w:val="single"/>
                </w:rPr>
                <w:t>and</w:t>
              </w:r>
            </w:hyperlink>
            <w:r>
              <w:rPr>
                <w:rFonts w:ascii="Times New Roman;serif" w:hAnsi="Times New Roman;serif"/>
                <w:b w:val="false"/>
                <w:color w:val="0000FF"/>
                <w:sz w:val="20"/>
                <w:u w:val="single"/>
              </w:rPr>
              <w:t xml:space="preserve"> 2023</w:t>
            </w:r>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91">
              <w:r>
                <w:rPr>
                  <w:rStyle w:val="InternetLink"/>
                  <w:rFonts w:ascii="Times New Roman;serif" w:hAnsi="Times New Roman;serif"/>
                  <w:b w:val="false"/>
                  <w:color w:val="0000FF"/>
                  <w:sz w:val="20"/>
                  <w:u w:val="single"/>
                </w:rPr>
                <w:t>57</w:t>
              </w:r>
            </w:hyperlink>
          </w:p>
        </w:tc>
      </w:tr>
      <w:tr>
        <w:trPr/>
        <w:tc>
          <w:tcPr>
            <w:tcW w:w="9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94">
              <w:r>
                <w:rPr>
                  <w:rStyle w:val="InternetLink"/>
                  <w:rFonts w:ascii="Times New Roman;serif" w:hAnsi="Times New Roman;serif"/>
                  <w:b w:val="false"/>
                  <w:color w:val="000080"/>
                  <w:sz w:val="20"/>
                  <w:u w:val="single"/>
                </w:rPr>
                <w:t xml:space="preserve">Consolidated Balance Sheets at August 31, </w:t>
              </w:r>
            </w:hyperlink>
            <w:r>
              <w:rPr>
                <w:rFonts w:ascii="Times New Roman;serif" w:hAnsi="Times New Roman;serif"/>
                <w:b w:val="false"/>
                <w:color w:val="0000FF"/>
                <w:sz w:val="20"/>
                <w:u w:val="single"/>
              </w:rPr>
              <w:t xml:space="preserve">2025 </w:t>
            </w:r>
            <w:hyperlink w:anchor="ib796dee8748c4638b4a4bf5def45c14d_94">
              <w:r>
                <w:rPr>
                  <w:rStyle w:val="InternetLink"/>
                  <w:rFonts w:ascii="Times New Roman;serif" w:hAnsi="Times New Roman;serif"/>
                  <w:b w:val="false"/>
                  <w:color w:val="000080"/>
                  <w:sz w:val="20"/>
                  <w:u w:val="single"/>
                </w:rPr>
                <w:t>and</w:t>
              </w:r>
            </w:hyperlink>
            <w:r>
              <w:rPr>
                <w:rFonts w:ascii="Times New Roman;serif" w:hAnsi="Times New Roman;serif"/>
                <w:b w:val="false"/>
                <w:color w:val="0000FF"/>
                <w:sz w:val="20"/>
                <w:u w:val="single"/>
              </w:rPr>
              <w:t xml:space="preserve"> 2024</w:t>
            </w:r>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94">
              <w:r>
                <w:rPr>
                  <w:rStyle w:val="InternetLink"/>
                  <w:rFonts w:ascii="Times New Roman;serif" w:hAnsi="Times New Roman;serif"/>
                  <w:b w:val="false"/>
                  <w:color w:val="0000FF"/>
                  <w:sz w:val="20"/>
                  <w:u w:val="single"/>
                </w:rPr>
                <w:t>58</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97">
              <w:r>
                <w:rPr>
                  <w:rStyle w:val="InternetLink"/>
                  <w:rFonts w:ascii="Times New Roman;serif" w:hAnsi="Times New Roman;serif"/>
                  <w:b w:val="false"/>
                  <w:color w:val="000080"/>
                  <w:sz w:val="20"/>
                  <w:u w:val="single"/>
                </w:rPr>
                <w:t>Consolidated Statements of Cash Flows for the years ended August 3</w:t>
              </w:r>
            </w:hyperlink>
            <w:hyperlink w:anchor="ib796dee8748c4638b4a4bf5def45c14d_97">
              <w:r>
                <w:rPr>
                  <w:rStyle w:val="InternetLink"/>
                  <w:rFonts w:ascii="Times New Roman;serif" w:hAnsi="Times New Roman;serif"/>
                  <w:b w:val="false"/>
                  <w:color w:val="000080"/>
                  <w:sz w:val="20"/>
                  <w:u w:val="single"/>
                </w:rPr>
                <w:t xml:space="preserve">1, </w:t>
              </w:r>
            </w:hyperlink>
            <w:r>
              <w:rPr>
                <w:rFonts w:ascii="Times New Roman;serif" w:hAnsi="Times New Roman;serif"/>
                <w:b w:val="false"/>
                <w:color w:val="0000FF"/>
                <w:sz w:val="20"/>
                <w:u w:val="single"/>
              </w:rPr>
              <w:t xml:space="preserve">2025, 2024 </w:t>
            </w:r>
            <w:hyperlink w:anchor="ib796dee8748c4638b4a4bf5def45c14d_97">
              <w:r>
                <w:rPr>
                  <w:rStyle w:val="InternetLink"/>
                  <w:rFonts w:ascii="Times New Roman;serif" w:hAnsi="Times New Roman;serif"/>
                  <w:b w:val="false"/>
                  <w:color w:val="000080"/>
                  <w:sz w:val="20"/>
                  <w:u w:val="single"/>
                </w:rPr>
                <w:t>and</w:t>
              </w:r>
            </w:hyperlink>
            <w:r>
              <w:rPr>
                <w:rFonts w:ascii="Times New Roman;serif" w:hAnsi="Times New Roman;serif"/>
                <w:b w:val="false"/>
                <w:color w:val="0000FF"/>
                <w:sz w:val="20"/>
                <w:u w:val="single"/>
              </w:rPr>
              <w:t xml:space="preserve"> 2023</w:t>
            </w:r>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97">
              <w:r>
                <w:rPr>
                  <w:rStyle w:val="InternetLink"/>
                  <w:rFonts w:ascii="Times New Roman;serif" w:hAnsi="Times New Roman;serif"/>
                  <w:b w:val="false"/>
                  <w:color w:val="0000FF"/>
                  <w:sz w:val="20"/>
                  <w:u w:val="single"/>
                </w:rPr>
                <w:t>59</w:t>
              </w:r>
            </w:hyperlink>
          </w:p>
        </w:tc>
      </w:tr>
      <w:tr>
        <w:trPr/>
        <w:tc>
          <w:tcPr>
            <w:tcW w:w="9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00">
              <w:r>
                <w:rPr>
                  <w:rStyle w:val="InternetLink"/>
                  <w:rFonts w:ascii="Times New Roman;serif" w:hAnsi="Times New Roman;serif"/>
                  <w:b w:val="false"/>
                  <w:color w:val="000080"/>
                  <w:sz w:val="20"/>
                  <w:u w:val="single"/>
                </w:rPr>
                <w:t xml:space="preserve">Consolidated Statements of Changes in Stockholders’ Equity for the years ended August 31, </w:t>
              </w:r>
            </w:hyperlink>
            <w:r>
              <w:rPr>
                <w:rFonts w:ascii="Times New Roman;serif" w:hAnsi="Times New Roman;serif"/>
                <w:b w:val="false"/>
                <w:color w:val="0000FF"/>
                <w:sz w:val="20"/>
                <w:u w:val="single"/>
              </w:rPr>
              <w:t xml:space="preserve">2025, 2024 </w:t>
            </w:r>
            <w:hyperlink w:anchor="ib796dee8748c4638b4a4bf5def45c14d_100">
              <w:r>
                <w:rPr>
                  <w:rStyle w:val="InternetLink"/>
                  <w:rFonts w:ascii="Times New Roman;serif" w:hAnsi="Times New Roman;serif"/>
                  <w:b w:val="false"/>
                  <w:color w:val="000080"/>
                  <w:sz w:val="20"/>
                  <w:u w:val="single"/>
                </w:rPr>
                <w:t xml:space="preserve">and </w:t>
              </w:r>
            </w:hyperlink>
            <w:r>
              <w:rPr>
                <w:rFonts w:ascii="Times New Roman;serif" w:hAnsi="Times New Roman;serif"/>
                <w:b w:val="false"/>
                <w:color w:val="0000FF"/>
                <w:sz w:val="20"/>
                <w:u w:val="single"/>
              </w:rPr>
              <w:t>2023</w:t>
            </w:r>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100">
              <w:r>
                <w:rPr>
                  <w:rStyle w:val="InternetLink"/>
                  <w:rFonts w:ascii="Times New Roman;serif" w:hAnsi="Times New Roman;serif"/>
                  <w:b w:val="false"/>
                  <w:color w:val="0000FF"/>
                  <w:sz w:val="20"/>
                  <w:u w:val="single"/>
                </w:rPr>
                <w:t>61</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03">
              <w:r>
                <w:rPr>
                  <w:rStyle w:val="InternetLink"/>
                  <w:rFonts w:ascii="Times New Roman;serif" w:hAnsi="Times New Roman;serif"/>
                  <w:b w:val="false"/>
                  <w:color w:val="0000FF"/>
                  <w:sz w:val="20"/>
                  <w:u w:val="single"/>
                </w:rPr>
                <w:t>Notes to the Consolidated Financial Statements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103">
              <w:r>
                <w:rPr>
                  <w:rStyle w:val="InternetLink"/>
                  <w:rFonts w:ascii="Times New Roman;serif" w:hAnsi="Times New Roman;serif"/>
                  <w:b w:val="false"/>
                  <w:color w:val="0000FF"/>
                  <w:sz w:val="20"/>
                  <w:u w:val="single"/>
                </w:rPr>
                <w:t>62</w:t>
              </w:r>
            </w:hyperlink>
          </w:p>
        </w:tc>
      </w:tr>
      <w:tr>
        <w:trPr/>
        <w:tc>
          <w:tcPr>
            <w:tcW w:w="9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 Schedule:</w:t>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202">
              <w:r>
                <w:rPr>
                  <w:rStyle w:val="InternetLink"/>
                  <w:rFonts w:ascii="Times New Roman;serif" w:hAnsi="Times New Roman;serif"/>
                  <w:b w:val="false"/>
                  <w:color w:val="0000FF"/>
                  <w:sz w:val="20"/>
                  <w:u w:val="single"/>
                </w:rPr>
                <w:t>Schedule II – Valuation and Qualifying Accounts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202">
              <w:r>
                <w:rPr>
                  <w:rStyle w:val="InternetLink"/>
                  <w:rFonts w:ascii="Times New Roman;serif" w:hAnsi="Times New Roman;serif"/>
                  <w:b w:val="false"/>
                  <w:color w:val="0000FF"/>
                  <w:sz w:val="20"/>
                  <w:u w:val="single"/>
                </w:rPr>
                <w:t>97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Management’s Statement of Responsibility for Financial Statements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management prepares and is responsible for the fairness, integrity and objectivity of our Consolidated Financial Statements. The accompanying Consolidated Financial Statements have been prepared in conformity with accounting principles generally accepted in the United States of America ("GAAP") and include amounts based on our management’s estimates and judgments. All financial information in this Report on Form 10-K has been presented on a basis consistent with the information included in the accompanying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policies and practices reflect corporate governance initiatives that are compliant with the listing requirements of the New York Stock Exchange, the NASDAQ Stock Market and the corporate governance requirements of the Sarbanes-Oxley Act of 2002. Our management, with oversight by our Board of Directors, has established and maintains a strong ethical climate so that our affairs are conducted to the highest standards of personal and corporate conduct.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maintain accounting systems, including internal accounting controls, designed to provide reasonable assurance of the reliability of financial records and the protection of assets. The concept of reasonable assurance is based on recognition that the cost of a system should not exceed the related benefits. The effectiveness of those systems depends primarily upon the careful selection of financial and other managers, clear delegation of authority and assignment of accountability, inculcation of high business ethics and conflict-of-interest standards, policies and procedures for coordinating the management of corporate resources, and the leadership and commitment of top management. In compliance with the Sarbanes-Oxley Act of 2002, we assessed our internal control over financial reporting as of August 31, 2025 and issued a report (see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previously reported in the Company’s Annual Report on Form 10-K for the fiscal year ended August 31, 2024, we had identified a material weakness in the design and operation of information technology (“IT”) general controls that support our revenues, accounts receivable, and deferred revenues processes which, in the aggregate, gave rise to a material weakness in internal control over financial reporting, which we are in the process of remediating.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fiscal 2025, our management (with the participation of the Chief Executive Officer and Chief Financial Officer) conducted an evaluation of the effectiveness of our internal control over financial reporting based on the framework in Internal Control—Integrated Framework (2013) issued by the Committee of Sponsoring Organizations of the Treadway Commission. Based on this evaluation, our management concluded that our internal control over financial reporting was not effective as of August 31, 2025, as a result of the material weakness in internal control over financial reporting described further below, which represents a continuation of a sub-set of the control deficiencies which gave rise to the initial material weakness previously identified. However, giving full consideration to the material weakness, the control deficiencies did not result in any identified misstatements, and the Company's management has concluded that our Consolidated Financial Statements present fairly, in all material respects, our financial position, results of operations and cash flows for the periods disclosed in conformity with GAAP.</w:t>
      </w:r>
    </w:p>
    <w:p>
      <w:pPr>
        <w:pStyle w:val="TextBody"/>
        <w:bidi w:val="0"/>
        <w:spacing w:lineRule="auto" w:line="288" w:before="200" w:after="283"/>
        <w:jc w:val="both"/>
        <w:rPr/>
      </w:pPr>
      <w:r>
        <w:rPr>
          <w:rFonts w:ascii="Times New Roman;serif" w:hAnsi="Times New Roman;serif"/>
          <w:b w:val="false"/>
          <w:color w:val="000000"/>
          <w:sz w:val="20"/>
        </w:rPr>
        <w:t xml:space="preserve">In accordance with the guidance issued by the Securities and Exchange Commission, companies are permitted to exclude acquisitions from their first assessment of internal control over financial reporting following the date of acquisition. Based on those guidelines, our management's assessment of the effectiveness of our internal control over financial reporting excluded Platform Group Limited ("Irwin") and Liquid Holdings, LLC ("LiquidityBook"), which we acquired in the first quarter and second quarter of fiscal 2025, respectively. Excluding goodwill and intangible assets, these acquisitions represented a combined 2% of our Total assets as of August 31, 2025 and 1% of our consolidated Revenues for fiscal year 2025. Refer to Note 5, </w:t>
      </w:r>
      <w:r>
        <w:rPr>
          <w:rFonts w:ascii="Times New Roman;serif" w:hAnsi="Times New Roman;serif"/>
          <w:b w:val="false"/>
          <w:i/>
          <w:color w:val="000000"/>
          <w:sz w:val="20"/>
        </w:rPr>
        <w:t>Acquisitions</w:t>
      </w:r>
      <w:r>
        <w:rPr>
          <w:rFonts w:ascii="Times New Roman;serif" w:hAnsi="Times New Roman;serif"/>
          <w:b w:val="false"/>
          <w:color w:val="000000"/>
          <w:sz w:val="20"/>
        </w:rPr>
        <w:t>, for additional information on these acquisitions.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Inherent Limitations of Internal Controls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for FactSet. Internal control over financial reporting is a process designed to provide reasonable assurance regarding the reliability of financial reporting and the preparation of financial statements for external purposes in accordance with GAAP.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Management’s Report on Internal Control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While we have made significant progress remediating the control deficiencies identified during our year ended August 31, 2024, we continue to have certain deficiencies related to the IT general controls that support our revenues, accounts receivable, and deferred revenues processes which, in the aggregate, rise to a material weakness in internal control over financial reporting. The deficiencies related to program change management and user access in connection with segregation of duties and restriction to appropriate users. As a result, the automated controls and IT dependent manual business process controls that rely upon information from the affected financial applications were also deemed not effective.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While we have concluded that these control deficiencies did not result in any material misstatements in our Consolidated Financial Statements or disclosures in any of the fiscal years ended August 31, 2025, 2024 or 2023, they were not remediated as of August 31, 2025, and thus created a reasonable possibility that they could result in a material misstatement to the Consolidated Financial Statements that would not be prevented or detected on a timely basis. Accordingly, we determined that these control deficiencies constituted a material weakness.</w:t>
      </w:r>
    </w:p>
    <w:p>
      <w:pPr>
        <w:pStyle w:val="TextBody"/>
        <w:bidi w:val="0"/>
        <w:spacing w:lineRule="auto" w:line="288" w:before="200" w:after="283"/>
        <w:jc w:val="both"/>
        <w:rPr/>
      </w:pPr>
      <w:r>
        <w:rPr>
          <w:rFonts w:ascii="Times New Roman;serif" w:hAnsi="Times New Roman;serif"/>
          <w:b w:val="false"/>
          <w:color w:val="000000"/>
          <w:sz w:val="20"/>
        </w:rPr>
        <w:t>As a result of the identification of the material weakness, we performed further analysis and completed additional procedures intended to ensure our consolidated financial statements for the years ended August 31, 2025, 2024, and 2023 fairly present in all material respects the financial condition, results of operations and cash flows of the Company and have been prepared in accordance with GAAP.</w:t>
      </w:r>
      <w:r>
        <w:rPr>
          <w:color w:val="000000"/>
        </w:rPr>
        <w:t xml:space="preserve"> </w:t>
      </w:r>
      <w:r>
        <w:rPr>
          <w:rFonts w:ascii="Times New Roman;serif" w:hAnsi="Times New Roman;serif"/>
          <w:b w:val="false"/>
          <w:color w:val="000000"/>
          <w:sz w:val="20"/>
        </w:rPr>
        <w:t>Based on these procedures and analysis, and notwithstanding the material weakness in our internal control over financial reporting, our management has concluded that our Consolidated Financial Statements present fairly, in all material respects, our financial position, results of operations and cash flows for the periods disclosed in conformity with GAAP.</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Ernst &amp; Young LLP (PCAOB ID: 42), an independent registered public accounting firm, has audited the effectiveness of our internal control over financial reporting and has issued an adverse opinion on the effectiveness of our internal control over financial reporting as stated in their report on the subsequent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120"/>
        <w:jc w:val="left"/>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FactSet Research Systems Inc.</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audited the accompanying consolidated balance sheets of FactSet Research Systems Inc. (the Company) as of August 31, 2025 and 2024, the related consolidated statements of income, comprehensive income, changes in stockholders’ equity and cash flows for each of the three years in the period ended August 31, 2025,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August 31, 2025 and 2024, and the results of its operations and its cash flows for each of the three years in the period ended August 31, 2025, in conformity with U.S. generally accepted accounting principles.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Company’s internal control over financial reporting as of August 31, 2025 based on criteria established in Internal Control—Integrated Framework issued by the Committee of Sponsoring Organizations of the Treadway Commission (2013 framework), and our report dated October 22, 2025 expressed an adverse opinion thereon.</w:t>
      </w:r>
    </w:p>
    <w:p>
      <w:pPr>
        <w:pStyle w:val="TextBody"/>
        <w:bidi w:val="0"/>
        <w:spacing w:lineRule="auto" w:line="276" w:before="200" w:after="12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200" w:after="120"/>
        <w:jc w:val="both"/>
        <w:rPr>
          <w:rFonts w:ascii="Times New Roman;serif" w:hAnsi="Times New Roman;serif"/>
          <w:b/>
          <w:color w:val="000000"/>
          <w:sz w:val="20"/>
        </w:rPr>
      </w:pPr>
      <w:r>
        <w:rPr>
          <w:rFonts w:ascii="Times New Roman;serif" w:hAnsi="Times New Roman;serif"/>
          <w:b/>
          <w:color w:val="000000"/>
          <w:sz w:val="20"/>
        </w:rPr>
        <w:t xml:space="preserve">Critical Audit Matters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tbl>
      <w:tblPr>
        <w:tblW w:w="10205" w:type="dxa"/>
        <w:jc w:val="left"/>
        <w:tblInd w:w="0" w:type="dxa"/>
        <w:tblLayout w:type="fixed"/>
        <w:tblCellMar>
          <w:top w:w="28" w:type="dxa"/>
          <w:left w:w="28" w:type="dxa"/>
          <w:bottom w:w="28" w:type="dxa"/>
          <w:right w:w="28" w:type="dxa"/>
        </w:tblCellMar>
      </w:tblPr>
      <w:tblGrid>
        <w:gridCol w:w="430"/>
        <w:gridCol w:w="377"/>
        <w:gridCol w:w="380"/>
        <w:gridCol w:w="2692"/>
        <w:gridCol w:w="2612"/>
        <w:gridCol w:w="3714"/>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3714" w:type="dxa"/>
            <w:tcBorders/>
            <w:vAlign w:val="center"/>
          </w:tcPr>
          <w:p>
            <w:pPr>
              <w:pStyle w:val="TableContents"/>
              <w:bidi w:val="0"/>
              <w:spacing w:before="0" w:after="283"/>
              <w:jc w:val="left"/>
              <w:rPr>
                <w:sz w:val="4"/>
                <w:szCs w:val="4"/>
              </w:rPr>
            </w:pPr>
            <w:r>
              <w:rPr>
                <w:sz w:val="4"/>
                <w:szCs w:val="4"/>
              </w:rPr>
            </w:r>
          </w:p>
        </w:tc>
      </w:tr>
      <w:tr>
        <w:trPr/>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Measurement of income tax provision</w:t>
            </w:r>
          </w:p>
        </w:tc>
      </w:tr>
      <w:tr>
        <w:trPr/>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the Matter</w:t>
            </w:r>
          </w:p>
        </w:tc>
        <w:tc>
          <w:tcPr>
            <w:tcW w:w="9018"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As discussed in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 xml:space="preserve">and Note 9,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of the Consolidated Financial Statements, the Company serves international markets and is subject to income taxes in the U.S. and various foreign jurisdictions, which affect the Company’s provision for income taxes. The income tax provision is an estimate based on management’s understanding of current enacted tax laws and tax rates of each tax jurisdiction and the use of subjective allocation methodologies to allocate taxable income to tax jurisdictions based upon the structure of the Company’s operations and customer arrangements. For the year-ended August 31, 2025 the Company recognized a consolidated provision for income taxes of $123.9 million with $45.6 million related to its U.S. operations and $78.3 million related to its Non-U.S. operations.</w:t>
            </w:r>
          </w:p>
        </w:tc>
      </w:tr>
      <w:tr>
        <w:trPr/>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Auditing management’s calculation of the provision for income taxes required complex audit judgement as the Company’s calculation of the provision for income taxes involved subjective estimation and evaluation of the application of tax laws, including the methods used to allocate taxable income and judgments used in determining uncertain tax positions. </w:t>
            </w:r>
          </w:p>
        </w:tc>
      </w:tr>
      <w:tr>
        <w:trPr/>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46"/>
        <w:gridCol w:w="397"/>
        <w:gridCol w:w="399"/>
        <w:gridCol w:w="2661"/>
        <w:gridCol w:w="2567"/>
        <w:gridCol w:w="3635"/>
      </w:tblGrid>
      <w:tr>
        <w:trPr/>
        <w:tc>
          <w:tcPr>
            <w:tcW w:w="5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How We Addressed the Matter in Our Audit</w:t>
            </w:r>
          </w:p>
        </w:tc>
        <w:tc>
          <w:tcPr>
            <w:tcW w:w="8863"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obtained an understanding, evaluated the design and tested the operating effectiveness of internal controls over management’s calculation of its provision for income taxes. For example, we tested controls over management’s evaluation of the allocation methodologies and management’s review of the assumptions and data utilized in determining the allocation of income to applicable tax jurisdictions.</w:t>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76" w:before="0" w:after="0"/>
              <w:jc w:val="both"/>
              <w:rPr/>
            </w:pPr>
            <w:r>
              <w:rPr>
                <w:rFonts w:ascii="Times New Roman;serif" w:hAnsi="Times New Roman;serif"/>
                <w:b w:val="false"/>
                <w:color w:val="000000"/>
                <w:sz w:val="20"/>
              </w:rPr>
              <w:t xml:space="preserve">Among other audit procedures performed, we evaluated the reasonableness of management’s allocation methodologies based on the Company’s structure, operations and current tax laws, recalculated income tax expense using management’s methodologies and agreed the data used in the calculations to the Company’s underlying books and records. We involved our tax professionals to evaluate the application of tax laws to management’s allocation methodologies and tax position, including the evaluation of third-party reports and advice obtained by the Company. We also performed a sensitivity analysis to assess the effect of changes in management’s allocation methodologies and assumptions. We have evaluated the Company’s income tax disclosures included in Note 9, </w:t>
            </w:r>
            <w:r>
              <w:rPr>
                <w:rFonts w:ascii="Times New Roman;serif" w:hAnsi="Times New Roman;serif"/>
                <w:b w:val="false"/>
                <w:i/>
                <w:color w:val="000000"/>
                <w:sz w:val="20"/>
              </w:rPr>
              <w:t>Income Taxes</w:t>
            </w:r>
            <w:r>
              <w:rPr>
                <w:rFonts w:ascii="Times New Roman;serif" w:hAnsi="Times New Roman;serif"/>
                <w:b w:val="false"/>
                <w:color w:val="000000"/>
                <w:sz w:val="20"/>
              </w:rPr>
              <w:t>, of the Consolidated Financial Statements in relation to these matters.</w:t>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Valuation of Acquired Software Technology</w:t>
            </w:r>
          </w:p>
        </w:tc>
      </w:tr>
      <w:tr>
        <w:trPr/>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the Matter</w:t>
            </w:r>
          </w:p>
        </w:tc>
        <w:tc>
          <w:tcPr>
            <w:tcW w:w="8863" w:type="dxa"/>
            <w:gridSpan w:val="3"/>
            <w:tcBorders/>
            <w:tcMar>
              <w:top w:w="0" w:type="dxa"/>
              <w:left w:w="0" w:type="dxa"/>
              <w:bottom w:w="0" w:type="dxa"/>
              <w:right w:w="0" w:type="dxa"/>
            </w:tcMar>
            <w:vAlign w:val="center"/>
          </w:tcPr>
          <w:p>
            <w:pPr>
              <w:pStyle w:val="TableContents"/>
              <w:bidi w:val="0"/>
              <w:spacing w:lineRule="auto" w:line="276" w:before="0" w:after="0"/>
              <w:jc w:val="both"/>
              <w:rPr/>
            </w:pPr>
            <w:r>
              <w:rPr>
                <w:rFonts w:ascii="Times New Roman;serif" w:hAnsi="Times New Roman;serif"/>
                <w:b w:val="false"/>
                <w:color w:val="000000"/>
                <w:sz w:val="20"/>
              </w:rPr>
              <w:t xml:space="preserve">As disclosed in Note 5, </w:t>
            </w:r>
            <w:r>
              <w:rPr>
                <w:rFonts w:ascii="Times New Roman;serif" w:hAnsi="Times New Roman;serif"/>
                <w:b w:val="false"/>
                <w:i/>
                <w:color w:val="000000"/>
                <w:sz w:val="20"/>
              </w:rPr>
              <w:t>Acquisitions</w:t>
            </w:r>
            <w:r>
              <w:rPr>
                <w:rFonts w:ascii="Times New Roman;serif" w:hAnsi="Times New Roman;serif"/>
                <w:b w:val="false"/>
                <w:color w:val="000000"/>
                <w:sz w:val="20"/>
              </w:rPr>
              <w:t>, of the Consolidated Financial Statements, the Company completed its acquisition of Liquid Holdings, LLC for total consideration of $243.2 million and Platform Group Limited for total consideration of $120.2 million in 2025. The transactions were accounted for as business combinations. The considerations paid in the acquisitions were allocated to the acquired assets and liabilities assumed generally based on their fair values, with the excess of the purchase prices over those fair values allocated to goodwill. The acquired software technologies totaled $101.7 million combined.</w:t>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Auditing the valuation of the Company’s business combinations was especially challenging and complex due to the significant assumptions and measurement uncertainty involved in determining the fair value of the acquired assets and liabilities assumed, specifically related to the Company’s determination of the fair values of acquired software technologies. In particular, the fair value estimates were sensitive to changes in significant underlying assumptions such as the projected revenue growth rate. This significant assumption included forward-looking considerations and was based on expectations of future economic and market conditions.</w:t>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How We Addressed the Matter in Our Audit</w:t>
            </w:r>
          </w:p>
        </w:tc>
        <w:tc>
          <w:tcPr>
            <w:tcW w:w="8863"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obtained an understanding, evaluated the design, and tested the operating effectiveness of internal controls over the Company’s accounting for acquisitions and the related fair value estimation process. Specifically, we tested controls over management’s review of the valuation of the acquired software technologies, including management’s review of the valuation models applied and the significant assumptions described above. We also tested management’s internal controls to develop the projected financial information used in the valuation models and validated that the data used in the valuation models was complete and accurate. </w:t>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To test the estimated fair value of the acquired software technologies, we performed audit procedures that included, among others, evaluating the Company’s valuation methodology and significant assumptions used by management, testing the completeness and accuracy of the underlying data supporting the significant assumptions described above, and performing sensitivity analyses of significant assumptions to evaluate the changes in the fair values of the acquired software technologies. We involved our valuation specialists to assist with our evaluation of the Company’s valuation methodology and significant assumptions used in the fair value estimates.</w:t>
            </w:r>
          </w:p>
        </w:tc>
      </w:tr>
    </w:tbl>
    <w:p>
      <w:pPr>
        <w:pStyle w:val="TextBody"/>
        <w:bidi w:val="0"/>
        <w:spacing w:lineRule="auto" w:line="276" w:before="200" w:after="283"/>
        <w:jc w:val="both"/>
        <w:rPr/>
      </w:pPr>
      <w:r>
        <w:rPr>
          <w:rFonts w:ascii="Times New Roman;serif" w:hAnsi="Times New Roman;serif"/>
          <w:b w:val="false"/>
          <w:color w:val="000000"/>
          <w:sz w:val="20"/>
        </w:rPr>
        <w:t>/s/</w:t>
      </w:r>
      <w:r>
        <w:rPr>
          <w:color w:val="000000"/>
          <w:shd w:fill="FFFFFF" w:val="clear"/>
        </w:rPr>
        <w:t xml:space="preserve"> </w:t>
      </w:r>
      <w:r>
        <w:rPr>
          <w:rFonts w:ascii="Times New Roman;serif" w:hAnsi="Times New Roman;serif"/>
          <w:b w:val="false"/>
          <w:color w:val="000000"/>
          <w:sz w:val="20"/>
          <w:shd w:fill="FFFFFF" w:val="clear"/>
        </w:rPr>
        <w:t>Ernst &amp; Young LLP</w:t>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served as the Company’s auditor since 2013. </w:t>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Stamford, Connecticut</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October 22, 2025</w:t>
      </w:r>
    </w:p>
    <w:p>
      <w:pPr>
        <w:pStyle w:val="TextBody"/>
        <w:bidi w:val="0"/>
        <w:spacing w:before="20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120"/>
        <w:jc w:val="both"/>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FactSet Research Systems Inc.</w:t>
      </w:r>
    </w:p>
    <w:p>
      <w:pPr>
        <w:pStyle w:val="TextBody"/>
        <w:bidi w:val="0"/>
        <w:spacing w:lineRule="auto" w:line="288" w:before="200" w:after="120"/>
        <w:jc w:val="both"/>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audited FactSet Research Systems Inc.’s internal control over financial reporting as of August 31, 2025, based on criteria established in Internal Control—Integrated Framework issued by the Committee of Sponsoring Organizations of the Treadway Commission (2013 framework) (the COSO criteria). In our opinion, because of the effect of the material weakness described below on the achievement of the objectives of the control criteria, FactSet Research Systems Inc. (the Company) has not maintained effective internal control over financial reporting as of August 31, 2025, based on the COSO criteria.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indicated in the accompanying Management’s Report on Internal Control over Financial Reporting, management’s assessment of and conclusion on the effectiveness of internal control over financial reporting did not include the internal controls of Liquid Holdings, LLC and Platform Group Limited, which are included in the 2025 consolidated financial statements of the Company and which in aggregate, when excluding goodwill and intangible assets, constituted 2% of total assets as of August 31, 2025 and 1% of total revenues for the year then ended. Our audit of internal control over financial reporting of the Company also did not include an evaluation of the internal control over financial reporting of Liquid Holdings, LLC and Platform Group Limited.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has identified a material weakness related to the design and operation of information technology (“IT”) general controls for certain financial applications that support the revenue, accounts receivable, and deferred revenue processes. Consequently, automated controls and IT dependent manual business process controls that rely upon information from the affected financial applications were also deemed ineffective.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consolidated balance sheets of the Company as of August 31, 2025 and 2024, the related consolidated statements of income, comprehensive income, changes in stockholders’ equity and cash flows for each of the three years in the period ended August 31, 2025, and the related notes and financial statement schedule listed in the Index at Item 15(a). This material weakness was considered in determining the nature, timing and extent of audit tests applied in our audit of the 2025 consolidated financial statements, and this report does not affect our report dated October 22, 2025, which expressed an unqualified opinion thereon.</w:t>
      </w:r>
    </w:p>
    <w:p>
      <w:pPr>
        <w:pStyle w:val="TextBody"/>
        <w:bidi w:val="0"/>
        <w:spacing w:lineRule="auto" w:line="288" w:before="200" w:after="12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120"/>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Stamford, Connecticut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October 22,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FactSet Research Systems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Income</w:t>
      </w:r>
    </w:p>
    <w:tbl>
      <w:tblPr>
        <w:tblW w:w="7428" w:type="dxa"/>
        <w:jc w:val="left"/>
        <w:tblInd w:w="0" w:type="dxa"/>
        <w:tblLayout w:type="fixed"/>
        <w:tblCellMar>
          <w:top w:w="28" w:type="dxa"/>
          <w:left w:w="28" w:type="dxa"/>
          <w:bottom w:w="28" w:type="dxa"/>
          <w:right w:w="28" w:type="dxa"/>
        </w:tblCellMar>
      </w:tblPr>
      <w:tblGrid>
        <w:gridCol w:w="1265"/>
        <w:gridCol w:w="1111"/>
        <w:gridCol w:w="1119"/>
        <w:gridCol w:w="211"/>
        <w:gridCol w:w="976"/>
        <w:gridCol w:w="109"/>
        <w:gridCol w:w="211"/>
        <w:gridCol w:w="976"/>
        <w:gridCol w:w="109"/>
        <w:gridCol w:w="211"/>
        <w:gridCol w:w="976"/>
        <w:gridCol w:w="154"/>
      </w:tblGrid>
      <w:tr>
        <w:trPr/>
        <w:tc>
          <w:tcPr>
            <w:tcW w:w="126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c>
          <w:tcPr>
            <w:tcW w:w="39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years ended August 31, </w:t>
            </w:r>
          </w:p>
        </w:tc>
      </w:tr>
      <w:tr>
        <w:trPr/>
        <w:tc>
          <w:tcPr>
            <w:tcW w:w="3495"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49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2,321,748 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2,203,056 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2,085,508 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1,573,445 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1,501,757 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1,456,301 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(45,253)</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583,954 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597,040 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537,126 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468,173 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w:t>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FactSet Research Systems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Comprehensive Income</w:t>
      </w:r>
    </w:p>
    <w:tbl>
      <w:tblPr>
        <w:tblW w:w="8012" w:type="dxa"/>
        <w:jc w:val="left"/>
        <w:tblInd w:w="0" w:type="dxa"/>
        <w:tblLayout w:type="fixed"/>
        <w:tblCellMar>
          <w:top w:w="28" w:type="dxa"/>
          <w:left w:w="28" w:type="dxa"/>
          <w:bottom w:w="28" w:type="dxa"/>
          <w:right w:w="28" w:type="dxa"/>
        </w:tblCellMar>
      </w:tblPr>
      <w:tblGrid>
        <w:gridCol w:w="1639"/>
        <w:gridCol w:w="1442"/>
        <w:gridCol w:w="1448"/>
        <w:gridCol w:w="211"/>
        <w:gridCol w:w="826"/>
        <w:gridCol w:w="109"/>
        <w:gridCol w:w="211"/>
        <w:gridCol w:w="826"/>
        <w:gridCol w:w="109"/>
        <w:gridCol w:w="211"/>
        <w:gridCol w:w="826"/>
        <w:gridCol w:w="154"/>
      </w:tblGrid>
      <w:tr>
        <w:trPr/>
        <w:tc>
          <w:tcPr>
            <w:tcW w:w="1639"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years ended August 31, </w:t>
            </w:r>
          </w:p>
        </w:tc>
      </w:tr>
      <w:tr>
        <w:trPr/>
        <w:tc>
          <w:tcPr>
            <w:tcW w:w="4529"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4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unrealized gain (loss) on cash flow hedges</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adjustment gains (losses)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612,905 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544,654 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489,415 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(1) Presented net of a tax expense of $119 thousand, tax benefit of $369 thousand, and a tax benefit of $61 thousand for the years ended August 31, 2025, 2024 and 2023, respectively.</w:t>
      </w:r>
    </w:p>
    <w:p>
      <w:pPr>
        <w:pStyle w:val="TextBody"/>
        <w:bidi w:val="0"/>
        <w:spacing w:before="200" w:after="283"/>
        <w:jc w:val="left"/>
        <w:rPr/>
      </w:pPr>
      <w:r>
        <w:rPr/>
      </w:r>
    </w:p>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FactSet Research Systems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3041"/>
        <w:gridCol w:w="2256"/>
        <w:gridCol w:w="2269"/>
        <w:gridCol w:w="211"/>
        <w:gridCol w:w="976"/>
        <w:gridCol w:w="109"/>
        <w:gridCol w:w="211"/>
        <w:gridCol w:w="976"/>
        <w:gridCol w:w="156"/>
      </w:tblGrid>
      <w:tr>
        <w:trPr/>
        <w:tc>
          <w:tcPr>
            <w:tcW w:w="3041"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share data)</w:t>
            </w:r>
          </w:p>
        </w:tc>
        <w:tc>
          <w:tcPr>
            <w:tcW w:w="26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August 31, </w:t>
            </w:r>
          </w:p>
        </w:tc>
      </w:tr>
      <w:tr>
        <w:trPr/>
        <w:tc>
          <w:tcPr>
            <w:tcW w:w="7566"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75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of reserves of $13,789 at August 31, 2025 and $14,581 at August 31, 2024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729,759 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835,848 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leasehold improvements,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1,011,129 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1,844,141 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right-of-use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4,304,272 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4,055,040 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taxes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521,306 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667,066 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1,241,131 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 non-current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2,117,859 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2,142,580 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(see Note 12)</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10,000,000 shares authorized, none issued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150,000,000 shares authorized, 43,013,266 and 42,598,915 shares issued, 37,645,870 and 37,952,270 shares outstanding at August 31, 2025 and 2024,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1,478,839 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5,367,396 and 4,646,645 shares at August 31, 2025 and 2024,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(1,375,696)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1,888,504 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2,186,413 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1,912,460 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4,304,272 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4,055,040 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FactSet Research Systems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Cash Flows</w:t>
      </w:r>
    </w:p>
    <w:tbl>
      <w:tblPr>
        <w:tblW w:w="10205" w:type="dxa"/>
        <w:jc w:val="left"/>
        <w:tblInd w:w="0" w:type="dxa"/>
        <w:tblLayout w:type="fixed"/>
        <w:tblCellMar>
          <w:top w:w="28" w:type="dxa"/>
          <w:left w:w="28" w:type="dxa"/>
          <w:bottom w:w="28" w:type="dxa"/>
          <w:right w:w="28" w:type="dxa"/>
        </w:tblCellMar>
      </w:tblPr>
      <w:tblGrid>
        <w:gridCol w:w="2206"/>
        <w:gridCol w:w="1926"/>
        <w:gridCol w:w="1935"/>
        <w:gridCol w:w="211"/>
        <w:gridCol w:w="826"/>
        <w:gridCol w:w="109"/>
        <w:gridCol w:w="109"/>
        <w:gridCol w:w="109"/>
        <w:gridCol w:w="109"/>
        <w:gridCol w:w="211"/>
        <w:gridCol w:w="826"/>
        <w:gridCol w:w="109"/>
        <w:gridCol w:w="109"/>
        <w:gridCol w:w="109"/>
        <w:gridCol w:w="109"/>
        <w:gridCol w:w="211"/>
        <w:gridCol w:w="826"/>
        <w:gridCol w:w="155"/>
      </w:tblGrid>
      <w:tr>
        <w:trPr/>
        <w:tc>
          <w:tcPr>
            <w:tcW w:w="220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41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r>
      <w:tr>
        <w:trPr/>
        <w:tc>
          <w:tcPr>
            <w:tcW w:w="606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60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divestiture of a business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effects of acquisitions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7,579</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payable, net of prepaid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726,260 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700,338 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645,573 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equipment, leasehold improvements and capitalized internal-use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(60,786)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businesses, net of cash and cash equivalents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maturity or sale of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divestiture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investing activities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(392,773)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(144,317)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(95,393)</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payments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plans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financing activities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(407,821)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(560,850)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(632,024)</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(71,284)</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(77,829)</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351,695 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422,979 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425,444 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total cash, cash equivalents and restricted cash:</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425,444 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tbl>
      <w:tblPr>
        <w:tblW w:w="8816" w:type="dxa"/>
        <w:jc w:val="left"/>
        <w:tblInd w:w="0" w:type="dxa"/>
        <w:tblLayout w:type="fixed"/>
        <w:tblCellMar>
          <w:top w:w="28" w:type="dxa"/>
          <w:left w:w="28" w:type="dxa"/>
          <w:bottom w:w="28" w:type="dxa"/>
          <w:right w:w="28" w:type="dxa"/>
        </w:tblCellMar>
      </w:tblPr>
      <w:tblGrid>
        <w:gridCol w:w="1732"/>
        <w:gridCol w:w="1524"/>
        <w:gridCol w:w="1528"/>
        <w:gridCol w:w="211"/>
        <w:gridCol w:w="826"/>
        <w:gridCol w:w="109"/>
        <w:gridCol w:w="109"/>
        <w:gridCol w:w="109"/>
        <w:gridCol w:w="109"/>
        <w:gridCol w:w="211"/>
        <w:gridCol w:w="826"/>
        <w:gridCol w:w="109"/>
        <w:gridCol w:w="109"/>
        <w:gridCol w:w="109"/>
        <w:gridCol w:w="109"/>
        <w:gridCol w:w="211"/>
        <w:gridCol w:w="721"/>
        <w:gridCol w:w="154"/>
      </w:tblGrid>
      <w:tr>
        <w:trPr/>
        <w:tc>
          <w:tcPr>
            <w:tcW w:w="1732"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Supplemental Disclosure of Cash Flow Information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year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year for income taxes, net of refunds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Supplemental Disclosure of Non-Cash Transactions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not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FactSet Research Systems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p>
      <w:pPr>
        <w:pStyle w:val="TextBody"/>
        <w:bidi w:val="0"/>
        <w:spacing w:before="0" w:after="0"/>
        <w:jc w:val="left"/>
        <w:rPr/>
      </w:pPr>
      <w:r>
        <w:rPr/>
      </w:r>
    </w:p>
    <w:tbl>
      <w:tblPr>
        <w:tblW w:w="12340" w:type="dxa"/>
        <w:jc w:val="left"/>
        <w:tblInd w:w="0" w:type="dxa"/>
        <w:tblLayout w:type="fixed"/>
        <w:tblCellMar>
          <w:top w:w="28" w:type="dxa"/>
          <w:left w:w="28" w:type="dxa"/>
          <w:bottom w:w="28" w:type="dxa"/>
          <w:right w:w="28" w:type="dxa"/>
        </w:tblCellMar>
      </w:tblPr>
      <w:tblGrid>
        <w:gridCol w:w="615"/>
        <w:gridCol w:w="277"/>
        <w:gridCol w:w="279"/>
        <w:gridCol w:w="480"/>
        <w:gridCol w:w="481"/>
        <w:gridCol w:w="186"/>
        <w:gridCol w:w="109"/>
        <w:gridCol w:w="109"/>
        <w:gridCol w:w="109"/>
        <w:gridCol w:w="196"/>
        <w:gridCol w:w="421"/>
        <w:gridCol w:w="109"/>
        <w:gridCol w:w="109"/>
        <w:gridCol w:w="109"/>
        <w:gridCol w:w="109"/>
        <w:gridCol w:w="196"/>
        <w:gridCol w:w="871"/>
        <w:gridCol w:w="109"/>
        <w:gridCol w:w="109"/>
        <w:gridCol w:w="109"/>
        <w:gridCol w:w="109"/>
        <w:gridCol w:w="435"/>
        <w:gridCol w:w="436"/>
        <w:gridCol w:w="186"/>
        <w:gridCol w:w="109"/>
        <w:gridCol w:w="109"/>
        <w:gridCol w:w="109"/>
        <w:gridCol w:w="196"/>
        <w:gridCol w:w="886"/>
        <w:gridCol w:w="109"/>
        <w:gridCol w:w="109"/>
        <w:gridCol w:w="109"/>
        <w:gridCol w:w="109"/>
        <w:gridCol w:w="196"/>
        <w:gridCol w:w="871"/>
        <w:gridCol w:w="109"/>
        <w:gridCol w:w="109"/>
        <w:gridCol w:w="109"/>
        <w:gridCol w:w="109"/>
        <w:gridCol w:w="220"/>
        <w:gridCol w:w="843"/>
        <w:gridCol w:w="123"/>
        <w:gridCol w:w="109"/>
        <w:gridCol w:w="109"/>
        <w:gridCol w:w="109"/>
        <w:gridCol w:w="196"/>
        <w:gridCol w:w="871"/>
        <w:gridCol w:w="154"/>
      </w:tblGrid>
      <w:tr>
        <w:trPr/>
        <w:tc>
          <w:tcPr>
            <w:tcW w:w="6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data)</w:t>
            </w:r>
          </w:p>
        </w:tc>
        <w:tc>
          <w:tcPr>
            <w:tcW w:w="22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br/>
              <w:t>Stockholders’</w:t>
              <w:br/>
              <w:t>Equity</w:t>
            </w:r>
          </w:p>
        </w:tc>
      </w:tr>
      <w:tr>
        <w:trPr/>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11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August 31,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41,653,218 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3,608,462 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(930,715)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(108,383)</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1,331,408 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21,242 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for employee stock plans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360,375 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83,035 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32,034 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on share repurchases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430,350 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August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42,096,628 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1,323,631 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4,071,256 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(1,122,077)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1,505,096 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(87,141)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1,619,930 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for employee stock plans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407,542 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94,745 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36,758 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on share repurchases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537,800 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(235,235)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(153,718)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August 31, 2024</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42,598,915 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1,478,839 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4,646,645 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(1,375,696)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1,888,504 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(79,613)</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1,912,460 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15,865 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for employee stock plans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325,030 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89,321 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35,421 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on share repurchases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684,960 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(300,457)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August 31, 2025</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43,013,266 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1,621,753 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5,367,396 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(1,695,429)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2,323,407 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(63,748)</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2,186,413 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before="60" w:after="283"/>
        <w:jc w:val="both"/>
        <w:rPr/>
      </w:pPr>
      <w:r>
        <w:rPr/>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NOTES TO THE CONSOLIDATED FINANCIAL STATEMENTS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FactSet Research Systems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August 31, 2025 </w:t>
      </w:r>
    </w:p>
    <w:tbl>
      <w:tblPr>
        <w:tblW w:w="5521" w:type="dxa"/>
        <w:jc w:val="left"/>
        <w:tblInd w:w="0" w:type="dxa"/>
        <w:tblLayout w:type="fixed"/>
        <w:tblCellMar>
          <w:top w:w="28" w:type="dxa"/>
          <w:left w:w="28" w:type="dxa"/>
          <w:bottom w:w="28" w:type="dxa"/>
          <w:right w:w="28" w:type="dxa"/>
        </w:tblCellMar>
      </w:tblPr>
      <w:tblGrid>
        <w:gridCol w:w="277"/>
        <w:gridCol w:w="242"/>
        <w:gridCol w:w="246"/>
        <w:gridCol w:w="1404"/>
        <w:gridCol w:w="1404"/>
        <w:gridCol w:w="1407"/>
        <w:gridCol w:w="158"/>
        <w:gridCol w:w="158"/>
        <w:gridCol w:w="225"/>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06">
              <w:r>
                <w:rPr>
                  <w:rStyle w:val="InternetLink"/>
                  <w:rFonts w:ascii="Times New Roman;serif" w:hAnsi="Times New Roman;serif"/>
                  <w:b w:val="false"/>
                  <w:color w:val="0000FF"/>
                  <w:sz w:val="20"/>
                  <w:u w:val="single"/>
                </w:rPr>
                <w:t>Note 1</w:t>
              </w:r>
            </w:hyperlink>
          </w:p>
        </w:tc>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06">
              <w:r>
                <w:rPr>
                  <w:rStyle w:val="InternetLink"/>
                  <w:rFonts w:ascii="Times New Roman;serif" w:hAnsi="Times New Roman;serif"/>
                  <w:b w:val="false"/>
                  <w:color w:val="0000FF"/>
                  <w:sz w:val="20"/>
                  <w:u w:val="single"/>
                </w:rPr>
                <w:t>Description of Business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106">
              <w:r>
                <w:rPr>
                  <w:rStyle w:val="InternetLink"/>
                  <w:rFonts w:ascii="Times New Roman;serif" w:hAnsi="Times New Roman;serif"/>
                  <w:b w:val="false"/>
                  <w:color w:val="0000FF"/>
                  <w:sz w:val="20"/>
                  <w:u w:val="single"/>
                </w:rPr>
                <w:t>62</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09">
              <w:r>
                <w:rPr>
                  <w:rStyle w:val="InternetLink"/>
                  <w:rFonts w:ascii="Times New Roman;serif" w:hAnsi="Times New Roman;serif"/>
                  <w:b w:val="false"/>
                  <w:color w:val="0000FF"/>
                  <w:sz w:val="20"/>
                  <w:u w:val="single"/>
                </w:rPr>
                <w:t>Note 2</w:t>
              </w:r>
            </w:hyperlink>
          </w:p>
        </w:tc>
        <w:tc>
          <w:tcPr>
            <w:tcW w:w="42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09">
              <w:r>
                <w:rPr>
                  <w:rStyle w:val="InternetLink"/>
                  <w:rFonts w:ascii="Times New Roman;serif" w:hAnsi="Times New Roman;serif"/>
                  <w:b w:val="false"/>
                  <w:color w:val="0000FF"/>
                  <w:sz w:val="20"/>
                  <w:u w:val="single"/>
                </w:rPr>
                <w:t>Summary of Significant Accounting Policies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109">
              <w:r>
                <w:rPr>
                  <w:rStyle w:val="InternetLink"/>
                  <w:rFonts w:ascii="Times New Roman;serif" w:hAnsi="Times New Roman;serif"/>
                  <w:b w:val="false"/>
                  <w:color w:val="0000FF"/>
                  <w:sz w:val="20"/>
                  <w:u w:val="single"/>
                </w:rPr>
                <w:t>63</w:t>
              </w:r>
            </w:hyperlink>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12">
              <w:r>
                <w:rPr>
                  <w:rStyle w:val="InternetLink"/>
                  <w:rFonts w:ascii="Times New Roman;serif" w:hAnsi="Times New Roman;serif"/>
                  <w:b w:val="false"/>
                  <w:color w:val="0000FF"/>
                  <w:sz w:val="20"/>
                  <w:u w:val="single"/>
                </w:rPr>
                <w:t>Note 3</w:t>
              </w:r>
            </w:hyperlink>
          </w:p>
        </w:tc>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12">
              <w:r>
                <w:rPr>
                  <w:rStyle w:val="InternetLink"/>
                  <w:rFonts w:ascii="Times New Roman;serif" w:hAnsi="Times New Roman;serif"/>
                  <w:b w:val="false"/>
                  <w:color w:val="0000FF"/>
                  <w:sz w:val="20"/>
                  <w:u w:val="single"/>
                </w:rPr>
                <w:t>Revenue Recognition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112">
              <w:r>
                <w:rPr>
                  <w:rStyle w:val="InternetLink"/>
                  <w:rFonts w:ascii="Times New Roman;serif" w:hAnsi="Times New Roman;serif"/>
                  <w:b w:val="false"/>
                  <w:color w:val="0000FF"/>
                  <w:sz w:val="20"/>
                  <w:u w:val="single"/>
                </w:rPr>
                <w:t>70</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15">
              <w:r>
                <w:rPr>
                  <w:rStyle w:val="InternetLink"/>
                  <w:rFonts w:ascii="Times New Roman;serif" w:hAnsi="Times New Roman;serif"/>
                  <w:b w:val="false"/>
                  <w:color w:val="0000FF"/>
                  <w:sz w:val="20"/>
                  <w:u w:val="single"/>
                </w:rPr>
                <w:t>Note 4</w:t>
              </w:r>
            </w:hyperlink>
          </w:p>
        </w:tc>
        <w:tc>
          <w:tcPr>
            <w:tcW w:w="42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15">
              <w:r>
                <w:rPr>
                  <w:rStyle w:val="InternetLink"/>
                  <w:rFonts w:ascii="Times New Roman;serif" w:hAnsi="Times New Roman;serif"/>
                  <w:b w:val="false"/>
                  <w:color w:val="0000FF"/>
                  <w:sz w:val="20"/>
                  <w:u w:val="single"/>
                </w:rPr>
                <w:t>Fair Value Measures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115">
              <w:r>
                <w:rPr>
                  <w:rStyle w:val="InternetLink"/>
                  <w:rFonts w:ascii="Times New Roman;serif" w:hAnsi="Times New Roman;serif"/>
                  <w:b w:val="false"/>
                  <w:color w:val="0000FF"/>
                  <w:sz w:val="20"/>
                  <w:u w:val="single"/>
                </w:rPr>
                <w:t>71</w:t>
              </w:r>
            </w:hyperlink>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21">
              <w:r>
                <w:rPr>
                  <w:rStyle w:val="InternetLink"/>
                  <w:rFonts w:ascii="Times New Roman;serif" w:hAnsi="Times New Roman;serif"/>
                  <w:b w:val="false"/>
                  <w:color w:val="000080"/>
                  <w:sz w:val="20"/>
                  <w:u w:val="single"/>
                </w:rPr>
                <w:t xml:space="preserve">Note </w:t>
              </w:r>
            </w:hyperlink>
            <w:hyperlink w:anchor="ib796dee8748c4638b4a4bf5def45c14d_121">
              <w:r>
                <w:rPr>
                  <w:rStyle w:val="InternetLink"/>
                  <w:rFonts w:ascii="Times New Roman;serif" w:hAnsi="Times New Roman;serif"/>
                  <w:b w:val="false"/>
                  <w:color w:val="000080"/>
                  <w:sz w:val="20"/>
                  <w:u w:val="single"/>
                </w:rPr>
                <w:t>5</w:t>
              </w:r>
            </w:hyperlink>
          </w:p>
        </w:tc>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21">
              <w:r>
                <w:rPr>
                  <w:rStyle w:val="InternetLink"/>
                  <w:rFonts w:ascii="Times New Roman;serif" w:hAnsi="Times New Roman;serif"/>
                  <w:b w:val="false"/>
                  <w:color w:val="0000FF"/>
                  <w:sz w:val="20"/>
                  <w:u w:val="single"/>
                </w:rPr>
                <w:t>Acquisitions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121">
              <w:r>
                <w:rPr>
                  <w:rStyle w:val="InternetLink"/>
                  <w:rFonts w:ascii="Times New Roman;serif" w:hAnsi="Times New Roman;serif"/>
                  <w:b w:val="false"/>
                  <w:color w:val="0000FF"/>
                  <w:sz w:val="20"/>
                  <w:u w:val="single"/>
                </w:rPr>
                <w:t>73</w:t>
              </w:r>
            </w:hyperlink>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24">
              <w:r>
                <w:rPr>
                  <w:rStyle w:val="InternetLink"/>
                  <w:rFonts w:ascii="Times New Roman;serif" w:hAnsi="Times New Roman;serif"/>
                  <w:b w:val="false"/>
                  <w:color w:val="000080"/>
                  <w:sz w:val="20"/>
                  <w:u w:val="single"/>
                </w:rPr>
                <w:t xml:space="preserve">Note </w:t>
              </w:r>
            </w:hyperlink>
            <w:hyperlink w:anchor="ib796dee8748c4638b4a4bf5def45c14d_124">
              <w:r>
                <w:rPr>
                  <w:rStyle w:val="InternetLink"/>
                  <w:rFonts w:ascii="Times New Roman;serif" w:hAnsi="Times New Roman;serif"/>
                  <w:b w:val="false"/>
                  <w:color w:val="000080"/>
                  <w:sz w:val="20"/>
                  <w:u w:val="single"/>
                </w:rPr>
                <w:t>6</w:t>
              </w:r>
            </w:hyperlink>
          </w:p>
        </w:tc>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24">
              <w:r>
                <w:rPr>
                  <w:rStyle w:val="InternetLink"/>
                  <w:rFonts w:ascii="Times New Roman;serif" w:hAnsi="Times New Roman;serif"/>
                  <w:b w:val="false"/>
                  <w:color w:val="0000FF"/>
                  <w:sz w:val="20"/>
                  <w:u w:val="single"/>
                </w:rPr>
                <w:t>Property, Equipment and Leasehold Improvements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124">
              <w:r>
                <w:rPr>
                  <w:rStyle w:val="InternetLink"/>
                  <w:rFonts w:ascii="Times New Roman;serif" w:hAnsi="Times New Roman;serif"/>
                  <w:b w:val="false"/>
                  <w:color w:val="0000FF"/>
                  <w:sz w:val="20"/>
                  <w:u w:val="single"/>
                </w:rPr>
                <w:t>75</w:t>
              </w:r>
            </w:hyperlink>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27">
              <w:r>
                <w:rPr>
                  <w:rStyle w:val="InternetLink"/>
                  <w:rFonts w:ascii="Times New Roman;serif" w:hAnsi="Times New Roman;serif"/>
                  <w:b w:val="false"/>
                  <w:color w:val="000080"/>
                  <w:sz w:val="20"/>
                  <w:u w:val="single"/>
                </w:rPr>
                <w:t xml:space="preserve">Note </w:t>
              </w:r>
            </w:hyperlink>
            <w:hyperlink w:anchor="ib796dee8748c4638b4a4bf5def45c14d_127">
              <w:r>
                <w:rPr>
                  <w:rStyle w:val="InternetLink"/>
                  <w:rFonts w:ascii="Times New Roman;serif" w:hAnsi="Times New Roman;serif"/>
                  <w:b w:val="false"/>
                  <w:color w:val="000080"/>
                  <w:sz w:val="20"/>
                  <w:u w:val="single"/>
                </w:rPr>
                <w:t>7</w:t>
              </w:r>
            </w:hyperlink>
          </w:p>
        </w:tc>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27">
              <w:r>
                <w:rPr>
                  <w:rStyle w:val="InternetLink"/>
                  <w:rFonts w:ascii="Times New Roman;serif" w:hAnsi="Times New Roman;serif"/>
                  <w:b w:val="false"/>
                  <w:color w:val="0000FF"/>
                  <w:sz w:val="20"/>
                  <w:u w:val="single"/>
                </w:rPr>
                <w:t>Goodwill</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127">
              <w:r>
                <w:rPr>
                  <w:rStyle w:val="InternetLink"/>
                  <w:rFonts w:ascii="Times New Roman;serif" w:hAnsi="Times New Roman;serif"/>
                  <w:b w:val="false"/>
                  <w:color w:val="0000FF"/>
                  <w:sz w:val="20"/>
                  <w:u w:val="single"/>
                </w:rPr>
                <w:t>75</w:t>
              </w:r>
            </w:hyperlink>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30">
              <w:r>
                <w:rPr>
                  <w:rStyle w:val="InternetLink"/>
                  <w:rFonts w:ascii="Times New Roman;serif" w:hAnsi="Times New Roman;serif"/>
                  <w:b w:val="false"/>
                  <w:color w:val="000080"/>
                  <w:sz w:val="20"/>
                  <w:u w:val="single"/>
                </w:rPr>
                <w:t xml:space="preserve">Note </w:t>
              </w:r>
            </w:hyperlink>
            <w:hyperlink w:anchor="ib796dee8748c4638b4a4bf5def45c14d_130">
              <w:r>
                <w:rPr>
                  <w:rStyle w:val="InternetLink"/>
                  <w:rFonts w:ascii="Times New Roman;serif" w:hAnsi="Times New Roman;serif"/>
                  <w:b w:val="false"/>
                  <w:color w:val="000080"/>
                  <w:sz w:val="20"/>
                  <w:u w:val="single"/>
                </w:rPr>
                <w:t>8</w:t>
              </w:r>
            </w:hyperlink>
          </w:p>
        </w:tc>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30">
              <w:r>
                <w:rPr>
                  <w:rStyle w:val="InternetLink"/>
                  <w:rFonts w:ascii="Times New Roman;serif" w:hAnsi="Times New Roman;serif"/>
                  <w:b w:val="false"/>
                  <w:color w:val="0000FF"/>
                  <w:sz w:val="20"/>
                  <w:u w:val="single"/>
                </w:rPr>
                <w:t>Intangible Assets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130">
              <w:r>
                <w:rPr>
                  <w:rStyle w:val="InternetLink"/>
                  <w:rFonts w:ascii="Times New Roman;serif" w:hAnsi="Times New Roman;serif"/>
                  <w:b w:val="false"/>
                  <w:color w:val="0000FF"/>
                  <w:sz w:val="20"/>
                  <w:u w:val="single"/>
                </w:rPr>
                <w:t>76</w:t>
              </w:r>
            </w:hyperlink>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33">
              <w:r>
                <w:rPr>
                  <w:rStyle w:val="InternetLink"/>
                  <w:rFonts w:ascii="Times New Roman;serif" w:hAnsi="Times New Roman;serif"/>
                  <w:b w:val="false"/>
                  <w:color w:val="000080"/>
                  <w:sz w:val="20"/>
                  <w:u w:val="single"/>
                </w:rPr>
                <w:t xml:space="preserve">Note </w:t>
              </w:r>
            </w:hyperlink>
            <w:hyperlink w:anchor="ib796dee8748c4638b4a4bf5def45c14d_133">
              <w:r>
                <w:rPr>
                  <w:rStyle w:val="InternetLink"/>
                  <w:rFonts w:ascii="Times New Roman;serif" w:hAnsi="Times New Roman;serif"/>
                  <w:b w:val="false"/>
                  <w:color w:val="000080"/>
                  <w:sz w:val="20"/>
                  <w:u w:val="single"/>
                </w:rPr>
                <w:t>9</w:t>
              </w:r>
            </w:hyperlink>
          </w:p>
        </w:tc>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33">
              <w:r>
                <w:rPr>
                  <w:rStyle w:val="InternetLink"/>
                  <w:rFonts w:ascii="Times New Roman;serif" w:hAnsi="Times New Roman;serif"/>
                  <w:b w:val="false"/>
                  <w:color w:val="0000FF"/>
                  <w:sz w:val="20"/>
                  <w:u w:val="single"/>
                </w:rPr>
                <w:t>Income Taxes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133">
              <w:r>
                <w:rPr>
                  <w:rStyle w:val="InternetLink"/>
                  <w:rFonts w:ascii="Times New Roman;serif" w:hAnsi="Times New Roman;serif"/>
                  <w:b w:val="false"/>
                  <w:color w:val="0000FF"/>
                  <w:sz w:val="20"/>
                  <w:u w:val="single"/>
                </w:rPr>
                <w:t>77</w:t>
              </w:r>
            </w:hyperlink>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36">
              <w:r>
                <w:rPr>
                  <w:rStyle w:val="InternetLink"/>
                  <w:rFonts w:ascii="Times New Roman;serif" w:hAnsi="Times New Roman;serif"/>
                  <w:b w:val="false"/>
                  <w:color w:val="000080"/>
                  <w:sz w:val="20"/>
                  <w:u w:val="single"/>
                </w:rPr>
                <w:t>Note 1</w:t>
              </w:r>
            </w:hyperlink>
            <w:hyperlink w:anchor="ib796dee8748c4638b4a4bf5def45c14d_136">
              <w:r>
                <w:rPr>
                  <w:rStyle w:val="InternetLink"/>
                  <w:rFonts w:ascii="Times New Roman;serif" w:hAnsi="Times New Roman;serif"/>
                  <w:b w:val="false"/>
                  <w:color w:val="000080"/>
                  <w:sz w:val="20"/>
                  <w:u w:val="single"/>
                </w:rPr>
                <w:t>0</w:t>
              </w:r>
            </w:hyperlink>
          </w:p>
        </w:tc>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36">
              <w:r>
                <w:rPr>
                  <w:rStyle w:val="InternetLink"/>
                  <w:rFonts w:ascii="Times New Roman;serif" w:hAnsi="Times New Roman;serif"/>
                  <w:b w:val="false"/>
                  <w:color w:val="0000FF"/>
                  <w:sz w:val="20"/>
                  <w:u w:val="single"/>
                </w:rPr>
                <w:t>Leases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136">
              <w:r>
                <w:rPr>
                  <w:rStyle w:val="InternetLink"/>
                  <w:rFonts w:ascii="Times New Roman;serif" w:hAnsi="Times New Roman;serif"/>
                  <w:b w:val="false"/>
                  <w:color w:val="0000FF"/>
                  <w:sz w:val="20"/>
                  <w:u w:val="single"/>
                </w:rPr>
                <w:t>80</w:t>
              </w:r>
            </w:hyperlink>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39">
              <w:r>
                <w:rPr>
                  <w:rStyle w:val="InternetLink"/>
                  <w:rFonts w:ascii="Times New Roman;serif" w:hAnsi="Times New Roman;serif"/>
                  <w:b w:val="false"/>
                  <w:color w:val="000080"/>
                  <w:sz w:val="20"/>
                  <w:u w:val="single"/>
                </w:rPr>
                <w:t>Note 1</w:t>
              </w:r>
            </w:hyperlink>
            <w:hyperlink w:anchor="ib796dee8748c4638b4a4bf5def45c14d_139">
              <w:r>
                <w:rPr>
                  <w:rStyle w:val="InternetLink"/>
                  <w:rFonts w:ascii="Times New Roman;serif" w:hAnsi="Times New Roman;serif"/>
                  <w:b w:val="false"/>
                  <w:color w:val="000080"/>
                  <w:sz w:val="20"/>
                  <w:u w:val="single"/>
                </w:rPr>
                <w:t>1</w:t>
              </w:r>
            </w:hyperlink>
          </w:p>
        </w:tc>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39">
              <w:r>
                <w:rPr>
                  <w:rStyle w:val="InternetLink"/>
                  <w:rFonts w:ascii="Times New Roman;serif" w:hAnsi="Times New Roman;serif"/>
                  <w:b w:val="false"/>
                  <w:color w:val="0000FF"/>
                  <w:sz w:val="20"/>
                  <w:u w:val="single"/>
                </w:rPr>
                <w:t>Debt</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139">
              <w:r>
                <w:rPr>
                  <w:rStyle w:val="InternetLink"/>
                  <w:rFonts w:ascii="Times New Roman;serif" w:hAnsi="Times New Roman;serif"/>
                  <w:b w:val="false"/>
                  <w:color w:val="0000FF"/>
                  <w:sz w:val="20"/>
                  <w:u w:val="single"/>
                </w:rPr>
                <w:t>82</w:t>
              </w:r>
            </w:hyperlink>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42">
              <w:r>
                <w:rPr>
                  <w:rStyle w:val="InternetLink"/>
                  <w:rFonts w:ascii="Times New Roman;serif" w:hAnsi="Times New Roman;serif"/>
                  <w:b w:val="false"/>
                  <w:color w:val="000080"/>
                  <w:sz w:val="20"/>
                  <w:u w:val="single"/>
                </w:rPr>
                <w:t>Note 1</w:t>
              </w:r>
            </w:hyperlink>
            <w:hyperlink w:anchor="ib796dee8748c4638b4a4bf5def45c14d_142">
              <w:r>
                <w:rPr>
                  <w:rStyle w:val="InternetLink"/>
                  <w:rFonts w:ascii="Times New Roman;serif" w:hAnsi="Times New Roman;serif"/>
                  <w:b w:val="false"/>
                  <w:color w:val="000080"/>
                  <w:sz w:val="20"/>
                  <w:u w:val="single"/>
                </w:rPr>
                <w:t>2</w:t>
              </w:r>
            </w:hyperlink>
          </w:p>
        </w:tc>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42">
              <w:r>
                <w:rPr>
                  <w:rStyle w:val="InternetLink"/>
                  <w:rFonts w:ascii="Times New Roman;serif" w:hAnsi="Times New Roman;serif"/>
                  <w:b w:val="false"/>
                  <w:color w:val="0000FF"/>
                  <w:sz w:val="20"/>
                  <w:u w:val="single"/>
                </w:rPr>
                <w:t>Commitments and Contingencies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142">
              <w:r>
                <w:rPr>
                  <w:rStyle w:val="InternetLink"/>
                  <w:rFonts w:ascii="Times New Roman;serif" w:hAnsi="Times New Roman;serif"/>
                  <w:b w:val="false"/>
                  <w:color w:val="0000FF"/>
                  <w:sz w:val="20"/>
                  <w:u w:val="single"/>
                </w:rPr>
                <w:t>84</w:t>
              </w:r>
            </w:hyperlink>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45">
              <w:r>
                <w:rPr>
                  <w:rStyle w:val="InternetLink"/>
                  <w:rFonts w:ascii="Times New Roman;serif" w:hAnsi="Times New Roman;serif"/>
                  <w:b w:val="false"/>
                  <w:color w:val="000080"/>
                  <w:sz w:val="20"/>
                  <w:u w:val="single"/>
                </w:rPr>
                <w:t>Note 1</w:t>
              </w:r>
            </w:hyperlink>
            <w:hyperlink w:anchor="ib796dee8748c4638b4a4bf5def45c14d_145">
              <w:r>
                <w:rPr>
                  <w:rStyle w:val="InternetLink"/>
                  <w:rFonts w:ascii="Times New Roman;serif" w:hAnsi="Times New Roman;serif"/>
                  <w:b w:val="false"/>
                  <w:color w:val="000080"/>
                  <w:sz w:val="20"/>
                  <w:u w:val="single"/>
                </w:rPr>
                <w:t>3</w:t>
              </w:r>
            </w:hyperlink>
          </w:p>
        </w:tc>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45">
              <w:r>
                <w:rPr>
                  <w:rStyle w:val="InternetLink"/>
                  <w:rFonts w:ascii="Times New Roman;serif" w:hAnsi="Times New Roman;serif"/>
                  <w:b w:val="false"/>
                  <w:color w:val="0000FF"/>
                  <w:sz w:val="20"/>
                  <w:u w:val="single"/>
                </w:rPr>
                <w:t>Stockholders' Equity</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145">
              <w:r>
                <w:rPr>
                  <w:rStyle w:val="InternetLink"/>
                  <w:rFonts w:ascii="Times New Roman;serif" w:hAnsi="Times New Roman;serif"/>
                  <w:b w:val="false"/>
                  <w:color w:val="0000FF"/>
                  <w:sz w:val="20"/>
                  <w:u w:val="single"/>
                </w:rPr>
                <w:t>86</w:t>
              </w:r>
            </w:hyperlink>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48">
              <w:r>
                <w:rPr>
                  <w:rStyle w:val="InternetLink"/>
                  <w:rFonts w:ascii="Times New Roman;serif" w:hAnsi="Times New Roman;serif"/>
                  <w:b w:val="false"/>
                  <w:color w:val="000080"/>
                  <w:sz w:val="20"/>
                  <w:u w:val="single"/>
                </w:rPr>
                <w:t>Note 1</w:t>
              </w:r>
            </w:hyperlink>
            <w:hyperlink w:anchor="ib796dee8748c4638b4a4bf5def45c14d_148">
              <w:r>
                <w:rPr>
                  <w:rStyle w:val="InternetLink"/>
                  <w:rFonts w:ascii="Times New Roman;serif" w:hAnsi="Times New Roman;serif"/>
                  <w:b w:val="false"/>
                  <w:color w:val="000080"/>
                  <w:sz w:val="20"/>
                  <w:u w:val="single"/>
                </w:rPr>
                <w:t>4</w:t>
              </w:r>
            </w:hyperlink>
          </w:p>
        </w:tc>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48">
              <w:r>
                <w:rPr>
                  <w:rStyle w:val="InternetLink"/>
                  <w:rFonts w:ascii="Times New Roman;serif" w:hAnsi="Times New Roman;serif"/>
                  <w:b w:val="false"/>
                  <w:color w:val="0000FF"/>
                  <w:sz w:val="20"/>
                  <w:u w:val="single"/>
                </w:rPr>
                <w:t>Earnings Per Share</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148">
              <w:r>
                <w:rPr>
                  <w:rStyle w:val="InternetLink"/>
                  <w:rFonts w:ascii="Times New Roman;serif" w:hAnsi="Times New Roman;serif"/>
                  <w:b w:val="false"/>
                  <w:color w:val="0000FF"/>
                  <w:sz w:val="20"/>
                  <w:u w:val="single"/>
                </w:rPr>
                <w:t>87</w:t>
              </w:r>
            </w:hyperlink>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51">
              <w:r>
                <w:rPr>
                  <w:rStyle w:val="InternetLink"/>
                  <w:rFonts w:ascii="Times New Roman;serif" w:hAnsi="Times New Roman;serif"/>
                  <w:b w:val="false"/>
                  <w:color w:val="000080"/>
                  <w:sz w:val="20"/>
                  <w:u w:val="single"/>
                </w:rPr>
                <w:t>Note 1</w:t>
              </w:r>
            </w:hyperlink>
            <w:hyperlink w:anchor="ib796dee8748c4638b4a4bf5def45c14d_151">
              <w:r>
                <w:rPr>
                  <w:rStyle w:val="InternetLink"/>
                  <w:rFonts w:ascii="Times New Roman;serif" w:hAnsi="Times New Roman;serif"/>
                  <w:b w:val="false"/>
                  <w:color w:val="000080"/>
                  <w:sz w:val="20"/>
                  <w:u w:val="single"/>
                </w:rPr>
                <w:t>5</w:t>
              </w:r>
            </w:hyperlink>
          </w:p>
        </w:tc>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51">
              <w:r>
                <w:rPr>
                  <w:rStyle w:val="InternetLink"/>
                  <w:rFonts w:ascii="Times New Roman;serif" w:hAnsi="Times New Roman;serif"/>
                  <w:b w:val="false"/>
                  <w:color w:val="0000FF"/>
                  <w:sz w:val="20"/>
                  <w:u w:val="single"/>
                </w:rPr>
                <w:t>Stock-Based Compensation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151">
              <w:r>
                <w:rPr>
                  <w:rStyle w:val="InternetLink"/>
                  <w:rFonts w:ascii="Times New Roman;serif" w:hAnsi="Times New Roman;serif"/>
                  <w:b w:val="false"/>
                  <w:color w:val="0000FF"/>
                  <w:sz w:val="20"/>
                  <w:u w:val="single"/>
                </w:rPr>
                <w:t>88</w:t>
              </w:r>
            </w:hyperlink>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54">
              <w:r>
                <w:rPr>
                  <w:rStyle w:val="InternetLink"/>
                  <w:rFonts w:ascii="Times New Roman;serif" w:hAnsi="Times New Roman;serif"/>
                  <w:b w:val="false"/>
                  <w:color w:val="000080"/>
                  <w:sz w:val="20"/>
                  <w:u w:val="single"/>
                </w:rPr>
                <w:t>Note 1</w:t>
              </w:r>
            </w:hyperlink>
            <w:hyperlink w:anchor="ib796dee8748c4638b4a4bf5def45c14d_154">
              <w:r>
                <w:rPr>
                  <w:rStyle w:val="InternetLink"/>
                  <w:rFonts w:ascii="Times New Roman;serif" w:hAnsi="Times New Roman;serif"/>
                  <w:b w:val="false"/>
                  <w:color w:val="000080"/>
                  <w:sz w:val="20"/>
                  <w:u w:val="single"/>
                </w:rPr>
                <w:t>6</w:t>
              </w:r>
            </w:hyperlink>
          </w:p>
        </w:tc>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54">
              <w:r>
                <w:rPr>
                  <w:rStyle w:val="InternetLink"/>
                  <w:rFonts w:ascii="Times New Roman;serif" w:hAnsi="Times New Roman;serif"/>
                  <w:b w:val="false"/>
                  <w:color w:val="0000FF"/>
                  <w:sz w:val="20"/>
                  <w:u w:val="single"/>
                </w:rPr>
                <w:t>Employee Benefit Plans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154">
              <w:r>
                <w:rPr>
                  <w:rStyle w:val="InternetLink"/>
                  <w:rFonts w:ascii="Times New Roman;serif" w:hAnsi="Times New Roman;serif"/>
                  <w:b w:val="false"/>
                  <w:color w:val="0000FF"/>
                  <w:sz w:val="20"/>
                  <w:u w:val="single"/>
                </w:rPr>
                <w:t>91</w:t>
              </w:r>
            </w:hyperlink>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57">
              <w:r>
                <w:rPr>
                  <w:rStyle w:val="InternetLink"/>
                  <w:rFonts w:ascii="Times New Roman;serif" w:hAnsi="Times New Roman;serif"/>
                  <w:b w:val="false"/>
                  <w:color w:val="000080"/>
                  <w:sz w:val="20"/>
                  <w:u w:val="single"/>
                </w:rPr>
                <w:t>Note 1</w:t>
              </w:r>
            </w:hyperlink>
            <w:hyperlink w:anchor="ib796dee8748c4638b4a4bf5def45c14d_157">
              <w:r>
                <w:rPr>
                  <w:rStyle w:val="InternetLink"/>
                  <w:rFonts w:ascii="Times New Roman;serif" w:hAnsi="Times New Roman;serif"/>
                  <w:b w:val="false"/>
                  <w:color w:val="000080"/>
                  <w:sz w:val="20"/>
                  <w:u w:val="single"/>
                </w:rPr>
                <w:t>7</w:t>
              </w:r>
            </w:hyperlink>
          </w:p>
        </w:tc>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796dee8748c4638b4a4bf5def45c14d_157">
              <w:r>
                <w:rPr>
                  <w:rStyle w:val="InternetLink"/>
                  <w:rFonts w:ascii="Times New Roman;serif" w:hAnsi="Times New Roman;serif"/>
                  <w:b w:val="false"/>
                  <w:color w:val="0000FF"/>
                  <w:sz w:val="20"/>
                  <w:u w:val="single"/>
                </w:rPr>
                <w:t>Segment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796dee8748c4638b4a4bf5def45c14d_157">
              <w:r>
                <w:rPr>
                  <w:rStyle w:val="InternetLink"/>
                  <w:rFonts w:ascii="Times New Roman;serif" w:hAnsi="Times New Roman;serif"/>
                  <w:b w:val="false"/>
                  <w:color w:val="0000FF"/>
                  <w:sz w:val="20"/>
                  <w:u w:val="single"/>
                </w:rPr>
                <w:t>91</w:t>
              </w:r>
            </w:hyperlink>
          </w:p>
        </w:tc>
      </w:tr>
      <w:tr>
        <w:trPr/>
        <w:tc>
          <w:tcPr>
            <w:tcW w:w="765"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765"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1. DESCRIPTION OF BUSINESS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FactSet Research Systems Inc. and its wholly-owned subsidiaries ("we," "our," "us," the "Company" or "FactSet") is a global financial digital platform and enterprise solutions provider with open and flexible technologies that deliver financial intelligence to investment professionals worldwide.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Our platform delivers expansive data, sophisticated analytics, and flexible, artificial intelligence ("AI")-powered technology used by global financial professionals to power their critical investment workflows. As of August 31, 2025, we had approximately 9,000 clients comprised of over 237,000 investment professionals, including institutional asset managers, bankers, wealth managers, asset owners, partners, hedge funds, corporate users, and private equity and venture capital professionals. Our revenues are primarily derived from subscriptions to our multi-asset class data and solutions powered by our connected data and technology platform. Our products and services include workstations, portfolio analytics and enterprise data solutions. We also offer managed services that operate as an extension of our clients' internal teams to support data, performance, risk and reporting workflows.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drive our business based on a detailed understanding of our clients’ workflows, which helps us to solve their most complex challenges. We provide financial data and market intelligence on securities, companies, industries and people to enable our clients to research investment ideas and analyze, monitor and manage their portfolios. Our solutions span the investment lifecycle of investment research, portfolio construction and analysis, trade execution, performance measurement, risk management and reporting. We provide open and flexible technology offerings, including a configurable desktop and mobile platform, comprehensive data feeds, cloud-based digital solutions, and application programming interfaces ("APIs"). AI is embedded across these offerings to enhance data discovery, automate routine workflows and improve the speed and accuracy of client insights. The CUSIP Global Services ("CGS") business supports security master files relied on by the investment industry for critical front, middle and back-office functions. All of our platforms and solutions are supported by our dedicated client service team. </w:t>
      </w:r>
    </w:p>
    <w:p>
      <w:pPr>
        <w:pStyle w:val="TextBody"/>
        <w:bidi w:val="0"/>
        <w:spacing w:lineRule="auto" w:line="288" w:before="200" w:after="283"/>
        <w:jc w:val="both"/>
        <w:rPr/>
      </w:pPr>
      <w:r>
        <w:rPr>
          <w:rFonts w:ascii="Times New Roman;serif" w:hAnsi="Times New Roman;serif"/>
          <w:b w:val="false"/>
          <w:color w:val="000000"/>
          <w:sz w:val="20"/>
        </w:rPr>
        <w:t>We operate our business through three</w:t>
      </w:r>
      <w:r>
        <w:rPr>
          <w:color w:val="EE2724"/>
        </w:rPr>
        <w:t xml:space="preserve"> </w:t>
      </w:r>
      <w:r>
        <w:rPr>
          <w:rFonts w:ascii="Times New Roman;serif" w:hAnsi="Times New Roman;serif"/>
          <w:b w:val="false"/>
          <w:color w:val="000000"/>
          <w:sz w:val="20"/>
        </w:rPr>
        <w:t xml:space="preserve">reportable segments ("segments"): the Americas, EMEA and Asia Pacific. Within each segment, we offer data, products and analytical applications by firm type: Institutional Buyside, Dealmakers, Wealth, and Partnerships and CGS. Refer to Note 17, </w:t>
      </w:r>
      <w:r>
        <w:rPr>
          <w:rFonts w:ascii="Times New Roman;serif" w:hAnsi="Times New Roman;serif"/>
          <w:b w:val="false"/>
          <w:i/>
          <w:color w:val="000000"/>
          <w:sz w:val="20"/>
        </w:rPr>
        <w:t xml:space="preserve">Segment Information </w:t>
      </w:r>
      <w:r>
        <w:rPr>
          <w:rFonts w:ascii="Times New Roman;serif" w:hAnsi="Times New Roman;serif"/>
          <w:b w:val="false"/>
          <w:color w:val="000000"/>
          <w:sz w:val="20"/>
        </w:rPr>
        <w:t xml:space="preserve">for further discussion on our segments.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2. SUMMARY OF SIGNIFICANT ACCOUNTING POLICIES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conduct business globally and manage our business on a geographic basis. The accompanying Consolidated Financial Statements and Notes to the Consolidated Financial Statements included in this Annual Report on Form 10-K are prepared in accordance with generally accepted accounting principles in the United States ("GAAP") for annual financial information and the instructions to Form 10-K and Article 10 of Regulation S-X. The accompanying Consolidated Financial Statements include our accounts and those of our wholly-owned subsidiaries; all intercompany activity and balances have been eliminated.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Reclassifications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year ended August 31, 2025, asset impairments were included within Selling, general and administrative ("SG&amp;A") in the Consolidated Statements of Income and within Other, net in the Consolidated Statements of Cash Flows. We conformed the comparative prior year figures to the current year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year ended August 31, 2025, Prepaid expenses and other assets, previously included within Other, net, were presented as a separate component of Cash Flows from Operating Activities in the Consolidated Statements of Cash Flows. We conformed the comparative prior year figures to the current year presentation.</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our Consolidated Financial Statements and related disclosures in conformity with GAAP required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estimation may be involved in the accounting for income taxes, stock-based compensation, goodwill, business combinations, property, equipment and leasehold improvements ("PPE"), intangible assets and contingencies. We base our estimates on historical experience and on various other assumptions that are believed to be reasonable, the results of which form the basis for making judgments about the carrying values of our assets and liabilities. Actual results could differ materially from those estimates. </w:t>
      </w:r>
    </w:p>
    <w:p>
      <w:pPr>
        <w:pStyle w:val="TextBody"/>
        <w:bidi w:val="0"/>
        <w:spacing w:lineRule="auto" w:line="288" w:before="200" w:after="283"/>
        <w:jc w:val="both"/>
        <w:rPr/>
      </w:pPr>
      <w:r>
        <w:rPr>
          <w:rFonts w:ascii="Times New Roman;serif" w:hAnsi="Times New Roman;serif"/>
          <w:b w:val="false"/>
          <w:color w:val="000000"/>
          <w:sz w:val="20"/>
        </w:rPr>
        <w:t xml:space="preserve">Refer to Part II, Item 7. </w:t>
      </w:r>
      <w:r>
        <w:rPr>
          <w:rFonts w:ascii="Times New Roman;serif" w:hAnsi="Times New Roman;serif"/>
          <w:b w:val="false"/>
          <w:i/>
          <w:color w:val="000000"/>
          <w:sz w:val="20"/>
        </w:rPr>
        <w:t>Management's Discussion and Analysis of Financial Condition and Results of Operations, Critical Accounting Estimates</w:t>
      </w:r>
      <w:r>
        <w:rPr>
          <w:rFonts w:ascii="Times New Roman;serif" w:hAnsi="Times New Roman;serif"/>
          <w:b w:val="false"/>
          <w:color w:val="000000"/>
          <w:sz w:val="20"/>
        </w:rPr>
        <w:t>, of this Annual Report on Form 10-K for further discussion on our use of estimates.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Revenue Recognition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majority of our revenues are derived from client access to our multi-asset solutions powered by our platform of connected data and technology that is available over the contractual term (referred to as the "Hosted Platform"). The Hosted Platform is a subscription-based service that provides client access to various combinations of products and services including workstations, portfolio analytics and enterprise solutions. In addition, through the CGS platform, we provide subscription access to a database of universally recognized security identifiers reflecting differentiating characteristics for issuers and their financial instruments (referred to as the "Identifier Platform").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Revenues from our products and services are recognized as we transfer control to our clients, in an amount that reflects the consideration we expect to receive in exchange for satisfying our performance obligations. We record revenues net of sales taxes which are subsequently remitted to taxing authorities and are excluded from the transaction price. We determined the majority of our contracts with clients, whether for our Hosted Platform or Identifier Platform service, each represent a single performance obligation covering a series of distinct products and services that are substantially the same and that have the same pattern of transfer to the client. The primary nature of our promise to the client is to provide daily access to each of these data and analytics platforms, with revenue recognized over-time as performance is satisfied on an output time-based measure of progress, as the client is simultaneously receiving and consuming the benefits of the platform.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record deferred revenues when payments are received in advance of performance under the client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stock-based compensation expense consists of:</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Stock options, restricted stock units ("RSUs") and performance share units ("PSUs") issued to eligible employees under the FactSet Research Systems Inc. Stock Option and Award Plan, as Amended and Restated (the "LTIP").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Stock options and RSUs issued to non-employee members of the Board of Directors ("non-employee directors") under the FactSet Research Systems Inc. Non-Employee Directors’ Stock Option and Award Plan as Amended and Restated (the "Director Plan").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Common stock purchased by eligible employees under the FactSet Research Systems Inc. Employee Stock Purchase Plan as Amended and Restated (the "ESPP").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measure and recognize stock-based compensation expense for all stock-based awards and purchases of common stock under the ESPP based on their estimated grant date fair value.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utilize a lattice-binomial option-pricing model ("binomial model") to estimate the grant date fair value for our employee stock options and the Black-Scholes model to estimate the grant date fair value for non-employee director stock options and common stock purchased by eligible employees under our ESPP.</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Both the binomial model and Black-Scholes model involve certain estimates and assumptions such as:</w:t>
      </w:r>
    </w:p>
    <w:p>
      <w:pPr>
        <w:pStyle w:val="TextBody"/>
        <w:bidi w:val="0"/>
        <w:spacing w:lineRule="auto" w:line="288" w:before="200" w:after="283"/>
        <w:ind w:left="0" w:right="0" w:hanging="360"/>
        <w:jc w:val="both"/>
        <w:rPr/>
      </w:pPr>
      <w:r>
        <w:rPr>
          <w:color w:val="000000"/>
        </w:rPr>
        <w:t>•</w:t>
      </w:r>
      <w:r>
        <w:rPr>
          <w:rFonts w:ascii="Times New Roman;serif" w:hAnsi="Times New Roman;serif"/>
          <w:b/>
          <w:i/>
          <w:color w:val="000000"/>
          <w:sz w:val="20"/>
        </w:rPr>
        <w:t>Risk-free interest rate</w:t>
      </w:r>
      <w:r>
        <w:rPr>
          <w:color w:val="000000"/>
        </w:rPr>
        <w:t xml:space="preserve"> </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based on the United States ("U.S.") Treasury yield curve in effect at the time of grant with maturities equal to the expected terms of the stock-based awards granted. </w:t>
      </w:r>
    </w:p>
    <w:p>
      <w:pPr>
        <w:pStyle w:val="TextBody"/>
        <w:bidi w:val="0"/>
        <w:spacing w:lineRule="auto" w:line="288" w:before="100" w:after="283"/>
        <w:ind w:left="0" w:right="0" w:hanging="360"/>
        <w:jc w:val="both"/>
        <w:rPr/>
      </w:pPr>
      <w:r>
        <w:rPr>
          <w:color w:val="000000"/>
        </w:rPr>
        <w:t>•</w:t>
      </w:r>
      <w:r>
        <w:rPr>
          <w:rFonts w:ascii="Times New Roman;serif" w:hAnsi="Times New Roman;serif"/>
          <w:b/>
          <w:i/>
          <w:color w:val="000000"/>
          <w:sz w:val="20"/>
        </w:rPr>
        <w:t>Expected life</w:t>
      </w:r>
      <w:r>
        <w:rPr>
          <w:color w:val="000000"/>
        </w:rPr>
        <w:t xml:space="preserve">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the weighted average period the stock-based awards are expected to remain outstanding.</w:t>
      </w:r>
    </w:p>
    <w:p>
      <w:pPr>
        <w:pStyle w:val="TextBody"/>
        <w:bidi w:val="0"/>
        <w:spacing w:lineRule="auto" w:line="288" w:before="100" w:after="283"/>
        <w:ind w:left="0" w:right="0" w:hanging="360"/>
        <w:jc w:val="both"/>
        <w:rPr/>
      </w:pPr>
      <w:r>
        <w:rPr>
          <w:color w:val="000000"/>
        </w:rPr>
        <w:t>•</w:t>
      </w:r>
      <w:r>
        <w:rPr>
          <w:rFonts w:ascii="Times New Roman;serif" w:hAnsi="Times New Roman;serif"/>
          <w:b/>
          <w:i/>
          <w:color w:val="000000"/>
          <w:sz w:val="20"/>
        </w:rPr>
        <w:t>Expected volatility</w:t>
      </w:r>
      <w:r>
        <w:rPr>
          <w:color w:val="000000"/>
        </w:rPr>
        <w:t xml:space="preserve"> </w:t>
      </w:r>
      <w:r>
        <w:rPr>
          <w:rFonts w:ascii="Times New Roman;serif" w:hAnsi="Times New Roman;serif"/>
          <w:b w:val="false"/>
          <w:color w:val="000000"/>
          <w:sz w:val="20"/>
        </w:rPr>
        <w:t xml:space="preserve">- based on a blend of historical volatility of the stock-based award's useful life and the weighted average implied volatility for call option contracts traded in the 90 days preceding the stock-based award's valuation date. </w:t>
      </w:r>
    </w:p>
    <w:p>
      <w:pPr>
        <w:pStyle w:val="TextBody"/>
        <w:bidi w:val="0"/>
        <w:spacing w:lineRule="auto" w:line="288" w:before="100" w:after="283"/>
        <w:ind w:left="0" w:right="0" w:hanging="360"/>
        <w:jc w:val="both"/>
        <w:rPr/>
      </w:pPr>
      <w:r>
        <w:rPr>
          <w:color w:val="000000"/>
        </w:rPr>
        <w:t>•</w:t>
      </w:r>
      <w:r>
        <w:rPr>
          <w:rFonts w:ascii="Times New Roman;serif" w:hAnsi="Times New Roman;serif"/>
          <w:b/>
          <w:i/>
          <w:color w:val="000000"/>
          <w:sz w:val="20"/>
        </w:rPr>
        <w:t>Dividend yield</w:t>
      </w:r>
      <w:r>
        <w:rPr>
          <w:color w:val="000000"/>
        </w:rPr>
        <w:t xml:space="preserve">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the expectation of dividend payouts based on our history.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binomial model also incorporates market conditions, vesting restrictions and exercise patterns.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RSUs and PSUs (collectively, "Restricted Stock Awards"), the grant date fair value is measured by reducing the grant date price of our common stock by the present value of expected future dividend payments on the underlying stock during the requisite service period, discounted at the appropriate risk-free interest rate. The number of PSUs granted assumes target-level achievement of the specified performance levels within the payout range. The ultimate number of common shares that may be earned pursuant to our PSU awards depends on the level of our achievement of stated financial performance objectives.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for stock option and RSU awards is recognized over the requisite service period using the straight-line method. For these awards, the amount of stock-based compensation expense recognized on any date is at least equal to the vested portion of the award on that date.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PSUs require us to make assumptions regarding the probability of achieving specified performance levels established at the time of grant. We recognize stock-based compensation expense for PSUs using the straight-line method over the requisite service period. The probability of achieving the specified performance levels is reviewed on a quarterly basis to ensure the amount of stock-based compensation expense appropriately reflects the expected achievement.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our ESPP, stock-based compensation expense is recognized on a straight-line basis over the offering period.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stock-based awards are generally subject to the continued employment for employees, or continued service for non-employee directors, through the applicable vesting date. Compensation expense for stock-based awards is recorded net of estimated forfeitures, which are based on historical forfeiture rates and are revised if actual forfeitures differ from those estimates.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Research and Product Development Costs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do not have a separate research and product development department, but rather we rely on collaboration across departments, with costs primarily consisting of employee compensation costs, such as salaries and related benefits for our product development, software engineering and technical support departments, as well as certain third party costs. These teams collaborate with our strategists, product and content managers, technologists, sales and other team members to develop new products and process innovations and enhance existing products. Our research and product development costs are expensed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incurred and are primarily recorded in employee compensation costs, which are included in our Cost of services and Selling, general and administrative ("SG&amp;A") expenses in the Consolidated Statements of Income, dependent on the nature of the team. We incurred research and product development costs of $300.7 million, $265.2 million and $267.4 million during fiscal 2025, 2024 and 2023, respectively.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account for income taxes using the asset and liability method. Under this method, deferred tax assets and liabilities are recorded for the temporary differences between the financial statement and the tax basis of assets and liabilities. In addition, deferred tax assets and liabilities are recorded for net operating loss carryforwards ("NOLs") and tax credit carryforwards. Deferred tax assets and liabilities are measured using the currently enacted tax rates that apply to taxable income in effect for the years in which they are expected to be realized or settled. Deferred tax assets are evaluated for future realization and reduced by a valuation allowance to the amount that is more likely than not (defined as a likelihood of more than 50%) to be realized.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Applicable accounting guidance prescribes a comprehensive model for financial statement recognition, measurement, classification and disclosure of uncertain tax positions that a company has taken or expects to take on a tax return. We follow a two-step approach in recognizing and measuring uncertain tax positions. The first step is to evaluate the tax position for recognition by determining if the weight of available evidence indicates that it is more likely than not (defined as a likelihood of more than 50%) that a tax position will be sustained based on its technical merits as of the reporting date. The second step, for those positions that meet the recognition criteria, is to measure and recognize the largest amount of benefit that is greater than 50% likely of being realized upon effective settlement with a taxing authority. We classify the liability for unrecognized tax benefits as Taxes Payable (non-current) and to the extent we anticipate payment of cash within one year, the benefit is classified as Current taxes payable in the Consolidated Balance Sheets.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determination of liabilities related to uncertain tax positions and associated interest and penalties requires significant estimates and assumptions; as such, there can be no assurance that we will accurately predict the outcome. For this reason and due to ongoing audits by multiple tax authorities, we regularly engage in discussions and negotiations with tax authorities regarding tax matters in various jurisdictions. We adjust these reserves in light of changing facts and circumstances, such as the closing of a tax audit or the refinement of an estimate. To the extent that the final outcome of these matters is different than the amounts recorded, such differences will affect the provision for income taxes in the period in which such determination is made.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accrue interest on all income tax exposures for which reserves have been established consistent with jurisdictional tax laws, and recognize this interest in the Provision for income taxes in the Consolidated Statements of Income and in Current taxes payable or Taxes payable (non-current), based on the expected timing of the payment, within the Consolidated Balance Sheets.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Cash and cash equivalents consist of cash and highly liquid investments including demand deposits and money market funds available for withdrawal without restriction or with original maturities of 90 days or less. The carrying value of our cash and cash equivalents approximates fair value.</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Accounts Receivable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Accounts receivable includes both invoiced and unbilled receivables, net of allowance for any potential uncollectible amounts. Unbilled receivables reflect revenues earned for which we have the unconditional right to payment, even though we have not yet issued an invoice. Amounts included in accounts receivable are expected to be collected within one year. Our allowance for expected credit losses is based on a variety of factors, including collectability trends, our historical write-off activity, current economic environment, client-specific information and expectations of future economic conditions. Our allowance is recorded to SG&amp;A in the Consolidated Statements of Income and we assess the adequacy of the allowance on a quarterly basis. Recoveries of accounts previously reserved are recognized as a reversal to SG&amp;A when payment is received. We write-off accounts receivable balances when we have exhausted our collection efforts.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Property, Equipment and Leasehold Improvements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PPE are stated at cost, less accumulated depreciation and amortization. Property and equipment are depreciated based on the straight-line method over the estimated useful lives of the assets, ranging from three to five years for computers and related equipment and seven years for furniture and fixtures. Leasehold improvements are amortized on a straight-line basis over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shorter of their respective useful lives or the related lease term. Repairs and maintenance expenditures, which are not considered leasehold improvements and do not extend the useful life of the property and equipment, are expensed as incurred.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review our PPE to determine if any indicators of impairment are present on a quarterly basis or whenever events or changes in circumstances indicate that the carrying amount of an asset group may not be recoverable. If indicators of impairment are present, the asset group is tested for impairment by comparing its carrying value to its undiscounted cash flows and if impaired, written down to fair value based on its discounted cash flows. In addition, we periodically evaluate the estimated remaining useful lives of our PPE to determine whether events or changes in circumstances warrant a revision to the remaining period of depreciation or amortization.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200" w:after="283"/>
        <w:jc w:val="both"/>
        <w:rPr/>
      </w:pPr>
      <w:r>
        <w:rPr>
          <w:rFonts w:ascii="Times New Roman;serif" w:hAnsi="Times New Roman;serif"/>
          <w:b w:val="false"/>
          <w:color w:val="000000"/>
          <w:sz w:val="20"/>
        </w:rPr>
        <w:t>We recognize the excess of the purchase price over the fair value of identifiable net assets acquired at the acquisition date as goodwill. Goodwill is not amortized as it is estimated to</w:t>
      </w:r>
      <w:r>
        <w:rPr>
          <w:color w:val="000000"/>
          <w:shd w:fill="FFFFFF" w:val="clear"/>
        </w:rPr>
        <w:t xml:space="preserve"> </w:t>
      </w:r>
      <w:r>
        <w:rPr>
          <w:rFonts w:ascii="Times New Roman;serif" w:hAnsi="Times New Roman;serif"/>
          <w:b w:val="false"/>
          <w:color w:val="000000"/>
          <w:sz w:val="20"/>
          <w:shd w:fill="FFFFFF" w:val="clear"/>
        </w:rPr>
        <w:t>have an indefinite life and is teste</w:t>
      </w:r>
      <w:r>
        <w:rPr>
          <w:rFonts w:ascii="Times New Roman;serif" w:hAnsi="Times New Roman;serif"/>
          <w:b w:val="false"/>
          <w:color w:val="000000"/>
          <w:sz w:val="20"/>
        </w:rPr>
        <w:t>d for impairment at the reporting unit level annually, or more frequently if impairment indicators occur. Goodwill is deemed to be impaired and written-down in the period in which the carrying value of the reporting unit exceeds its fair value. We have three reporting units, Americas, EMEA and Asia Pacific, which are consistent with our operating segments.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When assessing goodwill for impairment, we may first elect to perform a qualitative analysis for the reporting units to determine whether it is more likely than not (a likelihood of more than 50 percent) that the fair value of the reporting unit is less than its carrying value. If the qualitative analysis indicates that it is more likely than not the fair value of a reporting unit is less than its carrying value or if we elect not to perform a qualitative analysis, a quantitative analysis is performed to determine whether a goodwill impairment exists.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quantitative goodwill impairment analysis is used to identify potential impairment by comparing the carrying value of a reporting unit with its fair value. To perform this analysis, we apply the income approach which utilizes discounted cash flows, along with other relevant market information. The annual review of the carrying value of goodwill requires us to develop estimates of expected cash flows by reporting unit, based on future business performance, discounted by their respective weighted average cost of capital. Changes in our estimates can impact the present value of expected cash flows used in determining fair value of a reporting unit. If the carrying value of the reporting unit exceeds the fair value, then the goodwill is considered impaired and written down to the reporting unit’s fair value. The impairment loss for the reporting unit cannot exceed the carrying value of the goodwill allocated to that reporting unit.</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Intangible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amortize intangible assets over their estimated useful lives, assuming no residual value. We evaluate the useful lives annually to determine whether events and circumstances warrant a revision to the remaining period of amortization. If the estimate of the remaining useful life is changed, the remaining carrying amount of the intangible asset is amortized prospectively over that revised remaining useful life.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are tested for impairment qualitatively on a quarterly basis or whenever events or changes in circumstances indicate that the carrying amount of an asset group is not recoverable. If indicators of impairment are present, the asset group is tested for impairment by comparing its carrying value to undiscounted cash flows and, if impaired, written down to fair value based on discounted cash flows.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Internal-use Software and Implementation Costs of Hosting Arrangements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developed technology intangible assets (“Developed technology”) consist of capitalized internal-use software costs, such as employee compensation and external expenses incurred during the application development phase, as well as costs related to upgrades and enhancements that add functionality, and software acquired for internal use. These costs are recorded in Intangible assets, net on the Consolidated Balance Sheets. We also capitalize qualifying implementation costs for hosting arrangements that meet the capitalization criteria per the internal-use software guidance within Other assets on the Consolidated Balance Sheets. Our Developed technology and implementation assets are typically amortized over three to five years using the straight-line method.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200" w:after="283"/>
        <w:jc w:val="both"/>
        <w:rPr/>
      </w:pPr>
      <w:r>
        <w:rPr>
          <w:rFonts w:ascii="Times New Roman;serif" w:hAnsi="Times New Roman;serif"/>
          <w:b w:val="false"/>
          <w:color w:val="212529"/>
          <w:sz w:val="20"/>
        </w:rPr>
        <w:t>Our operating lease arrangements relate to our office space and data centers</w:t>
      </w:r>
      <w:r>
        <w:rPr>
          <w:rFonts w:ascii="Times New Roman;serif" w:hAnsi="Times New Roman;serif"/>
          <w:b w:val="false"/>
          <w:color w:val="000000"/>
          <w:sz w:val="20"/>
        </w:rPr>
        <w:t xml:space="preserve">. We determine if an arrangement qualifies as a lease at inception by evaluating if there is an identified asset and whether we obtain substantially all the economic benefits of and have the right to control the use of an asset. For operating leases with a term greater than one year, we recognize lease right-of-use ("ROU") assets and lease liabilities as the present value of future minimum lease payments over the reasonably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certain lease term beginning at the commencement or modification date. The future minimum lease payments include fixed lease payments and certain qualifying index-based variable payments. Our lease ROU assets may further be impacted by prepayments, lease incentives received and initial direct costs incurred. Our operating leases are classified within Lease right-of-use assets, net, Current lease liabilities and Long-term lease liabilities on our Consolidated Balance Sheets.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leases generally do not have a readily determinable implicit rate; therefore, we use our incremental borrowing rate ("IBR") at the lease commencement, or on the date of lease modification, if applicable, in determining the present value of future payments. Our IBR is derived by selecting U.S. corporate yield curves observed for public companies that are reflective of our credit rating, adjusted to approximate a secured rate of borrowing. We also consider revisions to the rate to reflect the geographic location where the leased asset is located.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lease agreements include options to extend and/or terminate the lease, which we do not include in our minimum lease terms unless we are reasonably certain to exercise these options. We account for the lease and non-lease components as a single lease component, which we recognize over the expected term on a straight-line expense basis in occupancy costs (a component of SG&amp;A expense in the Consolidated Statements of Income). Variable lease payments that are not included in the calculation of lease ROU assets and lease liabilities are expensed as incurred within occupancy costs.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review our lease ROU assets for impairment when there are indicators that an asset may no longer be recoverable. The impairment assessment requires significant judgments and estimates, including estimating subtenant rental income, calculating an appropriate discount rate and assessing other applicable future cash flows associated with the leased location. These estimates are based on our experience and knowledge of the market in which the property is located, previous efforts to dispose of similar assets and the assessment of existing market conditions. Impairments are recognized as a reduction to the carrying value of the Lease right-of-use assets, net with a corresponding increase to SG&amp;A on our Consolidated Balance Sheets and Consolidated Statements of Income, respectively.</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Treasury Stock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account for treasury stock under the cost method and present it within Treasury stock as a component of Stockholders' equity on the Consolidated Balance Sheets. We may repurchase shares of our common stock under our share repurchase program in the open market or via privately negotiated transactions, subject to market conditions. Repurchased shares of our common stock are recorded at the market price on the trade date and are held as treasury shares until they are reissued or retired. When treasury shares are reissued, if the issuance price is higher than the average price paid to acquire the shares ("the cost"), the excess of the issuance price over the cost is credited to additional paid-in capital ("APIC"). If the issuance is lower than the cost, the difference is first charged against any credit balance in APIC from Treasury stock, with the remaining balance charged to Retained earnings on the Consolidated Balance Sheets.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account for the formal retirement of treasury shares by deducting its par value from Common stock, reflecting any excess over par value as a reduction to APIC (to the extent created by previous issuances of the shares) and then Retained earnings on the Consolidated Balance Sheets.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Inflation Reduction Act of 2022 ("IRA"), which was enacted into law on August 16, 2022, imposed a nondeductible 1% excise tax on the net value of certain stock repurchases made after December 31, 2022. We record the applicable excise tax in Treasury stock, as part of the cost basis of the stock repurchased, and a corresponding liability for the excise taxes payable in Accounts payable and accrued expenses on the Consolidated Balance Sheets.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Fair Value Measurements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is permissible. The inputs to these methodologies consider market comparable information, taking into account the principal or most advantageous market in which we would transact. 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Foreign Currency Translation and Remeasurement</w:t>
      </w:r>
    </w:p>
    <w:p>
      <w:pPr>
        <w:pStyle w:val="TextBody"/>
        <w:bidi w:val="0"/>
        <w:spacing w:lineRule="auto" w:line="288" w:before="200" w:after="283"/>
        <w:jc w:val="both"/>
        <w:rPr/>
      </w:pPr>
      <w:r>
        <w:rPr>
          <w:rFonts w:ascii="Times New Roman;serif" w:hAnsi="Times New Roman;serif"/>
          <w:b w:val="false"/>
          <w:color w:val="000000"/>
          <w:sz w:val="20"/>
        </w:rPr>
        <w:t>Certain wholly-owned subsidiaries operate under a functional currency different from the U.S. dollar. Our primary currency exposures include th</w:t>
      </w:r>
      <w:r>
        <w:rPr>
          <w:rFonts w:ascii="Times New Roman;serif" w:hAnsi="Times New Roman;serif"/>
          <w:b w:val="false"/>
          <w:color w:val="000000"/>
          <w:sz w:val="20"/>
          <w:shd w:fill="FFFFFF" w:val="clear"/>
        </w:rPr>
        <w:t xml:space="preserve">e British Pound Sterling, Euro, Indian Rupee and Philippine Peso.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statements of our foreign subsidiaries that are local currency functional are translated into U.S. dollars using period-end rates of exchange for assets and liabilities and average monthly rates for revenues and expenses. The resulting translation gains and losses that arise from translating these assets, liabilities, revenues and expenses of our foreign operations are recorded in Accumulated other comprehensive loss ("AOCL") in the Consolidated Balance Sheets.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financial statements of our foreign subsidiaries that are U.S. dollar functional but maintain their books of record in their respective local currency, we remeasure our revenues and expenses into U.S. dollars at the average rates of exchange for the period, monetary assets and liabilities using period-end rates and non-monetary assets and liabilities at their historical rates. The resulting remeasurement gains and losses are recorded to SG&amp;A in the Consolidated Statements of Income.</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Concentrations of Credit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Credit risk arises from the potential nonperformance by counterparties to fulfill their financial obligations. Our financial instruments that potentially subject us to concentrations of credit risk consist primarily of our cash, cash equivalents, restricted cash, investments in mutual funds, accounts receivable and derivative instruments. The maximum credit exposure of our cash, cash equivalents, restricted cash, investments in mutual funds and accounts receivable is their carrying values as of the balance sheet date. The maximum credit exposure related to our derivative instruments is based upon their respective gross fair values as of the balance sheet date.</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Cash, Cash Equivalents, Restricted Cash and Investments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exposed to credit risk on our cash, cash equivalents, restricted cash and investments in mutual funds in the event of default by the financial and governmental institutions with which we transact. We invest in a manner that aligns with our restrictive cash investment practices, preserves capital and provides liquidity, while minimizing our exposure to credit risk. We limit our exposure to credit loss by investing with multiple financial and governmental institutions that we believe are high-quality and credit-worthy. We have not experienced any credit losses relating to our cash, cash equivalents, restricted cash and investments in mutual funds.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Accounts Receivable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accounts receivable credit risk is dependent upon the financial stability of our individual clients. As of August 31, 2025 and August 31, 2024, our accounts receivable reserve was $13.8 million and $14.6 million, respectively. We do not require collateral from our clients; however, no single client represented more than 3.5% of our total annual revenues for fiscal 2023 through fiscal 2025. Due to our large and geographically dispersed client base, our concentration of credit risk related to our accounts receivable is generally limited.</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Derivative Instruments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use of derivative instruments exposes us to credit risk to the extent counterparties may be unable to meet the terms of their agreements. To mitigate credit risk, we limit counterparties to financial institutions we believe are credit-worthy and use several institutions to reduce concentration risk. We do not expect any losses as a result of default by our counterparties.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Concentrations of Data Providers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integrate data from various third-party sources into our hosted proprietary data and analytics platform. As certain data sources have a limited number of suppliers, we make every effort to assure that, where reasonable, alternative sources are available. We are not dependent on any individual third-party data supplier to meet the needs of our clients, with two data suppliers each representing more than 10% of our total data costs for the year ended August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Concentrations of Cloud Providers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clients rely on us for the delivery of time-sensitive, up-to-date data and applications. Our business is dependent on our ability to process substantial volumes of data and transactions rapidly and efficiently. We currently use multiple providers of cloud services; however, one supplier provided the majority of our cloud computing support for fiscal 2025. We maintain back-up facilities and other redundancies at our data centers, take security measures and have emergency planning procedures to minimize the risk that an event will disrupt our operations.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Recently Adopted Accounting Pronouncements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Segment Reporting - Improvements to Reportable Segment Disclosures</w:t>
      </w:r>
    </w:p>
    <w:p>
      <w:pPr>
        <w:pStyle w:val="TextBody"/>
        <w:bidi w:val="0"/>
        <w:spacing w:lineRule="auto" w:line="288" w:before="200" w:after="283"/>
        <w:jc w:val="both"/>
        <w:rPr/>
      </w:pPr>
      <w:r>
        <w:rPr>
          <w:rFonts w:ascii="Times New Roman;serif" w:hAnsi="Times New Roman;serif"/>
          <w:b w:val="false"/>
          <w:color w:val="000000"/>
          <w:sz w:val="20"/>
        </w:rPr>
        <w:t xml:space="preserve">In November 2023, the FASB issued ASU 2023-07, </w:t>
      </w:r>
      <w:r>
        <w:rPr>
          <w:rFonts w:ascii="Times New Roman;serif" w:hAnsi="Times New Roman;serif"/>
          <w:b w:val="false"/>
          <w:i/>
          <w:color w:val="000000"/>
          <w:sz w:val="20"/>
        </w:rPr>
        <w:t>Segment Reporting (Topic 280) - Improvements to Reportable Segment Disclosures</w:t>
      </w:r>
      <w:r>
        <w:rPr>
          <w:rFonts w:ascii="Times New Roman;serif" w:hAnsi="Times New Roman;serif"/>
          <w:b w:val="false"/>
          <w:color w:val="000000"/>
          <w:sz w:val="20"/>
        </w:rPr>
        <w:t xml:space="preserve">. This ASU enhances segment disclosures primarily related to significant segment expenses for both interim and annual periods. We adopted this ASU on a retrospective basis for our annual financial statements starting in fiscal 2025. The adoption of this ASU resulted in additional disclosures with no impact to our Consolidated Financial Statements. Refer to Note 17, </w:t>
      </w:r>
      <w:r>
        <w:rPr>
          <w:rFonts w:ascii="Times New Roman;serif" w:hAnsi="Times New Roman;serif"/>
          <w:b w:val="false"/>
          <w:i/>
          <w:color w:val="000000"/>
          <w:sz w:val="20"/>
        </w:rPr>
        <w:t>Segment Information</w:t>
      </w:r>
      <w:r>
        <w:rPr>
          <w:rFonts w:ascii="Times New Roman;serif" w:hAnsi="Times New Roman;serif"/>
          <w:b w:val="false"/>
          <w:color w:val="000000"/>
          <w:sz w:val="20"/>
        </w:rPr>
        <w:t>, for further information.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Codification Improvements - Amendments to Remove References to the Concepts Statements</w:t>
      </w:r>
    </w:p>
    <w:p>
      <w:pPr>
        <w:pStyle w:val="TextBody"/>
        <w:bidi w:val="0"/>
        <w:spacing w:lineRule="auto" w:line="288" w:before="200" w:after="283"/>
        <w:jc w:val="both"/>
        <w:rPr/>
      </w:pPr>
      <w:r>
        <w:rPr>
          <w:rFonts w:ascii="Times New Roman;serif" w:hAnsi="Times New Roman;serif"/>
          <w:b w:val="false"/>
          <w:color w:val="000000"/>
          <w:sz w:val="20"/>
        </w:rPr>
        <w:t xml:space="preserve">In March 2024, the FASB issued ASU 2024-02, </w:t>
      </w:r>
      <w:r>
        <w:rPr>
          <w:rFonts w:ascii="Times New Roman;serif" w:hAnsi="Times New Roman;serif"/>
          <w:b w:val="false"/>
          <w:i/>
          <w:color w:val="000000"/>
          <w:sz w:val="20"/>
        </w:rPr>
        <w:t>Codification Improvements - Amendments to Remove References to the Concepts Statements</w:t>
      </w:r>
      <w:r>
        <w:rPr>
          <w:rFonts w:ascii="Times New Roman;serif" w:hAnsi="Times New Roman;serif"/>
          <w:b w:val="false"/>
          <w:color w:val="000000"/>
          <w:sz w:val="20"/>
        </w:rPr>
        <w:t xml:space="preserve">. This ASU amends the FASB Accounting Standards Codification ("the Codification") to remove references to various FASB Concepts Statements and impacts a variety of topics in the Codification. The amendments apply to all reporting entities within the scope of the affected accounting guidance, but in most instances the references removed are extraneous and not required to understand or apply the guidance. We early adopted this ASU on a prospective basis as of March 1, 2025. The adoption of this ASU did not have a material impact on our Consolidated Financial Statements or related disclosures.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Accounting Pronouncements Not Yet Adopted</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Income Statement - Disaggregation of Income Statement Expenses</w:t>
      </w:r>
    </w:p>
    <w:p>
      <w:pPr>
        <w:pStyle w:val="TextBody"/>
        <w:bidi w:val="0"/>
        <w:spacing w:lineRule="auto" w:line="288" w:before="200" w:after="283"/>
        <w:jc w:val="both"/>
        <w:rPr/>
      </w:pPr>
      <w:r>
        <w:rPr>
          <w:rFonts w:ascii="Times New Roman;serif" w:hAnsi="Times New Roman;serif"/>
          <w:b w:val="false"/>
          <w:color w:val="000000"/>
          <w:sz w:val="20"/>
        </w:rPr>
        <w:t xml:space="preserve">In November 2024, the FASB issued Accounting Standards Update ("ASU") 2024-03, </w:t>
      </w:r>
      <w:r>
        <w:rPr>
          <w:rFonts w:ascii="Times New Roman;serif" w:hAnsi="Times New Roman;serif"/>
          <w:b w:val="false"/>
          <w:i/>
          <w:color w:val="000000"/>
          <w:sz w:val="20"/>
        </w:rPr>
        <w:t>Income Statement - Reporting Comprehensive Income - Expense Disaggregation Disclosures (Subtopic 220-40) - Disaggregation of Income Statement Expenses</w:t>
      </w:r>
      <w:r>
        <w:rPr>
          <w:rFonts w:ascii="Times New Roman;serif" w:hAnsi="Times New Roman;serif"/>
          <w:b w:val="false"/>
          <w:color w:val="000000"/>
          <w:sz w:val="20"/>
        </w:rPr>
        <w:t>. This ASU requires disaggregation of certain income statement expense captions into specified categories to be disclosed within the footnotes to the financial statements. This ASU does not change the expense captions on the income statement. The amendments in this ASU are to be applied prospectively, although retrospective application is permitted, and are effective for our annual financial statements starting in fiscal 2028 and interim periods starting in fiscal 2029. Early adoption is permitted. This ASU is not expected to have a material impact on our Consolidated Financial Statements. We are currently assessing the impact of the new requirements on our disclosures.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U.S. Securities and Exchange Commission ("SEC") Disclosures - The Enhancement and Standardization of Climate-Related Disclosures for Investors</w:t>
      </w:r>
    </w:p>
    <w:p>
      <w:pPr>
        <w:pStyle w:val="TextBody"/>
        <w:bidi w:val="0"/>
        <w:spacing w:lineRule="auto" w:line="288" w:before="200" w:after="283"/>
        <w:jc w:val="both"/>
        <w:rPr/>
      </w:pPr>
      <w:r>
        <w:rPr>
          <w:rFonts w:ascii="Times New Roman;serif" w:hAnsi="Times New Roman;serif"/>
          <w:b w:val="false"/>
          <w:color w:val="000000"/>
          <w:sz w:val="20"/>
        </w:rPr>
        <w:t xml:space="preserve">In March 2024, the SEC adopted a final rule under SEC Release Nos. 33-11275 and 34-99678, </w:t>
      </w:r>
      <w:r>
        <w:rPr>
          <w:rFonts w:ascii="Times New Roman;serif" w:hAnsi="Times New Roman;serif"/>
          <w:b w:val="false"/>
          <w:i/>
          <w:color w:val="000000"/>
          <w:sz w:val="20"/>
        </w:rPr>
        <w:t>The Enhancement and Standardization of Climate-Related Disclosures for Investors</w:t>
      </w:r>
      <w:r>
        <w:rPr>
          <w:rFonts w:ascii="Times New Roman;serif" w:hAnsi="Times New Roman;serif"/>
          <w:b w:val="false"/>
          <w:color w:val="000000"/>
          <w:sz w:val="20"/>
        </w:rPr>
        <w:t>, which would require disclosure of certain climate-related information in various filings with the SEC. In April 2024, the SEC stayed implementation of the final rule pending completion of judicial review. In</w:t>
      </w:r>
      <w:r>
        <w:rPr>
          <w:color w:val="008080"/>
        </w:rPr>
        <w:t xml:space="preserve"> </w:t>
      </w:r>
      <w:r>
        <w:rPr>
          <w:rFonts w:ascii="Times New Roman;serif" w:hAnsi="Times New Roman;serif"/>
          <w:b w:val="false"/>
          <w:color w:val="000000"/>
          <w:sz w:val="20"/>
        </w:rPr>
        <w:t>March 2025, the SEC stated that it has ended its defense of the rule. We are currently monitoring the legal challenges and assessing the potential impact of the rule on our disclosures.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Income Taxes - Improvements to Income Tax Disclosures</w:t>
      </w:r>
    </w:p>
    <w:p>
      <w:pPr>
        <w:pStyle w:val="TextBody"/>
        <w:bidi w:val="0"/>
        <w:spacing w:lineRule="auto" w:line="288" w:before="200" w:after="283"/>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 Improvements to Income Tax Disclosures</w:t>
      </w:r>
      <w:r>
        <w:rPr>
          <w:rFonts w:ascii="Times New Roman;serif" w:hAnsi="Times New Roman;serif"/>
          <w:b w:val="false"/>
          <w:color w:val="000000"/>
          <w:sz w:val="20"/>
        </w:rPr>
        <w:t>. This ASU enhances annual income tax disclosures primarily related to our effective tax rate reconciliation and income taxes paid. The amendments in this ASU are to be applied prospectively, although retrospective application is permitted, and are effective for our annual financial statements starting in fiscal 2026. Early adoption is permitted. This ASU is not expected to have a material impact on our Consolidated Financial Statements. We are currently assessing the impact of the new requirements on our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Disclosure Improvements - Codification Amendment in Response to the SEC's Disclosure Update and Simplification Initiative</w:t>
      </w:r>
    </w:p>
    <w:p>
      <w:pPr>
        <w:pStyle w:val="TextBody"/>
        <w:bidi w:val="0"/>
        <w:spacing w:lineRule="auto" w:line="288" w:before="200" w:after="283"/>
        <w:jc w:val="both"/>
        <w:rPr/>
      </w:pPr>
      <w:r>
        <w:rPr>
          <w:rFonts w:ascii="Times New Roman;serif" w:hAnsi="Times New Roman;serif"/>
          <w:b w:val="false"/>
          <w:color w:val="000000"/>
          <w:sz w:val="20"/>
        </w:rPr>
        <w:t xml:space="preserve">In October 2023, the FASB issued ASU 2023-06, </w:t>
      </w:r>
      <w:r>
        <w:rPr>
          <w:rFonts w:ascii="Times New Roman;serif" w:hAnsi="Times New Roman;serif"/>
          <w:b w:val="false"/>
          <w:i/>
          <w:color w:val="000000"/>
          <w:sz w:val="20"/>
        </w:rPr>
        <w:t>Disclosure Improvements - Codification Amendment in Response to the SEC’s Disclosure Update and Simplification Initiative</w:t>
      </w:r>
      <w:r>
        <w:rPr>
          <w:rFonts w:ascii="Times New Roman;serif" w:hAnsi="Times New Roman;serif"/>
          <w:b w:val="false"/>
          <w:color w:val="000000"/>
          <w:sz w:val="20"/>
        </w:rPr>
        <w:t>. The ASU incorporates several disclosure and presentation requirements currently residing in the SEC Regulations S-X and S-K. The amendments will be applied prospectively and are effective when the SEC removes the related requirements from Regulations S-X or S-K. Any amendments the SEC does not remove by June 30, 2027 will not be effective. As we are currently subject to these SEC requirements, this ASU is not expected to have a material impact on our Consolidated Financial Statements or related disclosures.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 other new accounting pronouncements issued or effective during fiscal 2025 have had, or are expected to have,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 xml:space="preserve">3. REVENUE RECOGNITION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derive most of our revenues by delivering client access to our multi-asset class solutions powered by our platform of connected data and technology that is available over the contractual term (referred to as the "Hosted Platform"). The Hosted Platform is a subscription-based service that provides client access to various combinations of products and services including workstations, portfolio analytics and enterprise solutions. We also derive revenues through the CGS platform, a subscription-based service that provides access to a database of universally recognized security identifiers and related descriptive data for issuers and their financial instruments (referred to as the "Identifier Platform").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majority of each of our contracts with clients, whether for Hosted Platform or Identifier Platform services, represents a single performance obligation covering a series of distinct products and services that are substantially the same and that have the same pattern of transfer to the client. The primary nature of the promise to the client is to provide daily access to each of these data and analytics platforms over the associated contractual term. These platforms provide integrated financial information, analytical applications and industry-leading service for the investment community. Based on the nature of the products and services offered by these platforms, we apply an output time-based measure of progress as the client is simultaneously receiving and consuming the benefits of the respective platform. We recognize revenue for the majority of these platforms in accordance with the 'as invoiced' practical expedient, because the consideration that we have the right to invoice corresponds directly with the value of our performance to date. There are no significant judgments that would impact the timing of revenue recognition.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majority of client contracts have a duration of one year, or the amount we are entitled to receive corresponds directly with the value of our performance obligations completed to date. Therefore, we do not disclose the value of the remaining unsatisfied performance obligations. </w:t>
      </w:r>
    </w:p>
    <w:p>
      <w:pPr>
        <w:pStyle w:val="TextBody"/>
        <w:bidi w:val="0"/>
        <w:spacing w:lineRule="auto" w:line="288" w:before="200" w:after="283"/>
        <w:jc w:val="both"/>
        <w:rPr/>
      </w:pPr>
      <w:r>
        <w:rPr>
          <w:rFonts w:ascii="Times New Roman;serif" w:hAnsi="Times New Roman;serif"/>
          <w:b w:val="false"/>
          <w:i/>
          <w:color w:val="000000"/>
          <w:sz w:val="20"/>
        </w:rPr>
        <w:t>Disaggregated Revenues</w:t>
      </w:r>
      <w:r>
        <w:rPr>
          <w:color w:val="000000"/>
        </w:rPr>
        <w:t> </w:t>
      </w:r>
    </w:p>
    <w:p>
      <w:pPr>
        <w:pStyle w:val="TextBody"/>
        <w:bidi w:val="0"/>
        <w:spacing w:lineRule="auto" w:line="288" w:before="200" w:after="283"/>
        <w:jc w:val="both"/>
        <w:rPr/>
      </w:pPr>
      <w:r>
        <w:rPr>
          <w:rFonts w:ascii="Times New Roman;serif" w:hAnsi="Times New Roman;serif"/>
          <w:b w:val="false"/>
          <w:color w:val="000000"/>
          <w:sz w:val="20"/>
        </w:rPr>
        <w:t xml:space="preserve">We disaggregate revenues from our client contracts by segment based on the geographic region where the sale originated. Our business segmentation by geography is aligned with the operational and economic characteristics of our business. Refer to Note 17, </w:t>
      </w:r>
      <w:r>
        <w:rPr>
          <w:rFonts w:ascii="Times New Roman;serif" w:hAnsi="Times New Roman;serif"/>
          <w:b w:val="false"/>
          <w:i/>
          <w:color w:val="000000"/>
          <w:sz w:val="20"/>
        </w:rPr>
        <w:t>Segment Information</w:t>
      </w:r>
      <w:r>
        <w:rPr>
          <w:rFonts w:ascii="Times New Roman;serif" w:hAnsi="Times New Roman;serif"/>
          <w:b w:val="false"/>
          <w:color w:val="000000"/>
          <w:sz w:val="20"/>
        </w:rPr>
        <w:t>, for further information.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revenues disaggregated by segment:</w:t>
      </w:r>
    </w:p>
    <w:tbl>
      <w:tblPr>
        <w:tblW w:w="5981" w:type="dxa"/>
        <w:jc w:val="left"/>
        <w:tblInd w:w="0" w:type="dxa"/>
        <w:tblLayout w:type="fixed"/>
        <w:tblCellMar>
          <w:top w:w="28" w:type="dxa"/>
          <w:left w:w="28" w:type="dxa"/>
          <w:bottom w:w="28" w:type="dxa"/>
          <w:right w:w="28" w:type="dxa"/>
        </w:tblCellMar>
      </w:tblPr>
      <w:tblGrid>
        <w:gridCol w:w="505"/>
        <w:gridCol w:w="444"/>
        <w:gridCol w:w="445"/>
        <w:gridCol w:w="211"/>
        <w:gridCol w:w="976"/>
        <w:gridCol w:w="109"/>
        <w:gridCol w:w="109"/>
        <w:gridCol w:w="109"/>
        <w:gridCol w:w="109"/>
        <w:gridCol w:w="211"/>
        <w:gridCol w:w="976"/>
        <w:gridCol w:w="109"/>
        <w:gridCol w:w="109"/>
        <w:gridCol w:w="109"/>
        <w:gridCol w:w="109"/>
        <w:gridCol w:w="211"/>
        <w:gridCol w:w="976"/>
        <w:gridCol w:w="154"/>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13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1,506,108 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1,419,901 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1,335,484 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2,321,748 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2,203,056 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2,085,508 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not disclosed revenues from external clients by product and service, as it is impracticable for us to do so.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4. FAIR VALUE MEASURES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are permissible. When pricing an asset or liability, the inputs to these valuation methodologies consider market comparable information, taking into account the principal or most advantageous market in which we would transact.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Fair Value Hierarchy </w:t>
      </w:r>
    </w:p>
    <w:p>
      <w:pPr>
        <w:pStyle w:val="TextBody"/>
        <w:bidi w:val="0"/>
        <w:spacing w:lineRule="auto" w:line="288" w:before="200" w:after="283"/>
        <w:jc w:val="both"/>
        <w:rPr/>
      </w:pPr>
      <w:r>
        <w:rPr>
          <w:rFonts w:ascii="Times New Roman;serif" w:hAnsi="Times New Roman;serif"/>
          <w:b w:val="false"/>
          <w:color w:val="000000"/>
          <w:sz w:val="20"/>
        </w:rPr>
        <w:t>The accounting guidance for fair value measurements establishes a three-level fair value hierarchy that requires an entity to maximize the use of observable inputs and minimize the use of unobservable inputs when measuring fair value. The hierarchy ranks the reliability of the inputs, based upon the lowest level of input that is significant to the fair value measurement, used to determine fair value. Our assessment of the significance of a particular input to the fair value measurement requires judgment and may affect its placement within the fair value hierarchy. We have categorized our assets and liabilities within the fair value hierarchy as follows:</w:t>
      </w:r>
      <w:r>
        <w:rPr>
          <w:color w:val="000000"/>
        </w:rPr>
        <w:t> </w:t>
      </w:r>
    </w:p>
    <w:p>
      <w:pPr>
        <w:pStyle w:val="TextBody"/>
        <w:bidi w:val="0"/>
        <w:spacing w:lineRule="auto" w:line="288" w:before="200" w:after="283"/>
        <w:jc w:val="both"/>
        <w:rPr/>
      </w:pPr>
      <w:r>
        <w:rPr>
          <w:rFonts w:ascii="Times New Roman;serif" w:hAnsi="Times New Roman;serif"/>
          <w:b w:val="false"/>
          <w:i/>
          <w:color w:val="000000"/>
          <w:sz w:val="20"/>
          <w:u w:val="single"/>
        </w:rPr>
        <w:t>Level 1</w:t>
      </w:r>
      <w:r>
        <w:rPr>
          <w:color w:val="000000"/>
        </w:rPr>
        <w:t xml:space="preserve"> – </w:t>
      </w:r>
      <w:r>
        <w:rPr>
          <w:rFonts w:ascii="Times New Roman;serif" w:hAnsi="Times New Roman;serif"/>
          <w:b w:val="false"/>
          <w:color w:val="000000"/>
          <w:sz w:val="20"/>
        </w:rPr>
        <w:t xml:space="preserve">applies to assets or liabilities for which there are quoted prices in active markets for identical assets or liabilities. </w:t>
      </w:r>
    </w:p>
    <w:p>
      <w:pPr>
        <w:pStyle w:val="TextBody"/>
        <w:bidi w:val="0"/>
        <w:spacing w:lineRule="auto" w:line="288" w:before="200" w:after="283"/>
        <w:jc w:val="both"/>
        <w:rPr/>
      </w:pPr>
      <w:r>
        <w:rPr>
          <w:rFonts w:ascii="Times New Roman;serif" w:hAnsi="Times New Roman;serif"/>
          <w:b w:val="false"/>
          <w:i/>
          <w:color w:val="000000"/>
          <w:sz w:val="20"/>
          <w:u w:val="single"/>
        </w:rPr>
        <w:t>Level 2</w:t>
      </w:r>
      <w:r>
        <w:rPr>
          <w:color w:val="000000"/>
        </w:rPr>
        <w:t xml:space="preserve"> – </w:t>
      </w:r>
      <w:r>
        <w:rPr>
          <w:rFonts w:ascii="Times New Roman;serif" w:hAnsi="Times New Roman;serif"/>
          <w:b w:val="false"/>
          <w:color w:val="000000"/>
          <w:sz w:val="20"/>
        </w:rPr>
        <w:t xml:space="preserve">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 </w:t>
      </w:r>
    </w:p>
    <w:p>
      <w:pPr>
        <w:pStyle w:val="TextBody"/>
        <w:bidi w:val="0"/>
        <w:spacing w:lineRule="auto" w:line="288" w:before="200" w:after="283"/>
        <w:jc w:val="both"/>
        <w:rPr/>
      </w:pPr>
      <w:r>
        <w:rPr>
          <w:rFonts w:ascii="Times New Roman;serif" w:hAnsi="Times New Roman;serif"/>
          <w:b w:val="false"/>
          <w:i/>
          <w:color w:val="000000"/>
          <w:sz w:val="20"/>
          <w:u w:val="single"/>
        </w:rPr>
        <w:t>Level 3</w:t>
      </w:r>
      <w:r>
        <w:rPr>
          <w:color w:val="000000"/>
        </w:rPr>
        <w:t xml:space="preserve"> – </w:t>
      </w:r>
      <w:r>
        <w:rPr>
          <w:rFonts w:ascii="Times New Roman;serif" w:hAnsi="Times New Roman;serif"/>
          <w:b w:val="false"/>
          <w:color w:val="000000"/>
          <w:sz w:val="20"/>
        </w:rPr>
        <w:t>applies to assets or liabilities for which there are unobservable inputs to the valuation methodology that are significant to the measurement of the fair value of the assets or liabilities.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assumptions used in determining fair value represent our best estimates, but these estimates involve inherent uncertainties and the application of our judgment. As a result, if factors change, our fair value estimates could be materially different in the future and may adversely affect our business and financial results.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 Assets and Liabilities Measured at Fair Value on a Recurring Basis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show, by level within the fair value hierarchy, our assets and liabilities that are measured at fair value on a recurring basis as of August 31, 2025 and August 31, 2024. We did not have any transfers between levels of fair value measurements during fiscal 2025 and 2024. </w:t>
      </w:r>
    </w:p>
    <w:tbl>
      <w:tblPr>
        <w:tblW w:w="7373" w:type="dxa"/>
        <w:jc w:val="left"/>
        <w:tblInd w:w="0" w:type="dxa"/>
        <w:tblLayout w:type="fixed"/>
        <w:tblCellMar>
          <w:top w:w="28" w:type="dxa"/>
          <w:left w:w="28" w:type="dxa"/>
          <w:bottom w:w="28" w:type="dxa"/>
          <w:right w:w="28" w:type="dxa"/>
        </w:tblCellMar>
      </w:tblPr>
      <w:tblGrid>
        <w:gridCol w:w="1184"/>
        <w:gridCol w:w="1041"/>
        <w:gridCol w:w="1044"/>
        <w:gridCol w:w="211"/>
        <w:gridCol w:w="616"/>
        <w:gridCol w:w="109"/>
        <w:gridCol w:w="211"/>
        <w:gridCol w:w="721"/>
        <w:gridCol w:w="109"/>
        <w:gridCol w:w="211"/>
        <w:gridCol w:w="721"/>
        <w:gridCol w:w="109"/>
        <w:gridCol w:w="211"/>
        <w:gridCol w:w="721"/>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410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 as of August 31, 2025</w:t>
            </w:r>
          </w:p>
        </w:tc>
      </w:tr>
      <w:tr>
        <w:trPr/>
        <w:tc>
          <w:tcPr>
            <w:tcW w:w="3269"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26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Assets</w:t>
            </w:r>
          </w:p>
        </w:tc>
        <w:tc>
          <w:tcPr>
            <w:tcW w:w="93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Money market funds</w:t>
            </w:r>
            <w:r>
              <w:rPr>
                <w:rFonts w:ascii="Times New Roman;serif" w:hAnsi="Times New Roman;serif"/>
                <w:b w:val="false"/>
                <w:color w:val="000000"/>
                <w:sz w:val="13"/>
              </w:rPr>
              <w:t xml:space="preserve">(1)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Mutual funds</w:t>
            </w:r>
            <w:r>
              <w:rPr>
                <w:rFonts w:ascii="Times New Roman;serif" w:hAnsi="Times New Roman;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Derivative instruments</w:t>
            </w:r>
            <w:r>
              <w:rPr>
                <w:rFonts w:ascii="Times New Roman;serif" w:hAnsi="Times New Roman;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assets measured at fair value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Derivative instruments</w:t>
            </w: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Contingent liabilities</w:t>
            </w:r>
            <w:r>
              <w:rPr>
                <w:rFonts w:ascii="Times New Roman;serif" w:hAnsi="Times New Roman;serif"/>
                <w:b w:val="false"/>
                <w:color w:val="000000"/>
                <w:sz w:val="13"/>
              </w:rPr>
              <w:t>(4)</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liabilities measured at fair value</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24,934 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tbl>
      <w:tblPr>
        <w:tblW w:w="7584" w:type="dxa"/>
        <w:jc w:val="left"/>
        <w:tblInd w:w="0" w:type="dxa"/>
        <w:tblLayout w:type="fixed"/>
        <w:tblCellMar>
          <w:top w:w="28" w:type="dxa"/>
          <w:left w:w="28" w:type="dxa"/>
          <w:bottom w:w="28" w:type="dxa"/>
          <w:right w:w="28" w:type="dxa"/>
        </w:tblCellMar>
      </w:tblPr>
      <w:tblGrid>
        <w:gridCol w:w="1183"/>
        <w:gridCol w:w="1043"/>
        <w:gridCol w:w="1044"/>
        <w:gridCol w:w="211"/>
        <w:gridCol w:w="826"/>
        <w:gridCol w:w="109"/>
        <w:gridCol w:w="211"/>
        <w:gridCol w:w="721"/>
        <w:gridCol w:w="109"/>
        <w:gridCol w:w="211"/>
        <w:gridCol w:w="616"/>
        <w:gridCol w:w="109"/>
        <w:gridCol w:w="211"/>
        <w:gridCol w:w="826"/>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431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 as of August 31, 2024</w:t>
            </w:r>
          </w:p>
        </w:tc>
      </w:tr>
      <w:tr>
        <w:trPr/>
        <w:tc>
          <w:tcPr>
            <w:tcW w:w="3270"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27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Assets</w:t>
            </w:r>
          </w:p>
        </w:tc>
        <w:tc>
          <w:tcPr>
            <w:tcW w:w="114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Money market funds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Mutual funds</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Derivative instruments</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assets measured at fair value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129,635 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72,238 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201,873 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Derivative instruments</w:t>
            </w: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Contingent liability</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liabilities measured at fair value</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6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(1) Our money market funds are readily convertible into cash. The net asset value of each fund on the last day of the reporting period is used to determine its fair value. Our money market funds are included in Cash and cash equivalents within the Consolidated Balance Sheets.</w:t>
      </w:r>
    </w:p>
    <w:p>
      <w:pPr>
        <w:pStyle w:val="TextBody"/>
        <w:bidi w:val="0"/>
        <w:spacing w:lineRule="auto" w:line="288" w:before="0" w:after="6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(2) Our mutual funds' fair value is based on the fair value of the underlying investments held by the mutual funds, allocated to each share of the mutual fund using a net asset value approach. The fair value of each underlying investment is based on observable inputs. Our mutual funds are included in Investments within the Consolidated Balance Sheets.</w:t>
      </w:r>
    </w:p>
    <w:p>
      <w:pPr>
        <w:pStyle w:val="TextBody"/>
        <w:bidi w:val="0"/>
        <w:spacing w:lineRule="auto" w:line="288" w:before="0" w:after="6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(3) Our derivative instruments included foreign exchange forward contracts and interest rate swap agreements. We utilized the income approach to measure fair value for our foreign exchange forward contracts. The income approach uses pricing models that rely on market observable inputs such as spot, forward and interest rates, as well as credit default swap spreads. To estimate fair value for our interest rate swap agreements, we utilized a present value of future cash flows, leveraging a model-derived valuation that uses observable inputs such as interest rate yield curves. Our derivative instruments in an asset position are included in Prepaid expenses and other current assets and those in a liability position are included in Accounts payable and accrued expenses within the Consolidated Balance Sheets.</w:t>
      </w:r>
    </w:p>
    <w:p>
      <w:pPr>
        <w:pStyle w:val="TextBody"/>
        <w:bidi w:val="0"/>
        <w:spacing w:lineRule="auto" w:line="288" w:before="0" w:after="0"/>
        <w:ind w:left="0" w:right="0" w:hanging="270"/>
        <w:jc w:val="both"/>
        <w:rPr/>
      </w:pPr>
      <w:r>
        <w:rPr>
          <w:rFonts w:ascii="Times New Roman;serif" w:hAnsi="Times New Roman;serif"/>
          <w:b w:val="false"/>
          <w:color w:val="000000"/>
          <w:sz w:val="18"/>
        </w:rPr>
        <w:t xml:space="preserve">(4) Our contingent liabilities resulted from the acquisitions of various businesses. These liabilities reflect the present value of potential future payments that are contingent upon the achievement of certain specified milestones and are valued using a scenario-based method. This method incorporates unobservable inputs and assumptions made by management, including the probability of achieving specified milestones, expected time until payment and the discount rate. Refer to Note 5, </w:t>
      </w:r>
      <w:r>
        <w:rPr>
          <w:rFonts w:ascii="Times New Roman;serif" w:hAnsi="Times New Roman;serif"/>
          <w:b w:val="false"/>
          <w:i/>
          <w:color w:val="000000"/>
          <w:sz w:val="18"/>
        </w:rPr>
        <w:t>Acquisitions,</w:t>
      </w:r>
      <w:r>
        <w:rPr>
          <w:color w:val="000000"/>
        </w:rPr>
        <w:t xml:space="preserve"> </w:t>
      </w:r>
      <w:r>
        <w:rPr>
          <w:rFonts w:ascii="Times New Roman;serif" w:hAnsi="Times New Roman;serif"/>
          <w:b w:val="false"/>
          <w:color w:val="000000"/>
          <w:sz w:val="18"/>
        </w:rPr>
        <w:t>for more information on the contingent liabilities associated with the Liquid Holdings LLC ("LiquidityBook") and Platform Group Limited ("Irwin")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both"/>
        <w:rPr>
          <w:rFonts w:ascii="Times New Roman;serif" w:hAnsi="Times New Roman;serif"/>
          <w:b/>
          <w:i/>
          <w:color w:val="000000"/>
          <w:sz w:val="20"/>
        </w:rPr>
      </w:pPr>
      <w:r>
        <w:rPr>
          <w:rFonts w:ascii="Times New Roman;serif" w:hAnsi="Times New Roman;serif"/>
          <w:b/>
          <w:i/>
          <w:color w:val="000000"/>
          <w:sz w:val="20"/>
        </w:rPr>
        <w:t>(b) Assets and Liabilities Measured at Fair Value on a Non-Recurring Basis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Assets that are measured at fair value on a non-recurring basis primarily include our PPE, lease ROU assets, goodwill and intangible assets. These assets are assessed for impairment whenever events or circumstances indicate their carrying value may not be fully recoverable, and at least annually for goodwill. The fair values of these non-financial assets are determined based on valuation techniques using the best information available, and may include quoted market prices, market comparable information and discounted cash flow projections.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 Assets and Liabilities Measured at Fair Value for Disclosure Purposes Only</w:t>
      </w:r>
    </w:p>
    <w:p>
      <w:pPr>
        <w:pStyle w:val="TextBody"/>
        <w:bidi w:val="0"/>
        <w:spacing w:lineRule="auto" w:line="288" w:before="200" w:after="283"/>
        <w:jc w:val="both"/>
        <w:rPr/>
      </w:pPr>
      <w:r>
        <w:rPr>
          <w:rFonts w:ascii="Times New Roman;serif" w:hAnsi="Times New Roman;serif"/>
          <w:b w:val="false"/>
          <w:color w:val="000000"/>
          <w:sz w:val="20"/>
        </w:rPr>
        <w:t xml:space="preserve">We elected not to carry our debt at fair value on the Consolidated Balance Sheets. Our Senior Notes are publicly traded; therefore, the fair value of our Senior Notes is estimated based on quoted prices in active markets as of the last business day of the fiscal year, which are considered Level 1 inputs. The fair value of our 2022 and 2025 Credit Facilities, for their respective outstanding periods, was estimated based on quoted market prices for similar instruments, adjusted for unobservable inputs to ensure comparability to our investment rating, maturity terms and principal outstanding, which are considered Level 3 inputs. Refer to Note 11, </w:t>
      </w:r>
      <w:r>
        <w:rPr>
          <w:rFonts w:ascii="Times New Roman;serif" w:hAnsi="Times New Roman;serif"/>
          <w:b w:val="false"/>
          <w:i/>
          <w:color w:val="000000"/>
          <w:sz w:val="20"/>
        </w:rPr>
        <w:t xml:space="preserve">Debt </w:t>
      </w:r>
      <w:r>
        <w:rPr>
          <w:rFonts w:ascii="Times New Roman;serif" w:hAnsi="Times New Roman;serif"/>
          <w:b w:val="false"/>
          <w:color w:val="000000"/>
          <w:sz w:val="20"/>
        </w:rPr>
        <w:t>for definitions of, and more information on, our Senior Notes, 2025 Credit Facilities and 2022 Credit Facilities.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on our outstanding debt as of August 31, 2025 and August 31, 2024:</w:t>
      </w:r>
    </w:p>
    <w:tbl>
      <w:tblPr>
        <w:tblW w:w="10205" w:type="dxa"/>
        <w:jc w:val="left"/>
        <w:tblInd w:w="0" w:type="dxa"/>
        <w:tblLayout w:type="fixed"/>
        <w:tblCellMar>
          <w:top w:w="28" w:type="dxa"/>
          <w:left w:w="28" w:type="dxa"/>
          <w:bottom w:w="28" w:type="dxa"/>
          <w:right w:w="28" w:type="dxa"/>
        </w:tblCellMar>
      </w:tblPr>
      <w:tblGrid>
        <w:gridCol w:w="1030"/>
        <w:gridCol w:w="820"/>
        <w:gridCol w:w="821"/>
        <w:gridCol w:w="432"/>
        <w:gridCol w:w="432"/>
        <w:gridCol w:w="433"/>
        <w:gridCol w:w="229"/>
        <w:gridCol w:w="1060"/>
        <w:gridCol w:w="118"/>
        <w:gridCol w:w="247"/>
        <w:gridCol w:w="1147"/>
        <w:gridCol w:w="127"/>
        <w:gridCol w:w="109"/>
        <w:gridCol w:w="109"/>
        <w:gridCol w:w="109"/>
        <w:gridCol w:w="229"/>
        <w:gridCol w:w="1060"/>
        <w:gridCol w:w="118"/>
        <w:gridCol w:w="246"/>
        <w:gridCol w:w="1141"/>
        <w:gridCol w:w="188"/>
      </w:tblGrid>
      <w:tr>
        <w:trPr/>
        <w:tc>
          <w:tcPr>
            <w:tcW w:w="103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2024</w:t>
            </w:r>
          </w:p>
        </w:tc>
      </w:tr>
      <w:tr>
        <w:trPr/>
        <w:tc>
          <w:tcPr>
            <w:tcW w:w="2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Hierarchy</w:t>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Amount</w:t>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Amount</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Fair Value</w:t>
            </w:r>
          </w:p>
        </w:tc>
      </w:tr>
      <w:tr>
        <w:trPr/>
        <w:tc>
          <w:tcPr>
            <w:tcW w:w="267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Notes</w:t>
            </w:r>
          </w:p>
        </w:tc>
        <w:tc>
          <w:tcPr>
            <w:tcW w:w="129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2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490,565 </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479,760 </w:t>
            </w:r>
          </w:p>
        </w:tc>
        <w:tc>
          <w:tcPr>
            <w:tcW w:w="18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Notes</w:t>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449,380 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2025 Term Facility</w:t>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374,866 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 Revolving Facility</w:t>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246,578 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 Term Facility</w:t>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125,242 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 amount</w:t>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1,375,000 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1,325,871 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1,375,000 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1,300,960 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unamortized discounts and debt issuance costs</w:t>
            </w:r>
            <w:r>
              <w:rPr>
                <w:rFonts w:ascii="Times New Roman;serif" w:hAnsi="Times New Roman;serif"/>
                <w:b w:val="false"/>
                <w:color w:val="000000"/>
                <w:sz w:val="13"/>
              </w:rPr>
              <w:t>(1)</w:t>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carrying value of debt</w:t>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1,368,260 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1,365,973 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rFonts w:ascii="Times New Roman;serif" w:hAnsi="Times New Roman;serif"/>
          <w:b w:val="false"/>
          <w:color w:val="000000"/>
          <w:sz w:val="18"/>
        </w:rPr>
        <w:t>(1)</w:t>
      </w:r>
      <w:r>
        <w:rPr>
          <w:color w:val="000000"/>
        </w:rPr>
        <w:t xml:space="preserve"> </w:t>
      </w:r>
      <w:r>
        <w:rPr>
          <w:rFonts w:ascii="Times New Roman;serif" w:hAnsi="Times New Roman;serif"/>
          <w:b w:val="false"/>
          <w:color w:val="000000"/>
          <w:sz w:val="18"/>
        </w:rPr>
        <w:t>Amount excludes the debt issuance costs related to the 2025 Revolving Facility which are presented within Other assets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5. ACQUISITIONS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acquisitions with the most significant cash flows during fiscal 2023 through fiscal 2025 included: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Liquid Holdings, LLC ("LiquidityBook")</w:t>
      </w:r>
    </w:p>
    <w:p>
      <w:pPr>
        <w:pStyle w:val="TextBody"/>
        <w:bidi w:val="0"/>
        <w:spacing w:lineRule="auto" w:line="288" w:before="200" w:after="283"/>
        <w:jc w:val="both"/>
        <w:rPr/>
      </w:pPr>
      <w:r>
        <w:rPr>
          <w:rFonts w:ascii="Times New Roman;serif" w:hAnsi="Times New Roman;serif"/>
          <w:b w:val="false"/>
          <w:color w:val="000000"/>
          <w:sz w:val="20"/>
        </w:rPr>
        <w:t xml:space="preserve">On February 7, 2025, we completed the acquisition of LiquidityBook for a purchase price of $243.2 million, net of cash acquired, and inclusive of preliminary working capital adjustments. The purchase price includes contingent consideration of $11.9 million, which reflects the acquisition date fair value of potential future payments that are contingent upon the achievement of certain specified milestones. Refer to Note 4, </w:t>
      </w:r>
      <w:r>
        <w:rPr>
          <w:rFonts w:ascii="Times New Roman;serif" w:hAnsi="Times New Roman;serif"/>
          <w:b w:val="false"/>
          <w:i/>
          <w:color w:val="000000"/>
          <w:sz w:val="20"/>
        </w:rPr>
        <w:t>Fair Value Measures,</w:t>
      </w:r>
      <w:r>
        <w:rPr>
          <w:color w:val="000000"/>
        </w:rPr>
        <w:t xml:space="preserve"> </w:t>
      </w:r>
      <w:r>
        <w:rPr>
          <w:rFonts w:ascii="Times New Roman;serif" w:hAnsi="Times New Roman;serif"/>
          <w:b w:val="false"/>
          <w:color w:val="000000"/>
          <w:sz w:val="20"/>
        </w:rPr>
        <w:t>for information regarding the contingent consideration.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LiquidityBook provides cloud-native trading solutions to hedge fund, asset and wealth management, outsourced trading, and sell-side middle office clients. LiquidityBook operates a proprietary FIX network that enables streamlined connectivity to over 200 brokers and order routing to more than 1,600 destinations across 80 markets globally. This acquisition adds technology-forward order management and investment book of record capabilities and enhances FactSet’s ability to serve the integrated workflow needs of clients across the portfolio life cycle.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LiquidityBook's operations have been included within the Americas, EMEA and Asia Pacific segments in our Consolidated Financial Statements. Pro forma information has not been presented because the effect of the LiquidityBook acquisition was not material to our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preliminary purchase price allocation is subject to change pending a final valuation of the assets and liabilities acquired and the finalization of working capital adjustments. We expect to finalize the allocation of the purchase price for LiquidityBook as soon as possible, but in any event, no later than one year from the acquisition date.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acquisition date fair values of major classes of assets acquired and liabilities assumed are as follows:</w:t>
      </w:r>
    </w:p>
    <w:p>
      <w:pPr>
        <w:pStyle w:val="TextBody"/>
        <w:bidi w:val="0"/>
        <w:spacing w:before="0" w:after="0"/>
        <w:jc w:val="both"/>
        <w:rPr/>
      </w:pPr>
      <w:r>
        <w:rPr/>
      </w:r>
    </w:p>
    <w:tbl>
      <w:tblPr>
        <w:tblW w:w="9236" w:type="dxa"/>
        <w:jc w:val="left"/>
        <w:tblInd w:w="0" w:type="dxa"/>
        <w:tblLayout w:type="fixed"/>
        <w:tblCellMar>
          <w:top w:w="28" w:type="dxa"/>
          <w:left w:w="28" w:type="dxa"/>
          <w:bottom w:w="28" w:type="dxa"/>
          <w:right w:w="28" w:type="dxa"/>
        </w:tblCellMar>
      </w:tblPr>
      <w:tblGrid>
        <w:gridCol w:w="911"/>
        <w:gridCol w:w="801"/>
        <w:gridCol w:w="807"/>
        <w:gridCol w:w="436"/>
        <w:gridCol w:w="1708"/>
        <w:gridCol w:w="225"/>
        <w:gridCol w:w="809"/>
        <w:gridCol w:w="809"/>
        <w:gridCol w:w="811"/>
        <w:gridCol w:w="561"/>
        <w:gridCol w:w="561"/>
        <w:gridCol w:w="797"/>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Acquisition Date Fair Value</w:t>
            </w:r>
          </w:p>
        </w:tc>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Acquisition Date Useful Life</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Amortization Method</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years)</w:t>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Amortizable intangible assets</w:t>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Software technology</w:t>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years</w:t>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Client relationships</w:t>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 years</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Trade names</w:t>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years</w:t>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164,787 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Deferred revenues</w:t>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current liabilities</w:t>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243,182 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00"/>
        <w:jc w:val="both"/>
        <w:rPr>
          <w:rFonts w:ascii="Times New Roman;serif" w:hAnsi="Times New Roman;serif"/>
          <w:b w:val="false"/>
          <w:color w:val="000000"/>
          <w:sz w:val="20"/>
        </w:rPr>
      </w:pPr>
      <w:r>
        <w:rPr>
          <w:rFonts w:ascii="Times New Roman;serif" w:hAnsi="Times New Roman;serif"/>
          <w:b w:val="false"/>
          <w:color w:val="000000"/>
          <w:sz w:val="20"/>
        </w:rPr>
        <w:t>Goodwill totaling $164.8 million represents the excess of the LiquidityBook purchase price over the fair value of net assets acquired and considers future economic benefits that we expect to achieve as a result of the acquisition. The goodwill is included in the Americas, EMEA and Asia Pacific segments and is deductible for income tax purposes.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Platform Group Limited ("Irwin")</w:t>
      </w:r>
    </w:p>
    <w:p>
      <w:pPr>
        <w:pStyle w:val="TextBody"/>
        <w:bidi w:val="0"/>
        <w:spacing w:lineRule="auto" w:line="288" w:before="200" w:after="283"/>
        <w:jc w:val="both"/>
        <w:rPr/>
      </w:pPr>
      <w:r>
        <w:rPr>
          <w:rFonts w:ascii="Times New Roman;serif" w:hAnsi="Times New Roman;serif"/>
          <w:b w:val="false"/>
          <w:color w:val="000000"/>
          <w:sz w:val="20"/>
        </w:rPr>
        <w:t xml:space="preserve">On November 5, 2024, we completed the acquisition of Irwin for a purchase price of $120.2 million, net of cash acquired, and inclusive of working capital adjustments. The purchase price includes contingent consideration of $9.6 million which reflects the acquisition date fair value of potential future payments that are contingent upon the achievement of certain specified milestones. Refer to Note 4, </w:t>
      </w:r>
      <w:r>
        <w:rPr>
          <w:rFonts w:ascii="Times New Roman;serif" w:hAnsi="Times New Roman;serif"/>
          <w:b w:val="false"/>
          <w:i/>
          <w:color w:val="000000"/>
          <w:sz w:val="20"/>
        </w:rPr>
        <w:t>Fair Value Measures,</w:t>
      </w:r>
      <w:r>
        <w:rPr>
          <w:color w:val="000000"/>
        </w:rPr>
        <w:t xml:space="preserve"> </w:t>
      </w:r>
      <w:r>
        <w:rPr>
          <w:rFonts w:ascii="Times New Roman;serif" w:hAnsi="Times New Roman;serif"/>
          <w:b w:val="false"/>
          <w:color w:val="000000"/>
          <w:sz w:val="20"/>
        </w:rPr>
        <w:t xml:space="preserve">for information regarding the contingent consideration.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Irwin is a leading investor relations and capital markets platform for public companies and their advisors. This acquisition builds on a recent successful partnership between FactSet and Irwin, and expands our ability to address the holistic workflow needs of investor relations professionals with an integrated, modern solution.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Irwin's operations have been included within the Americas, EMEA and Asia Pacific segments in our Consolidated Financial Statements. Pro forma information has not been presented because the effect of the Irwin acquisition was not material to our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finalized the purchase accounting for the Irwin acquisition during the third quarter of fiscal 2025 and did not record any material changes to the preliminary purchase price allocation. The acquisition date fair values of major classes of assets acquired and liabilities assumed are as follows:</w:t>
      </w:r>
    </w:p>
    <w:tbl>
      <w:tblPr>
        <w:tblW w:w="9236" w:type="dxa"/>
        <w:jc w:val="left"/>
        <w:tblInd w:w="0" w:type="dxa"/>
        <w:tblLayout w:type="fixed"/>
        <w:tblCellMar>
          <w:top w:w="28" w:type="dxa"/>
          <w:left w:w="28" w:type="dxa"/>
          <w:bottom w:w="28" w:type="dxa"/>
          <w:right w:w="28" w:type="dxa"/>
        </w:tblCellMar>
      </w:tblPr>
      <w:tblGrid>
        <w:gridCol w:w="911"/>
        <w:gridCol w:w="801"/>
        <w:gridCol w:w="807"/>
        <w:gridCol w:w="436"/>
        <w:gridCol w:w="1708"/>
        <w:gridCol w:w="225"/>
        <w:gridCol w:w="809"/>
        <w:gridCol w:w="809"/>
        <w:gridCol w:w="811"/>
        <w:gridCol w:w="561"/>
        <w:gridCol w:w="561"/>
        <w:gridCol w:w="797"/>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Acquisition Date Fair Value</w:t>
            </w:r>
          </w:p>
        </w:tc>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Acquisition Date Useful Life</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Amortization Method</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years)</w:t>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Amortizable intangible assets</w:t>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technology</w:t>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years</w:t>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Client relationships</w:t>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 years</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years</w:t>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91,376 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Deferred revenues</w:t>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current liabilities</w:t>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purchase price</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120,186 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00"/>
        <w:jc w:val="both"/>
        <w:rPr>
          <w:rFonts w:ascii="Times New Roman;serif" w:hAnsi="Times New Roman;serif"/>
          <w:b w:val="false"/>
          <w:color w:val="000000"/>
          <w:sz w:val="20"/>
        </w:rPr>
      </w:pPr>
      <w:r>
        <w:rPr>
          <w:rFonts w:ascii="Times New Roman;serif" w:hAnsi="Times New Roman;serif"/>
          <w:b w:val="false"/>
          <w:color w:val="000000"/>
          <w:sz w:val="20"/>
        </w:rPr>
        <w:t>Goodwill totaling $91.4 million represents the excess of the Irwin purchase price over the fair value of net assets acquired and considers future economic benefits that we expect to achieve as a result of the acquisition. The goodwill is included in the Americas and EMEA segments and is not deductible for income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4"/>
        </w:rPr>
      </w:pPr>
      <w:r>
        <w:rPr>
          <w:rFonts w:ascii="Times New Roman;serif" w:hAnsi="Times New Roman;serif"/>
          <w:b/>
          <w:color w:val="000000"/>
          <w:sz w:val="24"/>
        </w:rPr>
        <w:t>6. PROPERTY, EQUIPMENT AND LEASEHOLD IMPROVEMENTS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leasehold improvements consist of the following:</w:t>
      </w:r>
    </w:p>
    <w:tbl>
      <w:tblPr>
        <w:tblW w:w="6822" w:type="dxa"/>
        <w:jc w:val="left"/>
        <w:tblInd w:w="0" w:type="dxa"/>
        <w:tblLayout w:type="fixed"/>
        <w:tblCellMar>
          <w:top w:w="28" w:type="dxa"/>
          <w:left w:w="28" w:type="dxa"/>
          <w:bottom w:w="28" w:type="dxa"/>
          <w:right w:w="28" w:type="dxa"/>
        </w:tblCellMar>
      </w:tblPr>
      <w:tblGrid>
        <w:gridCol w:w="1624"/>
        <w:gridCol w:w="1428"/>
        <w:gridCol w:w="1433"/>
        <w:gridCol w:w="211"/>
        <w:gridCol w:w="826"/>
        <w:gridCol w:w="109"/>
        <w:gridCol w:w="211"/>
        <w:gridCol w:w="826"/>
        <w:gridCol w:w="154"/>
      </w:tblGrid>
      <w:tr>
        <w:trPr/>
        <w:tc>
          <w:tcPr>
            <w:tcW w:w="162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3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August 31, </w:t>
            </w:r>
          </w:p>
        </w:tc>
      </w:tr>
      <w:tr>
        <w:trPr/>
        <w:tc>
          <w:tcPr>
            <w:tcW w:w="4485"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4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101,425 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95,840 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and related equipment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Subtotal</w:t>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230,136 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209,034 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leasehold improvements, net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PPE depreciation and amortization expense was $24.1 million, $20.2 million and $18.1 million for fiscal 2025, 2024 and 2023,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4"/>
        </w:rPr>
      </w:pPr>
      <w:r>
        <w:rPr>
          <w:rFonts w:ascii="Times New Roman;serif" w:hAnsi="Times New Roman;serif"/>
          <w:b/>
          <w:color w:val="000000"/>
          <w:sz w:val="24"/>
        </w:rPr>
        <w:t>7. GOODWILL</w:t>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Changes in the carrying value of goodwill by segment for the years ended August 31, 2025 and 2024 are as follows:</w:t>
      </w:r>
    </w:p>
    <w:tbl>
      <w:tblPr>
        <w:tblW w:w="7187" w:type="dxa"/>
        <w:jc w:val="left"/>
        <w:tblInd w:w="0" w:type="dxa"/>
        <w:tblLayout w:type="fixed"/>
        <w:tblCellMar>
          <w:top w:w="28" w:type="dxa"/>
          <w:left w:w="28" w:type="dxa"/>
          <w:bottom w:w="28" w:type="dxa"/>
          <w:right w:w="28" w:type="dxa"/>
        </w:tblCellMar>
      </w:tblPr>
      <w:tblGrid>
        <w:gridCol w:w="901"/>
        <w:gridCol w:w="793"/>
        <w:gridCol w:w="795"/>
        <w:gridCol w:w="211"/>
        <w:gridCol w:w="826"/>
        <w:gridCol w:w="109"/>
        <w:gridCol w:w="211"/>
        <w:gridCol w:w="826"/>
        <w:gridCol w:w="109"/>
        <w:gridCol w:w="216"/>
        <w:gridCol w:w="738"/>
        <w:gridCol w:w="111"/>
        <w:gridCol w:w="211"/>
        <w:gridCol w:w="976"/>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Americas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EMEA</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August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August 31, 2024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1,011,129 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August 31, 2025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1,284,708 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performed our annual goodwill impairment test during the fourth quarter of fiscal 2025 and 2024. During fiscal 2025 and 2024, we utilized a qualitative analysis and concluded there was no impairment as it was more likely than not that the fair value of each of our reporting units was not less than its respective carrying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4"/>
        </w:rPr>
      </w:pPr>
      <w:r>
        <w:rPr>
          <w:rFonts w:ascii="Times New Roman;serif" w:hAnsi="Times New Roman;serif"/>
          <w:b/>
          <w:color w:val="000000"/>
          <w:sz w:val="24"/>
        </w:rPr>
        <w:t>8. INTANGIBLE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amortize intangible assets on a straight-line basis over their estimated useful lives. The following table presents the estimated useful life, gross carrying amounts and accumulated amortization related to our identifiable intangible assets as of August 31, 2025 and August 31, 2024: </w:t>
      </w:r>
    </w:p>
    <w:tbl>
      <w:tblPr>
        <w:tblW w:w="10205" w:type="dxa"/>
        <w:jc w:val="left"/>
        <w:tblInd w:w="0" w:type="dxa"/>
        <w:tblLayout w:type="fixed"/>
        <w:tblCellMar>
          <w:top w:w="28" w:type="dxa"/>
          <w:left w:w="28" w:type="dxa"/>
          <w:bottom w:w="28" w:type="dxa"/>
          <w:right w:w="28" w:type="dxa"/>
        </w:tblCellMar>
      </w:tblPr>
      <w:tblGrid>
        <w:gridCol w:w="592"/>
        <w:gridCol w:w="325"/>
        <w:gridCol w:w="327"/>
        <w:gridCol w:w="314"/>
        <w:gridCol w:w="314"/>
        <w:gridCol w:w="315"/>
        <w:gridCol w:w="213"/>
        <w:gridCol w:w="985"/>
        <w:gridCol w:w="110"/>
        <w:gridCol w:w="221"/>
        <w:gridCol w:w="868"/>
        <w:gridCol w:w="115"/>
        <w:gridCol w:w="212"/>
        <w:gridCol w:w="983"/>
        <w:gridCol w:w="109"/>
        <w:gridCol w:w="109"/>
        <w:gridCol w:w="109"/>
        <w:gridCol w:w="109"/>
        <w:gridCol w:w="213"/>
        <w:gridCol w:w="985"/>
        <w:gridCol w:w="110"/>
        <w:gridCol w:w="221"/>
        <w:gridCol w:w="868"/>
        <w:gridCol w:w="115"/>
        <w:gridCol w:w="212"/>
        <w:gridCol w:w="983"/>
        <w:gridCol w:w="168"/>
      </w:tblGrid>
      <w:tr>
        <w:trPr/>
        <w:tc>
          <w:tcPr>
            <w:tcW w:w="59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2024</w:t>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useful lives)</w:t>
            </w:r>
          </w:p>
        </w:tc>
        <w:tc>
          <w:tcPr>
            <w:tcW w:w="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Useful Life (years)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Carrying Amount</w:t>
            </w:r>
          </w:p>
        </w:tc>
      </w:tr>
      <w:tr>
        <w:trPr/>
        <w:tc>
          <w:tcPr>
            <w:tcW w:w="12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ABA business process</w:t>
            </w:r>
          </w:p>
        </w:tc>
        <w:tc>
          <w:tcPr>
            <w:tcW w:w="94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1,583,000 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153,903 </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1,429,097 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1,583,000 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109,930 </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1,473,070 </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Client relationships</w:t>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 to 26</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266,419 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80,904 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185,515 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to 5</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181,492 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113,206 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technology</w:t>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to 12</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143,685 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117,189 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26,496 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Data content</w:t>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 to 20</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 to 10</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2,468,743 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552,641 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2,259,260 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415,119 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1,844,141 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60"/>
        <w:jc w:val="both"/>
        <w:rPr>
          <w:rFonts w:ascii="Times New Roman;serif" w:hAnsi="Times New Roman;serif"/>
          <w:b w:val="false"/>
          <w:color w:val="000000"/>
          <w:sz w:val="20"/>
        </w:rPr>
      </w:pPr>
      <w:r>
        <w:rPr>
          <w:rFonts w:ascii="Times New Roman;serif" w:hAnsi="Times New Roman;serif"/>
          <w:b w:val="false"/>
          <w:color w:val="000000"/>
          <w:sz w:val="20"/>
        </w:rPr>
        <w:t>The weighted average useful life of our intangible assets as of August 31, 2025 was 30.5 years. We did not identify a material change to the estimated remaining useful lives of our intangible assets during fiscal 2025 and 2024. The intangible assets have no assigned residual values.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amortization expense for our intangible assets which is included in Cost of services in our Consolidated Statements of Income:</w:t>
      </w:r>
    </w:p>
    <w:tbl>
      <w:tblPr>
        <w:tblW w:w="5283" w:type="dxa"/>
        <w:jc w:val="left"/>
        <w:tblInd w:w="0" w:type="dxa"/>
        <w:tblLayout w:type="fixed"/>
        <w:tblCellMar>
          <w:top w:w="28" w:type="dxa"/>
          <w:left w:w="28" w:type="dxa"/>
          <w:bottom w:w="28" w:type="dxa"/>
          <w:right w:w="28" w:type="dxa"/>
        </w:tblCellMar>
      </w:tblPr>
      <w:tblGrid>
        <w:gridCol w:w="690"/>
        <w:gridCol w:w="607"/>
        <w:gridCol w:w="608"/>
        <w:gridCol w:w="211"/>
        <w:gridCol w:w="826"/>
        <w:gridCol w:w="109"/>
        <w:gridCol w:w="211"/>
        <w:gridCol w:w="826"/>
        <w:gridCol w:w="109"/>
        <w:gridCol w:w="211"/>
        <w:gridCol w:w="721"/>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(in thousands)</w:t>
            </w:r>
            <w:r>
              <w:rPr>
                <w:color w:val="000000"/>
              </w:rPr>
              <w:t xml:space="preserve"> </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1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August 31, 2025, estimated intangible asset amortization expense for each of the next five years and thereafter is as follows:</w:t>
      </w:r>
    </w:p>
    <w:tbl>
      <w:tblPr>
        <w:tblW w:w="5414" w:type="dxa"/>
        <w:jc w:val="left"/>
        <w:tblInd w:w="0" w:type="dxa"/>
        <w:tblLayout w:type="fixed"/>
        <w:tblCellMar>
          <w:top w:w="28" w:type="dxa"/>
          <w:left w:w="28" w:type="dxa"/>
          <w:bottom w:w="28" w:type="dxa"/>
          <w:right w:w="28" w:type="dxa"/>
        </w:tblCellMar>
      </w:tblPr>
      <w:tblGrid>
        <w:gridCol w:w="939"/>
        <w:gridCol w:w="827"/>
        <w:gridCol w:w="829"/>
        <w:gridCol w:w="443"/>
        <w:gridCol w:w="2053"/>
        <w:gridCol w:w="323"/>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8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Amortization Expense</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Years Ended August 31,</w:t>
            </w:r>
          </w:p>
        </w:tc>
        <w:tc>
          <w:tcPr>
            <w:tcW w:w="28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143,686 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118,672 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89,985 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72,983 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70,546 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1,420,230 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1,916,102 </w:t>
            </w:r>
          </w:p>
        </w:tc>
        <w:tc>
          <w:tcPr>
            <w:tcW w:w="3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 xml:space="preserve">9. INCOME TAXES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taxation in the U.S. and various state, local and foreign jurisdictions in which we conduct our business. Income tax expense is based on taxable income determined in accordance with current enacted laws and tax rates. Deferred income taxes are recorded for the temporary differences between the financial statement carrying amounts and the tax basis of our assets and liabilities using currently enacted tax rates.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Provision for Income Taxes and Effective Tax Rate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and the effective tax rate are as follows:</w:t>
      </w:r>
    </w:p>
    <w:tbl>
      <w:tblPr>
        <w:tblW w:w="6339" w:type="dxa"/>
        <w:jc w:val="left"/>
        <w:tblInd w:w="0" w:type="dxa"/>
        <w:tblLayout w:type="fixed"/>
        <w:tblCellMar>
          <w:top w:w="28" w:type="dxa"/>
          <w:left w:w="28" w:type="dxa"/>
          <w:bottom w:w="28" w:type="dxa"/>
          <w:right w:w="28" w:type="dxa"/>
        </w:tblCellMar>
      </w:tblPr>
      <w:tblGrid>
        <w:gridCol w:w="859"/>
        <w:gridCol w:w="755"/>
        <w:gridCol w:w="756"/>
        <w:gridCol w:w="211"/>
        <w:gridCol w:w="826"/>
        <w:gridCol w:w="271"/>
        <w:gridCol w:w="211"/>
        <w:gridCol w:w="826"/>
        <w:gridCol w:w="271"/>
        <w:gridCol w:w="211"/>
        <w:gridCol w:w="826"/>
        <w:gridCol w:w="316"/>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r>
      <w:tr>
        <w:trPr/>
        <w:tc>
          <w:tcPr>
            <w:tcW w:w="2370" w:type="dxa"/>
            <w:gridSpan w:val="3"/>
            <w:vMerge w:val="continue"/>
            <w:tcBorders/>
            <w:tcMar>
              <w:top w:w="0" w:type="dxa"/>
              <w:left w:w="0" w:type="dxa"/>
              <w:bottom w:w="0" w:type="dxa"/>
              <w:right w:w="0" w:type="dxa"/>
            </w:tcMar>
            <w:vAlign w:val="center"/>
          </w:tcPr>
          <w:p>
            <w:pPr>
              <w:pStyle w:val="Normal"/>
              <w:bidi w:val="0"/>
              <w:jc w:val="left"/>
              <w:rPr/>
            </w:pPr>
            <w:r>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37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operations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479,288 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416,093 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382,702 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201,252 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Income before income taxes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720,958 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651,503 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583,954 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123,918 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114,377 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115,781 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the provision for income taxes consist of the following:</w:t>
      </w:r>
    </w:p>
    <w:tbl>
      <w:tblPr>
        <w:tblW w:w="5777" w:type="dxa"/>
        <w:jc w:val="left"/>
        <w:tblInd w:w="0" w:type="dxa"/>
        <w:tblLayout w:type="fixed"/>
        <w:tblCellMar>
          <w:top w:w="28" w:type="dxa"/>
          <w:left w:w="28" w:type="dxa"/>
          <w:bottom w:w="28" w:type="dxa"/>
          <w:right w:w="28" w:type="dxa"/>
        </w:tblCellMar>
      </w:tblPr>
      <w:tblGrid>
        <w:gridCol w:w="831"/>
        <w:gridCol w:w="730"/>
        <w:gridCol w:w="733"/>
        <w:gridCol w:w="211"/>
        <w:gridCol w:w="826"/>
        <w:gridCol w:w="109"/>
        <w:gridCol w:w="211"/>
        <w:gridCol w:w="826"/>
        <w:gridCol w:w="109"/>
        <w:gridCol w:w="211"/>
        <w:gridCol w:w="82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r>
      <w:tr>
        <w:trPr/>
        <w:tc>
          <w:tcPr>
            <w:tcW w:w="2294"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2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and local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and local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effective tax rate will vary based on, among other factors, changes in levels of foreign income, as well as other non-recurring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between the U.S. corporate income tax rate and our effective tax rate:</w:t>
      </w:r>
    </w:p>
    <w:tbl>
      <w:tblPr>
        <w:tblW w:w="9020" w:type="dxa"/>
        <w:jc w:val="left"/>
        <w:tblInd w:w="0" w:type="dxa"/>
        <w:tblLayout w:type="fixed"/>
        <w:tblCellMar>
          <w:top w:w="28" w:type="dxa"/>
          <w:left w:w="28" w:type="dxa"/>
          <w:bottom w:w="28" w:type="dxa"/>
          <w:right w:w="28" w:type="dxa"/>
        </w:tblCellMar>
      </w:tblPr>
      <w:tblGrid>
        <w:gridCol w:w="2139"/>
        <w:gridCol w:w="1883"/>
        <w:gridCol w:w="1888"/>
        <w:gridCol w:w="255"/>
        <w:gridCol w:w="256"/>
        <w:gridCol w:w="292"/>
        <w:gridCol w:w="109"/>
        <w:gridCol w:w="109"/>
        <w:gridCol w:w="109"/>
        <w:gridCol w:w="255"/>
        <w:gridCol w:w="256"/>
        <w:gridCol w:w="292"/>
        <w:gridCol w:w="109"/>
        <w:gridCol w:w="109"/>
        <w:gridCol w:w="109"/>
        <w:gridCol w:w="255"/>
        <w:gridCol w:w="256"/>
        <w:gridCol w:w="339"/>
      </w:tblGrid>
      <w:tr>
        <w:trPr/>
        <w:tc>
          <w:tcPr>
            <w:tcW w:w="2139"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Years ended August 31, </w:t>
            </w:r>
          </w:p>
        </w:tc>
      </w:tr>
      <w:tr>
        <w:trPr/>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(expressed as a percentage of income before income taxes)</w:t>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5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at U.S. Federal statutory tax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 (decrease) in taxes resulting from:</w:t>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taxes, net of U.S. federal income tax benefit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income at other than U.S. rates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derived intangible income ("FDII") tax deduction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benefits from research and development ("R&amp;D") tax credits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payments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impact of foreign income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Uncertain tax positions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One-time adjustment</w:t>
            </w:r>
            <w:r>
              <w:rPr>
                <w:rFonts w:ascii="Times New Roman;serif" w:hAnsi="Times New Roman;serif"/>
                <w:b w:val="false"/>
                <w:color w:val="000000"/>
                <w:sz w:val="13"/>
              </w:rPr>
              <w:t>(1)</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Effective tax rate</w:t>
            </w:r>
          </w:p>
        </w:tc>
        <w:tc>
          <w:tcPr>
            <w:tcW w:w="51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9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9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33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(1) During fiscal 2023, we recorded an out-of-period adjustment related to a review and analysis of certain tax positions, resulting in a one-time net charge. The adjustment related to the accounting of tax balance sheet accounts. All local, federal and foreign taxes payable have been paid in a timely manner, subject to normal audits of open years.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Deferred Tax Assets and Liabilities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recognize deferred income taxes to reflect the temporary differences between the financial statement carrying amounts of assets and liabilities and their corresponding tax basis. The tax effects of these differences are as follows:</w:t>
      </w:r>
    </w:p>
    <w:tbl>
      <w:tblPr>
        <w:tblW w:w="7437" w:type="dxa"/>
        <w:jc w:val="left"/>
        <w:tblInd w:w="0" w:type="dxa"/>
        <w:tblLayout w:type="fixed"/>
        <w:tblCellMar>
          <w:top w:w="28" w:type="dxa"/>
          <w:left w:w="28" w:type="dxa"/>
          <w:bottom w:w="28" w:type="dxa"/>
          <w:right w:w="28" w:type="dxa"/>
        </w:tblCellMar>
      </w:tblPr>
      <w:tblGrid>
        <w:gridCol w:w="1794"/>
        <w:gridCol w:w="1577"/>
        <w:gridCol w:w="1579"/>
        <w:gridCol w:w="211"/>
        <w:gridCol w:w="901"/>
        <w:gridCol w:w="109"/>
        <w:gridCol w:w="211"/>
        <w:gridCol w:w="901"/>
        <w:gridCol w:w="154"/>
      </w:tblGrid>
      <w:tr>
        <w:trPr/>
        <w:tc>
          <w:tcPr>
            <w:tcW w:w="1794"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48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As of August 31, </w:t>
            </w:r>
          </w:p>
        </w:tc>
      </w:tr>
      <w:tr>
        <w:trPr/>
        <w:tc>
          <w:tcPr>
            <w:tcW w:w="4950"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of R&amp;D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Tax Dispute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deferred tax assets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255,649 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228,864 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on PPE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intangible assets, including acquired technology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ROU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deferred tax liabilities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(206,575)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(175,979)</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(liabilities),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 (liabilities),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Total deferred tax assets and liabilities recorded within the Consolidated Balance Sheets were as follows:</w:t>
      </w:r>
    </w:p>
    <w:tbl>
      <w:tblPr>
        <w:tblW w:w="5486" w:type="dxa"/>
        <w:jc w:val="left"/>
        <w:tblInd w:w="0" w:type="dxa"/>
        <w:tblLayout w:type="fixed"/>
        <w:tblCellMar>
          <w:top w:w="28" w:type="dxa"/>
          <w:left w:w="28" w:type="dxa"/>
          <w:bottom w:w="28" w:type="dxa"/>
          <w:right w:w="28" w:type="dxa"/>
        </w:tblCellMar>
      </w:tblPr>
      <w:tblGrid>
        <w:gridCol w:w="1215"/>
        <w:gridCol w:w="1071"/>
        <w:gridCol w:w="1073"/>
        <w:gridCol w:w="211"/>
        <w:gridCol w:w="721"/>
        <w:gridCol w:w="109"/>
        <w:gridCol w:w="211"/>
        <w:gridCol w:w="721"/>
        <w:gridCol w:w="154"/>
      </w:tblGrid>
      <w:tr>
        <w:trPr/>
        <w:tc>
          <w:tcPr>
            <w:tcW w:w="121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12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As of August 31, </w:t>
            </w:r>
          </w:p>
        </w:tc>
      </w:tr>
      <w:tr>
        <w:trPr/>
        <w:tc>
          <w:tcPr>
            <w:tcW w:w="3359"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 (liabilities),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August 31, 2025, our pre-tax foreign, federal and state NOLs were approximately $12.8 million, $18.9 million and $11.1 million, respectively. These carryforwards may be used to offset future taxable income. Our foreign NOLs expire on August 31, 2045, while our federal NOLs have various expiration dates, beginning August 31, 2036, with some federal NOLs having an unlimited carryforward. Our state NOLs have various expiration dates, beginning August 31, 2026. Utilization of the NOLs may be subject to an annual limitation due to the ownership limitations provided by the Internal Revenue Code of 1986, as amended (the "Code"), and similar state provisions. Any annual limitation may result in the expiration of NOLs before utilization.</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Unrecognized Tax Benefits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determination of liabilities related to uncertain tax positions, and associated interest and penalties, requires significant estimates and assumptions; as such, there can be no assurance that we will accurately predict the outcomes of these audits. We have no reason to believe that such audits will result in the payment of additional taxes and/or penalties that would have a material adverse effect on our results of operations or financial position, beyond current estimates.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balance of gross unrecognized tax benefits:</w:t>
      </w:r>
    </w:p>
    <w:tbl>
      <w:tblPr>
        <w:tblW w:w="5990" w:type="dxa"/>
        <w:jc w:val="left"/>
        <w:tblInd w:w="0" w:type="dxa"/>
        <w:tblLayout w:type="fixed"/>
        <w:tblCellMar>
          <w:top w:w="28" w:type="dxa"/>
          <w:left w:w="28" w:type="dxa"/>
          <w:bottom w:w="28" w:type="dxa"/>
          <w:right w:w="28" w:type="dxa"/>
        </w:tblCellMar>
      </w:tblPr>
      <w:tblGrid>
        <w:gridCol w:w="1775"/>
        <w:gridCol w:w="1563"/>
        <w:gridCol w:w="1566"/>
        <w:gridCol w:w="211"/>
        <w:gridCol w:w="721"/>
        <w:gridCol w:w="154"/>
      </w:tblGrid>
      <w:tr>
        <w:trPr/>
        <w:tc>
          <w:tcPr>
            <w:tcW w:w="1775"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Unrecognized tax benefits as of August 31, 2022</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based on tax positions related to the current year</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w:t>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 for tax positions of prior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Unrecognized tax benefits as of August 31, 2023</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21,053 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based on tax positions related to the current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Additions for tax positions related to prior years</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 for tax positions of prior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Unrecognized tax benefits as of August 31, 2024</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based on tax positions related to the current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Additions for tax positions related to prior years</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 for tax positions of prior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4" w:space="0" w:color="494949"/>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Unrecognized tax benefits as of August 31, 2025</w:t>
            </w:r>
          </w:p>
        </w:tc>
        <w:tc>
          <w:tcPr>
            <w:tcW w:w="211" w:type="dxa"/>
            <w:tcBorders>
              <w:top w:val="single" w:sz="4" w:space="0" w:color="494949"/>
              <w:bottom w:val="double" w:sz="8" w:space="0" w:color="494949"/>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494949"/>
              <w:bottom w:val="double" w:sz="8" w:space="0" w:color="494949"/>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39,434 </w:t>
            </w:r>
          </w:p>
        </w:tc>
        <w:tc>
          <w:tcPr>
            <w:tcW w:w="154" w:type="dxa"/>
            <w:tcBorders>
              <w:top w:val="single" w:sz="4" w:space="0" w:color="494949"/>
              <w:bottom w:val="double" w:sz="8" w:space="0" w:color="49494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(1) Additions for tax positions related to prior years was presented separately in fiscal 2025. Comparative figures for fiscal 2024 have been conformed. There were no such amounts in fiscal 2023.</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do not currently anticipate that the total amount of unrecognized tax benefits will significantly change within the next 12 months. We recognize accrued interest related to unrecognized tax benefits in our Provision for income taxes in the Consolidated Statements of Income. Our accrued interest related to unrecognized tax benefits was $5.7 million, $3.9 million and $1.6 million as of August 31, 2025, 2024 and 2023, respectively. As of fiscal 2025, 2024 and 2023, there were $38.5 million, $29.1 million and $19.1 million of unrecognized tax benefits that, if recognized, would affect the annual effective tax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our tax filings are subject to audit by federal, state and foreign tax authorities. As of August 31, 2025, we remained subject to examination in the following significant tax jurisdictions for the fiscal years as indicated below:</w:t>
      </w:r>
    </w:p>
    <w:tbl>
      <w:tblPr>
        <w:tblW w:w="4471" w:type="dxa"/>
        <w:jc w:val="left"/>
        <w:tblInd w:w="0" w:type="dxa"/>
        <w:tblLayout w:type="fixed"/>
        <w:tblCellMar>
          <w:top w:w="28" w:type="dxa"/>
          <w:left w:w="28" w:type="dxa"/>
          <w:bottom w:w="28" w:type="dxa"/>
          <w:right w:w="28" w:type="dxa"/>
        </w:tblCellMar>
      </w:tblPr>
      <w:tblGrid>
        <w:gridCol w:w="863"/>
        <w:gridCol w:w="759"/>
        <w:gridCol w:w="763"/>
        <w:gridCol w:w="208"/>
        <w:gridCol w:w="208"/>
        <w:gridCol w:w="208"/>
        <w:gridCol w:w="250"/>
        <w:gridCol w:w="250"/>
        <w:gridCol w:w="251"/>
        <w:gridCol w:w="208"/>
        <w:gridCol w:w="208"/>
        <w:gridCol w:w="295"/>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Tax Jurisdiction</w:t>
            </w:r>
          </w:p>
        </w:tc>
        <w:tc>
          <w:tcPr>
            <w:tcW w:w="2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Open Tax Fiscal Years</w:t>
            </w:r>
          </w:p>
        </w:tc>
      </w:tr>
      <w:tr>
        <w:trPr/>
        <w:tc>
          <w:tcPr>
            <w:tcW w:w="23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6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2019</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through</w:t>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(various)</w:t>
            </w:r>
          </w:p>
        </w:tc>
        <w:tc>
          <w:tcPr>
            <w:tcW w:w="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2019</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through</w:t>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through</w:t>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through</w:t>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bl>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Undistributed Foreign Earnings</w:t>
      </w:r>
    </w:p>
    <w:p>
      <w:pPr>
        <w:pStyle w:val="TextBody"/>
        <w:bidi w:val="0"/>
        <w:spacing w:lineRule="auto" w:line="288" w:before="200" w:after="283"/>
        <w:jc w:val="both"/>
        <w:rPr/>
      </w:pPr>
      <w:r>
        <w:rPr>
          <w:rFonts w:ascii="Times New Roman;serif" w:hAnsi="Times New Roman;serif"/>
          <w:b w:val="false"/>
          <w:color w:val="000000"/>
          <w:sz w:val="20"/>
        </w:rPr>
        <w:t xml:space="preserve">As of </w:t>
      </w:r>
      <w:r>
        <w:rPr>
          <w:rFonts w:ascii="Times New Roman;serif" w:hAnsi="Times New Roman;serif"/>
          <w:b w:val="false"/>
          <w:color w:val="212529"/>
          <w:sz w:val="20"/>
        </w:rPr>
        <w:t>August 31, 2025</w:t>
      </w:r>
      <w:r>
        <w:rPr>
          <w:rFonts w:ascii="Times New Roman;serif" w:hAnsi="Times New Roman;serif"/>
          <w:b w:val="false"/>
          <w:color w:val="000000"/>
          <w:sz w:val="20"/>
        </w:rPr>
        <w:t xml:space="preserve">, we had $486.9 million of undistributed foreign earnings of which $69.1 million are permanently reinvested. It is our intent to permanently reinvest all foreign undistributed earnings, except in jurisdictions where earnings can be repatriated substantially free of tax. It is not practicable to determine the deferred tax liability that would be payable if these permanently reinvested earnings were repatriated to the U.S. With respect to outside basis differences other than unremitted earnings, we continue to be permanently reinvested and have no plans to liquidate or sell any foreign subsidiaries. In addition, we have not provided for deferred taxes on any outside basis differences of our domestic subsidiaries as we have the ability and intent to recover these basis differences in a tax-free manner. It is not practicable to determine the amount of unrecognized deferred tax related to these basis differences.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Base Erosion and Profit Shifting Pillar Two</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Organization for Economic Co-operation and Development released Base Erosion and Profit Shifting Pillar Two rules (“Pillar Two”) to introduce a global minimum corporate tax of 15% for companies with global revenues and profits above certain thresholds. Certain aspects of Pillar Two are effective for tax years beginning on or after January 1, 2024. Although the U.S. has not yet enacted legislation to adopt Pillar Two, certain countries in which we operate have already adopted, or are in the process of adopting, legislation to implement Pillar Two. We have determined that Pillar Two would not have a material impact to our Consolidated Financial Statements, related disclosures, or effective tax rate. However, the Pillar Two rules continue to evolve and their application may alter our tax obligations in certain countries in which we operate for fiscal 2026, and beyond, as we continue to assess the impact of tax legislation in these jurisdictions.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One Big Beautiful Bill Act</w:t>
      </w:r>
    </w:p>
    <w:p>
      <w:pPr>
        <w:pStyle w:val="TextBody"/>
        <w:bidi w:val="0"/>
        <w:spacing w:lineRule="auto" w:line="288" w:before="200" w:after="283"/>
        <w:jc w:val="both"/>
        <w:rPr/>
      </w:pPr>
      <w:r>
        <w:rPr>
          <w:rFonts w:ascii="Times New Roman;serif" w:hAnsi="Times New Roman;serif"/>
          <w:b w:val="false"/>
          <w:color w:val="000000"/>
          <w:sz w:val="20"/>
        </w:rPr>
        <w:t xml:space="preserve">On July 4, 2025, the One Big Beautiful Bill Act (the "Act") was signed into law. The legislation includes a broad range of tax reform provisions affecting businesses including, but not limited to, the expansion of bonus depreciation, immediate expensing of domestic R&amp;D costs, and revisions to the U.S. taxation of profits derived from international operations. The legislation has multiple effective dates, with certain provisions effective in fiscal year 2025 and others implemented through fiscal year 2027. The Act did not have a material impact on the Company financial position and results of operations as of and for the fiscal year ended </w:t>
      </w:r>
      <w:r>
        <w:rPr>
          <w:rFonts w:ascii="Times New Roman;serif" w:hAnsi="Times New Roman;serif"/>
          <w:b w:val="false"/>
          <w:color w:val="212529"/>
          <w:sz w:val="20"/>
        </w:rPr>
        <w:t>August 31, 2025</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10. LEASES</w:t>
      </w:r>
    </w:p>
    <w:p>
      <w:pPr>
        <w:pStyle w:val="TextBody"/>
        <w:bidi w:val="0"/>
        <w:spacing w:lineRule="auto" w:line="288" w:before="200" w:after="283"/>
        <w:jc w:val="both"/>
        <w:rPr/>
      </w:pPr>
      <w:r>
        <w:rPr>
          <w:rFonts w:ascii="Times New Roman;serif" w:hAnsi="Times New Roman;serif"/>
          <w:b w:val="false"/>
          <w:color w:val="212529"/>
          <w:sz w:val="20"/>
        </w:rPr>
        <w:t xml:space="preserve">Our operating lease arrangements relate to our office space and data centers. </w:t>
      </w:r>
      <w:r>
        <w:rPr>
          <w:rFonts w:ascii="Times New Roman;serif" w:hAnsi="Times New Roman;serif"/>
          <w:b w:val="false"/>
          <w:color w:val="000000"/>
          <w:sz w:val="20"/>
        </w:rPr>
        <w:t xml:space="preserve">We review new arrangements at inception to evaluate whether we obtain substantially all the economic benefits of and have the right to control the use of an asset. </w:t>
      </w:r>
      <w:r>
        <w:rPr>
          <w:rFonts w:ascii="Times New Roman;serif" w:hAnsi="Times New Roman;serif"/>
          <w:b w:val="false"/>
          <w:color w:val="212529"/>
          <w:sz w:val="20"/>
        </w:rPr>
        <w:t xml:space="preserve">Our </w:t>
      </w:r>
      <w:r>
        <w:rPr>
          <w:rFonts w:ascii="Times New Roman;serif" w:hAnsi="Times New Roman;serif"/>
          <w:b w:val="false"/>
          <w:color w:val="000000"/>
          <w:sz w:val="20"/>
        </w:rPr>
        <w:t xml:space="preserve">lease ROU assets and lease liabilities are recognized based on </w:t>
      </w:r>
      <w:r>
        <w:rPr>
          <w:rFonts w:ascii="Times New Roman;serif" w:hAnsi="Times New Roman;serif"/>
          <w:b w:val="false"/>
          <w:color w:val="212529"/>
          <w:sz w:val="20"/>
        </w:rPr>
        <w:t xml:space="preserve">the present value of future minimum lease payments at lease commencement or modification date (which includes fixed lease payments and certain qualifying index-based variable payments) </w:t>
      </w:r>
      <w:r>
        <w:rPr>
          <w:rFonts w:ascii="Times New Roman;serif" w:hAnsi="Times New Roman;serif"/>
          <w:b w:val="false"/>
          <w:color w:val="000000"/>
          <w:sz w:val="20"/>
        </w:rPr>
        <w:t xml:space="preserve">over the reasonably certain lease term, leveraging </w:t>
      </w:r>
      <w:r>
        <w:rPr>
          <w:rFonts w:ascii="Times New Roman;serif" w:hAnsi="Times New Roman;serif"/>
          <w:b w:val="false"/>
          <w:color w:val="212529"/>
          <w:sz w:val="20"/>
        </w:rPr>
        <w:t xml:space="preserve">an estimated IBR. </w:t>
      </w:r>
      <w:r>
        <w:rPr>
          <w:rFonts w:ascii="Times New Roman;serif" w:hAnsi="Times New Roman;serif"/>
          <w:b w:val="false"/>
          <w:color w:val="000000"/>
          <w:sz w:val="20"/>
        </w:rPr>
        <w:t xml:space="preserve">Certain adjustments to calculate our lease ROU assets may be required due to prepayments, lease incentives received and initial direct costs incurred. We account for lease and non-lease components as a single lease component, which we recognize over the expected lease term on a straight-line expense basis in occupancy costs (a component of SG&amp;A expense) in our Consolidated Statements of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pPr>
      <w:r>
        <w:rPr>
          <w:rFonts w:ascii="Times New Roman;serif" w:hAnsi="Times New Roman;serif"/>
          <w:b w:val="false"/>
          <w:color w:val="212529"/>
          <w:sz w:val="20"/>
        </w:rPr>
        <w:t>As of August 31, 2025</w:t>
      </w:r>
      <w:r>
        <w:rPr>
          <w:rFonts w:ascii="Times New Roman;serif" w:hAnsi="Times New Roman;serif"/>
          <w:b w:val="false"/>
          <w:color w:val="000000"/>
          <w:sz w:val="20"/>
        </w:rPr>
        <w:t xml:space="preserve">, we recognized $121.8 million of Lease ROU assets, net and $190.2 million of combined Current lease liabilities and Long-term lease liabilities in the Consolidated Balance Sheets. Our leases </w:t>
      </w:r>
      <w:r>
        <w:rPr>
          <w:rFonts w:ascii="Times New Roman;serif" w:hAnsi="Times New Roman;serif"/>
          <w:b w:val="false"/>
          <w:color w:val="212529"/>
          <w:sz w:val="20"/>
        </w:rPr>
        <w:t xml:space="preserve">have a remaining lease term ranging from less than one year to </w:t>
      </w:r>
      <w:r>
        <w:rPr>
          <w:rFonts w:ascii="Times New Roman;serif" w:hAnsi="Times New Roman;serif"/>
          <w:b w:val="false"/>
          <w:color w:val="000000"/>
          <w:sz w:val="20"/>
        </w:rPr>
        <w:t>just over</w:t>
      </w:r>
      <w:r>
        <w:rPr>
          <w:color w:val="212529"/>
        </w:rPr>
        <w:t xml:space="preserve"> </w:t>
      </w:r>
      <w:r>
        <w:rPr>
          <w:rFonts w:ascii="Times New Roman;serif" w:hAnsi="Times New Roman;serif"/>
          <w:b w:val="false"/>
          <w:color w:val="212529"/>
          <w:sz w:val="20"/>
        </w:rPr>
        <w:t xml:space="preserve">10 years. Our lease agreements may </w:t>
      </w:r>
      <w:r>
        <w:rPr>
          <w:rFonts w:ascii="Times New Roman;serif" w:hAnsi="Times New Roman;serif"/>
          <w:b w:val="false"/>
          <w:color w:val="000000"/>
          <w:sz w:val="20"/>
        </w:rPr>
        <w:t>include options to extend or terminate the lease, which would be included in the measurement of our lease term if it is reasonably certain that we will exercise the option.</w:t>
      </w:r>
    </w:p>
    <w:p>
      <w:pPr>
        <w:pStyle w:val="TextBody"/>
        <w:bidi w:val="0"/>
        <w:spacing w:lineRule="auto" w:line="288" w:before="200" w:after="283"/>
        <w:jc w:val="both"/>
        <w:rPr/>
      </w:pPr>
      <w:r>
        <w:rPr>
          <w:rFonts w:ascii="Times New Roman;serif" w:hAnsi="Times New Roman;serif"/>
          <w:b w:val="false"/>
          <w:color w:val="212529"/>
          <w:sz w:val="20"/>
        </w:rPr>
        <w:t xml:space="preserve">The following table presents our future minimum lease payments and a reconciliation to the combined </w:t>
      </w:r>
      <w:r>
        <w:rPr>
          <w:rFonts w:ascii="Times New Roman;serif" w:hAnsi="Times New Roman;serif"/>
          <w:b w:val="false"/>
          <w:color w:val="000000"/>
          <w:sz w:val="20"/>
        </w:rPr>
        <w:t xml:space="preserve">Current lease liabilities and Long-term lease liabilities in the Consolidated Balance Sheets </w:t>
      </w:r>
      <w:r>
        <w:rPr>
          <w:rFonts w:ascii="Times New Roman;serif" w:hAnsi="Times New Roman;serif"/>
          <w:b w:val="false"/>
          <w:color w:val="212529"/>
          <w:sz w:val="20"/>
        </w:rPr>
        <w:t xml:space="preserve">as of August 31, 2025: </w:t>
      </w:r>
    </w:p>
    <w:tbl>
      <w:tblPr>
        <w:tblW w:w="4125" w:type="dxa"/>
        <w:jc w:val="left"/>
        <w:tblInd w:w="0" w:type="dxa"/>
        <w:tblLayout w:type="fixed"/>
        <w:tblCellMar>
          <w:top w:w="28" w:type="dxa"/>
          <w:left w:w="28" w:type="dxa"/>
          <w:bottom w:w="28" w:type="dxa"/>
          <w:right w:w="28" w:type="dxa"/>
        </w:tblCellMar>
      </w:tblPr>
      <w:tblGrid>
        <w:gridCol w:w="961"/>
        <w:gridCol w:w="846"/>
        <w:gridCol w:w="848"/>
        <w:gridCol w:w="260"/>
        <w:gridCol w:w="1020"/>
        <w:gridCol w:w="190"/>
      </w:tblGrid>
      <w:tr>
        <w:trPr/>
        <w:tc>
          <w:tcPr>
            <w:tcW w:w="96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 thousands) </w:t>
            </w:r>
          </w:p>
        </w:tc>
        <w:tc>
          <w:tcPr>
            <w:tcW w:w="147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Minimum Lease</w:t>
              <w:br/>
              <w:t>Payments</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Years Ended August 31,</w:t>
            </w:r>
          </w:p>
        </w:tc>
        <w:tc>
          <w:tcPr>
            <w:tcW w:w="147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217,201 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190,249 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components of our occupancy costs:</w:t>
      </w:r>
    </w:p>
    <w:tbl>
      <w:tblPr>
        <w:tblW w:w="5162" w:type="dxa"/>
        <w:jc w:val="left"/>
        <w:tblInd w:w="0" w:type="dxa"/>
        <w:tblLayout w:type="fixed"/>
        <w:tblCellMar>
          <w:top w:w="28" w:type="dxa"/>
          <w:left w:w="28" w:type="dxa"/>
          <w:bottom w:w="28" w:type="dxa"/>
          <w:right w:w="28" w:type="dxa"/>
        </w:tblCellMar>
      </w:tblPr>
      <w:tblGrid>
        <w:gridCol w:w="722"/>
        <w:gridCol w:w="635"/>
        <w:gridCol w:w="637"/>
        <w:gridCol w:w="211"/>
        <w:gridCol w:w="721"/>
        <w:gridCol w:w="109"/>
        <w:gridCol w:w="211"/>
        <w:gridCol w:w="721"/>
        <w:gridCol w:w="109"/>
        <w:gridCol w:w="211"/>
        <w:gridCol w:w="721"/>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(in thousands)</w:t>
            </w:r>
            <w:r>
              <w:rPr>
                <w:color w:val="000000"/>
              </w:rPr>
              <w:t xml:space="preserve"> </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19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 costs</w:t>
            </w:r>
            <w:r>
              <w:rPr>
                <w:rFonts w:ascii="Times New Roman;serif" w:hAnsi="Times New Roman;serif"/>
                <w:b w:val="false"/>
                <w:color w:val="000000"/>
                <w:sz w:val="13"/>
              </w:rPr>
              <w:t>(1)</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Variable lease costs</w:t>
            </w:r>
            <w:r>
              <w:rPr>
                <w:rFonts w:ascii="Times New Roman;serif" w:hAnsi="Times New Roman;serif"/>
                <w:b w:val="false"/>
                <w:color w:val="000000"/>
                <w:sz w:val="13"/>
              </w:rPr>
              <w:t>(2)</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270"/>
        <w:jc w:val="both"/>
        <w:rPr/>
      </w:pPr>
      <w:r>
        <w:rPr>
          <w:rFonts w:ascii="Times New Roman;serif" w:hAnsi="Times New Roman;serif"/>
          <w:b w:val="false"/>
          <w:color w:val="000000"/>
          <w:sz w:val="18"/>
        </w:rPr>
        <w:t xml:space="preserve">(1) Operating lease costs include costs associated with fixed lease payments and index-based variable payments that qualified for lease accounting under ASC 842, </w:t>
      </w:r>
      <w:r>
        <w:rPr>
          <w:rFonts w:ascii="Times New Roman;serif" w:hAnsi="Times New Roman;serif"/>
          <w:b w:val="false"/>
          <w:i/>
          <w:color w:val="000000"/>
          <w:sz w:val="18"/>
        </w:rPr>
        <w:t>Leases</w:t>
      </w:r>
      <w:r>
        <w:rPr>
          <w:color w:val="000000"/>
        </w:rPr>
        <w:t xml:space="preserve"> </w:t>
      </w:r>
      <w:r>
        <w:rPr>
          <w:rFonts w:ascii="Times New Roman;serif" w:hAnsi="Times New Roman;serif"/>
          <w:b w:val="false"/>
          <w:color w:val="000000"/>
          <w:sz w:val="18"/>
        </w:rPr>
        <w:t>and complied with the practical expedients and exceptions we elected.</w:t>
      </w:r>
    </w:p>
    <w:p>
      <w:pPr>
        <w:pStyle w:val="TextBody"/>
        <w:bidi w:val="0"/>
        <w:spacing w:lineRule="auto" w:line="288" w:before="80" w:after="283"/>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 xml:space="preserve">(2) Variable lease costs include costs that are not fixed and are not dependent on an index or rate. These costs were not included in the measurement of lease liabilities and primarily include variable non-lease costs, such as utilities, real estate taxes, insurance and maintenance, as well as lease costs for those leases that qualified for the short-term lease exception.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weighted average remaining lease term and weighted average discount rate related to our operating leases recorded on the Consolidated Balance Sheets:</w:t>
      </w:r>
    </w:p>
    <w:tbl>
      <w:tblPr>
        <w:tblW w:w="5822" w:type="dxa"/>
        <w:jc w:val="left"/>
        <w:tblInd w:w="0" w:type="dxa"/>
        <w:tblLayout w:type="fixed"/>
        <w:tblCellMar>
          <w:top w:w="28" w:type="dxa"/>
          <w:left w:w="28" w:type="dxa"/>
          <w:bottom w:w="28" w:type="dxa"/>
          <w:right w:w="28" w:type="dxa"/>
        </w:tblCellMar>
      </w:tblPr>
      <w:tblGrid>
        <w:gridCol w:w="1491"/>
        <w:gridCol w:w="1312"/>
        <w:gridCol w:w="1321"/>
        <w:gridCol w:w="232"/>
        <w:gridCol w:w="174"/>
        <w:gridCol w:w="409"/>
        <w:gridCol w:w="232"/>
        <w:gridCol w:w="174"/>
        <w:gridCol w:w="477"/>
      </w:tblGrid>
      <w:tr>
        <w:trPr/>
        <w:tc>
          <w:tcPr>
            <w:tcW w:w="1491"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As of August 31, </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12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 average remaining lease term </w:t>
            </w:r>
            <w:r>
              <w:rPr>
                <w:rFonts w:ascii="Times New Roman;serif" w:hAnsi="Times New Roman;serif"/>
                <w:b w:val="false"/>
                <w:i/>
                <w:color w:val="000000"/>
                <w:sz w:val="20"/>
              </w:rPr>
              <w:t>(in years)</w:t>
            </w:r>
          </w:p>
        </w:tc>
        <w:tc>
          <w:tcPr>
            <w:tcW w:w="81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88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 average discount rate</w:t>
            </w:r>
            <w:r>
              <w:rPr>
                <w:color w:val="000000"/>
              </w:rPr>
              <w:t xml:space="preserve"> </w:t>
            </w:r>
            <w:r>
              <w:rPr>
                <w:rFonts w:ascii="Times New Roman;serif" w:hAnsi="Times New Roman;serif"/>
                <w:b w:val="false"/>
                <w:i/>
                <w:color w:val="000000"/>
                <w:sz w:val="20"/>
              </w:rPr>
              <w:t>(IBR)</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3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supplemental cash flow information related to our operating leases:</w:t>
      </w:r>
    </w:p>
    <w:tbl>
      <w:tblPr>
        <w:tblW w:w="9123" w:type="dxa"/>
        <w:jc w:val="left"/>
        <w:tblInd w:w="0" w:type="dxa"/>
        <w:tblLayout w:type="fixed"/>
        <w:tblCellMar>
          <w:top w:w="28" w:type="dxa"/>
          <w:left w:w="28" w:type="dxa"/>
          <w:bottom w:w="28" w:type="dxa"/>
          <w:right w:w="28" w:type="dxa"/>
        </w:tblCellMar>
      </w:tblPr>
      <w:tblGrid>
        <w:gridCol w:w="2157"/>
        <w:gridCol w:w="1897"/>
        <w:gridCol w:w="1901"/>
        <w:gridCol w:w="211"/>
        <w:gridCol w:w="721"/>
        <w:gridCol w:w="109"/>
        <w:gridCol w:w="211"/>
        <w:gridCol w:w="721"/>
        <w:gridCol w:w="109"/>
        <w:gridCol w:w="211"/>
        <w:gridCol w:w="721"/>
        <w:gridCol w:w="154"/>
      </w:tblGrid>
      <w:tr>
        <w:trPr/>
        <w:tc>
          <w:tcPr>
            <w:tcW w:w="2157"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(in thousands)</w:t>
            </w:r>
            <w:r>
              <w:rPr>
                <w:color w:val="000000"/>
              </w:rPr>
              <w:t xml:space="preserve"> </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59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Lease ROU assets obtained in exchange for lease liabilities</w:t>
            </w:r>
            <w:r>
              <w:rPr>
                <w:rFonts w:ascii="Times New Roman;serif" w:hAnsi="Times New Roman;serif"/>
                <w:b w:val="false"/>
                <w:color w:val="000000"/>
                <w:sz w:val="13"/>
              </w:rPr>
              <w:t>(1)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Reductions to ROU assets resulting from reductions to lease liabilities</w:t>
            </w:r>
            <w:r>
              <w:rPr>
                <w:rFonts w:ascii="Times New Roman;serif" w:hAnsi="Times New Roman;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(1) Primarily includes new lease arrangements entered into during the respective period and contract modifications that extend our lease terms and/or provide additional rights.</w:t>
      </w:r>
    </w:p>
    <w:p>
      <w:pPr>
        <w:pStyle w:val="TextBody"/>
        <w:bidi w:val="0"/>
        <w:spacing w:lineRule="auto" w:line="288" w:before="0" w:after="10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 xml:space="preserve">(2) Primarily relates to lease term reassessments based on contractual options to early terminate, resulting in a reduction to the lease liability and the corresponding lease ROU asset.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11. DEBT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not elected the fair value option and report our debt at amortized cost. Our debt obligations as of August 31, 2025 and August 31, 2024 consisted of the following: </w:t>
      </w:r>
    </w:p>
    <w:tbl>
      <w:tblPr>
        <w:tblW w:w="10205" w:type="dxa"/>
        <w:jc w:val="left"/>
        <w:tblInd w:w="0" w:type="dxa"/>
        <w:tblLayout w:type="fixed"/>
        <w:tblCellMar>
          <w:top w:w="28" w:type="dxa"/>
          <w:left w:w="28" w:type="dxa"/>
          <w:bottom w:w="28" w:type="dxa"/>
          <w:right w:w="28" w:type="dxa"/>
        </w:tblCellMar>
      </w:tblPr>
      <w:tblGrid>
        <w:gridCol w:w="1424"/>
        <w:gridCol w:w="1240"/>
        <w:gridCol w:w="1243"/>
        <w:gridCol w:w="395"/>
        <w:gridCol w:w="395"/>
        <w:gridCol w:w="397"/>
        <w:gridCol w:w="724"/>
        <w:gridCol w:w="724"/>
        <w:gridCol w:w="725"/>
        <w:gridCol w:w="235"/>
        <w:gridCol w:w="1088"/>
        <w:gridCol w:w="121"/>
        <w:gridCol w:w="234"/>
        <w:gridCol w:w="1084"/>
        <w:gridCol w:w="176"/>
      </w:tblGrid>
      <w:tr>
        <w:trPr/>
        <w:tc>
          <w:tcPr>
            <w:tcW w:w="1424"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Issuance Date</w:t>
            </w:r>
          </w:p>
        </w:tc>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Contractual Maturity Date</w:t>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1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2024</w:t>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debt</w:t>
            </w:r>
          </w:p>
        </w:tc>
        <w:tc>
          <w:tcPr>
            <w:tcW w:w="118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2022 Term Facility</w:t>
            </w:r>
            <w:r>
              <w:rPr>
                <w:rFonts w:ascii="Times New Roman;serif" w:hAnsi="Times New Roman;serif"/>
                <w:b w:val="false"/>
                <w:color w:val="000000"/>
                <w:sz w:val="13"/>
              </w:rPr>
              <w:t>(1)</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3/1/2022</w:t>
            </w:r>
          </w:p>
        </w:tc>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3/1/2025</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debt</w:t>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124,842 </w:t>
            </w:r>
          </w:p>
        </w:tc>
        <w:tc>
          <w:tcPr>
            <w:tcW w:w="1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2022 Revolving Facility</w:t>
            </w:r>
            <w:r>
              <w:rPr>
                <w:rFonts w:ascii="Times New Roman;serif" w:hAnsi="Times New Roman;serif"/>
                <w:b w:val="false"/>
                <w:color w:val="000000"/>
                <w:sz w:val="13"/>
              </w:rPr>
              <w:t>(2)</w:t>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3/1/2022</w:t>
            </w:r>
          </w:p>
        </w:tc>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3/1/2027</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Term Facility</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4/8/2025</w:t>
            </w:r>
          </w:p>
        </w:tc>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4/8/2028</w:t>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375,000 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Notes</w:t>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3/1/2022</w:t>
            </w:r>
          </w:p>
        </w:tc>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3/1/2027</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Notes</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3/1/2022</w:t>
            </w:r>
          </w:p>
        </w:tc>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3/1/2032</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Unamortized discounts and debt issuance costs</w:t>
            </w:r>
            <w:r>
              <w:rPr>
                <w:rFonts w:ascii="Times New Roman;serif" w:hAnsi="Times New Roman;serif"/>
                <w:b w:val="false"/>
                <w:color w:val="000000"/>
                <w:sz w:val="13"/>
              </w:rPr>
              <w:t>(3)</w:t>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1,368,260 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1,241,131 </w:t>
            </w:r>
          </w:p>
        </w:tc>
        <w:tc>
          <w:tcPr>
            <w:tcW w:w="1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1,368,260 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1,365,973 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(1) The 2022 Term Facility was repaid in full on February 28, 2025.</w:t>
      </w:r>
    </w:p>
    <w:p>
      <w:pPr>
        <w:pStyle w:val="TextBody"/>
        <w:bidi w:val="0"/>
        <w:spacing w:lineRule="auto" w:line="288" w:before="20" w:after="283"/>
        <w:jc w:val="left"/>
        <w:rPr>
          <w:rFonts w:ascii="Times New Roman;serif" w:hAnsi="Times New Roman;serif"/>
          <w:b w:val="false"/>
          <w:color w:val="000000"/>
          <w:sz w:val="18"/>
        </w:rPr>
      </w:pPr>
      <w:r>
        <w:rPr>
          <w:rFonts w:ascii="Times New Roman;serif" w:hAnsi="Times New Roman;serif"/>
          <w:b w:val="false"/>
          <w:color w:val="000000"/>
          <w:sz w:val="18"/>
        </w:rPr>
        <w:t>(2) The 2022 Revolving Facility was repaid in full and terminated on April 8, 2025.</w:t>
      </w:r>
    </w:p>
    <w:p>
      <w:pPr>
        <w:pStyle w:val="TextBody"/>
        <w:bidi w:val="0"/>
        <w:spacing w:lineRule="auto" w:line="288" w:before="20" w:after="6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(3) Amount excludes the debt issuance costs related to the 2025 Revolving Facility which are presented within Other assets on the Consolidated Balance Sheets.</w:t>
      </w:r>
    </w:p>
    <w:p>
      <w:pPr>
        <w:pStyle w:val="TextBody"/>
        <w:bidi w:val="0"/>
        <w:spacing w:lineRule="auto" w:line="288" w:before="200" w:after="180"/>
        <w:jc w:val="left"/>
        <w:rPr>
          <w:rFonts w:ascii="Times New Roman;serif" w:hAnsi="Times New Roman;serif"/>
          <w:b w:val="false"/>
          <w:color w:val="000000"/>
          <w:sz w:val="20"/>
        </w:rPr>
      </w:pPr>
      <w:r>
        <w:rPr>
          <w:rFonts w:ascii="Times New Roman;serif" w:hAnsi="Times New Roman;serif"/>
          <w:b w:val="false"/>
          <w:color w:val="000000"/>
          <w:sz w:val="20"/>
        </w:rPr>
        <w:t>As of August 31, 2025, annual maturities on our debt obligations, based on contractual maturity dates, were as follows:</w:t>
      </w:r>
    </w:p>
    <w:tbl>
      <w:tblPr>
        <w:tblW w:w="3935" w:type="dxa"/>
        <w:jc w:val="left"/>
        <w:tblInd w:w="0" w:type="dxa"/>
        <w:tblLayout w:type="fixed"/>
        <w:tblCellMar>
          <w:top w:w="28" w:type="dxa"/>
          <w:left w:w="28" w:type="dxa"/>
          <w:bottom w:w="28" w:type="dxa"/>
          <w:right w:w="28" w:type="dxa"/>
        </w:tblCellMar>
      </w:tblPr>
      <w:tblGrid>
        <w:gridCol w:w="940"/>
        <w:gridCol w:w="826"/>
        <w:gridCol w:w="828"/>
        <w:gridCol w:w="211"/>
        <w:gridCol w:w="976"/>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(in thousands)</w:t>
            </w:r>
            <w:r>
              <w:rPr>
                <w:color w:val="000000"/>
              </w:rPr>
              <w:t xml:space="preserve"> </w:t>
            </w:r>
          </w:p>
        </w:tc>
        <w:tc>
          <w:tcPr>
            <w:tcW w:w="13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Maturities</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Years Ended August 31,</w:t>
            </w:r>
          </w:p>
        </w:tc>
        <w:tc>
          <w:tcPr>
            <w:tcW w:w="13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2025 Credit Agreement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8, 2025, we entered into a credit agreement (the "2025 Credit Agreement") and borrowed $500.0 million under a senior unsecured term loan credit facility (the "2025 Term Facility"). We used the proceeds from the 2025 Term Facility borrowing to repay the outstanding balance under the 2022 Revolving Facility (as defined below). The 2025 Credit Agreement also provides for a $1.0 billion senior unsecured revolving credit facility (the "2025 Revolving Facility"). The 2025 Revolving Facility, together with the 2025 Term Facility, are referred to as the "2025 Credit Facilities".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2025 Term Facility matures on April 8, 2028, and the 2025 Revolving Facility matures on April 8, 2030. The 2025 Revolving Facility provides for up to $100.0 million in the form of letters of credit and up to $100.0 million in the form of swingline loans. We may seek additional commitments of up to $1.0 billion under the 2025 Revolving Facility from lenders or other financial institutions.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2025 Term Facility is subject to scheduled quarterly principal payments, commencing on August 31, 2025, with each quarterly principal payment equal to 1.25% of the original principal amount of the 2025 Term Facility. The 2025 Credit Facilities are not otherwise subject to any other mandatory repayments. We may voluntarily prepay loans under the 2025 Credit Facilities at any time without premium or penalty. Prepayments of the 2025 Term Facility shall be applied to reduce the subsequent scheduled quarterly principal payments in direct order of maturity.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fiscal 2025, we repaid $125.0 million under the 2025 Term Facility. This included $68.8 million to satisfy all scheduled quarterly principal payments from loan inception through maturity, eliminating any future mandatory quarterly principal payment requirements. The remaining $56.2 million was made as a voluntary prepayment. From the effective date of the 2025 Revolving Facility through August 31, 2025, we have had no borrowings under the 2025 Revolving Facility.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From the borrowing date through August 31, 2025, the outstanding borrowings under the 2025 Credit Facilities bore interest at a rate equal to the applicable one-month Term Secured Overnight Financing Rate ("SOFR") plus a 0.975% spread (comprised of a 0.875% interest rate margin, based on a pricing grid determined by reference to our senior unsecured non-credit enhanced long-term debt rating and our total leverage ratio, plus a 0.1% credit spread adjustment).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We pay a commitment fee on the daily unused amount of the 2025 Revolving Facility using a pricing grid based on our senior unsecured non-credit enhanced long-term debt rating and our total leverage ratio. The commitment fee remained consistent at 0.1% through August 31,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Debt issuance costs related to the 2025 Credit Facilities were $3.4 million. These debt issuance costs are presented in the Consolidated Balance Sheets as a direct deduction from the carrying amount of the debt liability for the 2025 Term Facility and within Other assets for the 2025 Revolving Facility. Debt issuance costs are amortized to Interest expense in the Consolidated Statements of Income on a straight-line basis over the contractual term of the debt (which approximates the effective interest method for the 2025 Term Facility).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2025 Credit Agreement contains usual and customary event of default provisions for facilities of this type, which are subject to usual and customary grace periods and materiality thresholds. If an event of default occurs under the 2025 Credit Agreement, the lenders may, among other things, terminate their commitments and declare all outstanding borrowings immediately due and payable.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2025 Credit Agreement contains usual and customary affirmative and negative covenants for facilities of this type, including a financial covenant requiring maintenance of a total leverage ratio of no greater than 3.75 to 1.00 as of the last day of each fiscal quarter (subject to an increase to 4.25 to 1.00 for five consecutive fiscal quarters in connection with certain material acquisitions). We were in compliance with all covenants and requirements of the 2025 Credit Agreement as of August 31, 2025.</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2022 Credit Agreement</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 2022, we entered into a credit agreement (the "2022 Credit Agreement") and borrowed $1.0 billion under a senior unsecured term loan credit facility (the "2022 Term Facility") and $250.0 million of the available $500.0 million under a senior unsecured revolving credit facility (the "2022 Revolving Facility"). The 2022 Revolving Facility, together with the 2022 Term Facility, are referred to as the "2022 Credit Facilities". On January 31, 2025, we entered into a joinder agreement to our 2022 Credit Agreement pursuant to which commitments under the 2022 Revolving Facility were increased by $100.0 million, to a total of $600.0 million. All other terms of the 2022 Credit Agreement remained unchanged.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2022 Term Facility, originally due to mature on March 1, 2025, was repaid in full following $125.0 million of repayments made during the six months ended February 28, 2025. During fiscal 2025, we borrowed $305.0 million and repaid $555.0 million under the 2022 Revolving Facility. The 2022 Credit Agreement was terminated on April 8, 2025, concurrent with entering into the 2025 Credit Agreement.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previously outstanding under the 2022 Credit Facilities bore interest at a rate equal to the applicable one-month Term SOFR plus a spread, using a debt leverage pricing grid and a credit spread adjustment (with total spread ranging from 0.975% to 1.1% over the term of the debt). </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Interest Rate Swap Agreements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We leverage interest rate swap agreements to manage our floating interest rate exposure with a fixed interest rate. Our interest rate swap agreements are designated as cash flow hedges at inception.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2025 Swap Agreement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April 24, 2025, we entered into an interest rate swap agreement ("2025 Swap Agreement") with a notional amount of $200.0 million to hedge a portion of our outstanding floating SOFR debt with a fixed interest rate of 4.086%. The notional amount of the 2025 Swap Agreement declines by $50.0 million on a quarterly basis beginning May 31, 2025 and matures on February 28, 2026. As of August 31, 2025, the notional amount of the 2025 Swap Agreement was $100.0 million.</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2024 Swap Agreement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March 1, 2024, we entered into an interest rate swap agreement ("2024 Swap Agreement") with a notional amount of $200.0 million to hedge a portion of our outstanding floating SOFR debt with a fixed interest rate of 5.145%. The notional amount of the 2024 Swap Agreement declined by $50.0 million on a quarterly basis beginning May 31, 2024. The 2024 Swap Agreement matured on February 28, 2025.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2022 Swap Agreement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March 1, 2022, we entered into an interest rate swap agreement ("2022 Swap Agreement") with a notional amount of $800.0 million to hedge a portion of our outstanding floating SOFR debt with a fixed interest rate of 1.162%. The notional amount of the 2022 Swap Agreement declined by $100.0 million on a quarterly basis beginning May 31, 2022. The 2022 Swap Agreement matured on February 28, 2024.</w:t>
      </w:r>
    </w:p>
    <w:p>
      <w:pPr>
        <w:pStyle w:val="TextBody"/>
        <w:bidi w:val="0"/>
        <w:spacing w:lineRule="auto" w:line="288" w:before="200" w:after="283"/>
        <w:jc w:val="both"/>
        <w:rPr/>
      </w:pPr>
      <w:r>
        <w:rPr>
          <w:rFonts w:ascii="Times New Roman;serif" w:hAnsi="Times New Roman;serif"/>
          <w:b w:val="false"/>
          <w:color w:val="000000"/>
          <w:sz w:val="20"/>
        </w:rPr>
        <w:t xml:space="preserve">Refer to Part II, Item 7A. </w:t>
      </w:r>
      <w:r>
        <w:rPr>
          <w:rFonts w:ascii="Times New Roman;serif" w:hAnsi="Times New Roman;serif"/>
          <w:b w:val="false"/>
          <w:i/>
          <w:color w:val="000000"/>
          <w:sz w:val="20"/>
        </w:rPr>
        <w:t>Quantitative and Qualitative Disclosures About Market Risk</w:t>
      </w:r>
      <w:r>
        <w:rPr>
          <w:rFonts w:ascii="Times New Roman;serif" w:hAnsi="Times New Roman;serif"/>
          <w:b w:val="false"/>
          <w:color w:val="000000"/>
          <w:sz w:val="20"/>
        </w:rPr>
        <w:t>, in this Annual Report on Form 10-K, for further discussion of our exposure to interest rate risk on our outstanding floating rate debt.</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Senior Notes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March 1, 2022, we completed a public offering issuing $500.0 million of 2.900% Senior Notes due March 1, 2027 (the "2027 Notes") and $500.0 million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Senior Notes were issued at an aggregate discount of $2.8 million and we incurred approximately $9.1 million in debt issuance costs during fiscal 2022. Debt discounts and debt issuance costs are presented in the Consolidated Balance Sheets as a net direct deduction from the carrying amount of the debt liability. The debt discounts and debt issuance costs are amortized to Interest expense in the Consolidated Statements of Income over the contractual term of the debt, leveraging the effective interest method.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on the Senior Notes is payable semiannually in arrears on March 1 and September 1 of each year.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 </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interest expense on our outstanding debt which is a component of Interest expense in our Consolidated Statements of Income:</w:t>
      </w:r>
    </w:p>
    <w:tbl>
      <w:tblPr>
        <w:tblW w:w="6437" w:type="dxa"/>
        <w:jc w:val="left"/>
        <w:tblInd w:w="0" w:type="dxa"/>
        <w:tblLayout w:type="fixed"/>
        <w:tblCellMar>
          <w:top w:w="28" w:type="dxa"/>
          <w:left w:w="28" w:type="dxa"/>
          <w:bottom w:w="28" w:type="dxa"/>
          <w:right w:w="28" w:type="dxa"/>
        </w:tblCellMar>
      </w:tblPr>
      <w:tblGrid>
        <w:gridCol w:w="1184"/>
        <w:gridCol w:w="1041"/>
        <w:gridCol w:w="1044"/>
        <w:gridCol w:w="211"/>
        <w:gridCol w:w="721"/>
        <w:gridCol w:w="109"/>
        <w:gridCol w:w="211"/>
        <w:gridCol w:w="721"/>
        <w:gridCol w:w="109"/>
        <w:gridCol w:w="211"/>
        <w:gridCol w:w="721"/>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(in thousands)</w:t>
            </w:r>
            <w:r>
              <w:rPr>
                <w:color w:val="000000"/>
              </w:rPr>
              <w:t xml:space="preserve"> </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on outstanding debt</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(1) Interest expense on our outstanding debt includes the related amortization of debt issuance costs and debt discounts. Interest expense is net of the effects of our interest rate swap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12. COMMITMENTS AND CONTINGENCIES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Commitments represent obligations, such as those for future purchases of goods or services that are not yet recorded on the balance sheet as liabilities. We record liabilities for commitments when incurred (i.e., when the goods or services are received).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Except for income tax contingencies, we accrue for contingencies when we believe that a loss is probable and the amount can be reasonably estimated. Judgment is required to determine both the probability and the estimated amount of loss. If the reasonable estimate of a probable loss is a range, we record an accrual for the most probable estimate of the loss or the minimum amount when no amount within the range is a better estimate than any other amount. We review these accruals on a quarterly basis and adjust, as necessary, to reflect the impact of negotiations, settlements, rulings, advice of legal counsel and other current information. Contingent gains are recognized only when realized. </w:t>
      </w:r>
    </w:p>
    <w:p>
      <w:pPr>
        <w:pStyle w:val="TextBody"/>
        <w:bidi w:val="0"/>
        <w:spacing w:lineRule="auto" w:line="288" w:before="200" w:after="283"/>
        <w:jc w:val="both"/>
        <w:rPr/>
      </w:pPr>
      <w:r>
        <w:rPr>
          <w:rFonts w:ascii="Times New Roman;serif" w:hAnsi="Times New Roman;serif"/>
          <w:b w:val="false"/>
          <w:color w:val="000000"/>
          <w:sz w:val="20"/>
        </w:rPr>
        <w:t xml:space="preserve">Income tax contingencies related to uncertain tax positions are accounted for in accordance with applicable accounting guidance. Refer to Note 2, </w:t>
      </w:r>
      <w:r>
        <w:rPr>
          <w:rFonts w:ascii="Times New Roman;serif" w:hAnsi="Times New Roman;serif"/>
          <w:b w:val="false"/>
          <w:i/>
          <w:color w:val="000000"/>
          <w:sz w:val="20"/>
        </w:rPr>
        <w:t>Summary of Significant Accounting Policies - Income Taxes</w:t>
      </w:r>
      <w:r>
        <w:rPr>
          <w:color w:val="000000"/>
        </w:rPr>
        <w:t xml:space="preserve"> </w:t>
      </w:r>
      <w:r>
        <w:rPr>
          <w:rFonts w:ascii="Times New Roman;serif" w:hAnsi="Times New Roman;serif"/>
          <w:b w:val="false"/>
          <w:color w:val="000000"/>
          <w:sz w:val="20"/>
        </w:rPr>
        <w:t xml:space="preserve">for further details.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Purchase Commitments with Suppliers and Vendors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Purchase obligations represent our legally-binding agreements to purchase fixed or minimum quantities at determinable prices. As of August 31, 2025 and 2024, we had total purchase obligations with suppliers and vendors of approximately $352 million and $383 million, respectively. Our total purchase obligations as of August 31, 2025 and 2024 primarily related to hosting services, acquisition of data and, to a lesser extent, third-party software providers. </w:t>
      </w:r>
    </w:p>
    <w:p>
      <w:pPr>
        <w:pStyle w:val="TextBody"/>
        <w:bidi w:val="0"/>
        <w:spacing w:lineRule="auto" w:line="288" w:before="200" w:after="200"/>
        <w:jc w:val="both"/>
        <w:rPr/>
      </w:pPr>
      <w:r>
        <w:rPr>
          <w:rFonts w:ascii="Times New Roman;serif" w:hAnsi="Times New Roman;serif"/>
          <w:b w:val="false"/>
          <w:color w:val="000000"/>
          <w:sz w:val="20"/>
        </w:rPr>
        <w:t xml:space="preserve">We also have contractual obligations related to our lease liabilities and outstanding debt. Refer to Note 10,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 xml:space="preserve">and Note 11,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 xml:space="preserve">for information regarding our lease commitments and outstanding debt obligations, respectively. </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Letters of Credit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are required to obtain letters of credit in the ordinary course of business. Our 2025 Revolving Facility allows for the availability of up to $100.0 million in the form of letters of credit. We have not obtained any letters of credit under the 2025 Revolving Facility since its inception. As of August 31, 2025 and 2024, we had $0.7 million and $0.4 million of standby letters of credit outstanding, respectively. No liabilities related to these arrangements are reflected in the Consolidated Balance Sheets. </w:t>
      </w:r>
    </w:p>
    <w:p>
      <w:pPr>
        <w:pStyle w:val="TextBody"/>
        <w:bidi w:val="0"/>
        <w:spacing w:lineRule="auto" w:line="288" w:before="200" w:after="283"/>
        <w:jc w:val="both"/>
        <w:rPr/>
      </w:pPr>
      <w:r>
        <w:rPr>
          <w:rFonts w:ascii="Times New Roman;serif" w:hAnsi="Times New Roman;serif"/>
          <w:b w:val="false"/>
          <w:color w:val="000000"/>
          <w:sz w:val="20"/>
        </w:rPr>
        <w:t xml:space="preserve">Refer to Note 11,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 xml:space="preserve">for information regarding the 2025 Revolving Facility.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Contingencies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Legal Matters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normal course of our business, we are, or may be, engaged in various legal proceedings, claims, litigation and regulatory proceedings. In view of the uncertainty inherent in litigation and regulatory matters, we cannot predict the eventual outcome of such matters or the timing of their resolution, or in most cases reasonably estimate what the eventual judgments, damages, fines, penalties or impact of activity (if any) restrictions may be. While we cannot predict the outcome of these matters, based on information available at August 31, 2025, our management believes that the ultimate outcome of these unresolved matters against us, individually or in the aggregate, will not have a material adverse effect on our consolidated financial position, our results of operations or our cash flows.</w:t>
      </w:r>
    </w:p>
    <w:p>
      <w:pPr>
        <w:pStyle w:val="TextBody"/>
        <w:bidi w:val="0"/>
        <w:spacing w:lineRule="auto" w:line="26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As a multinational company operating in many states and countries, we are routinely audited by various taxing authorities and have reserved for potential adjustments to our provision for income taxes that may result from examinations by, or any negotiated settlements with, these tax authorities. We believe that the final outcome of these examinations or settlements will not have a material effect on our consolidated financial position, results of operations or our cash flows. If events occur which indicate payment of these amounts is unnecessary, the reversal of the liabilities would result in the recognition of tax benefits in the period we determine the liabilities are no longer necessary. If our estimates of the federal, state and foreign income tax liabilities are less than the ultimate assessment, additional expense would result.</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Sales Tax Matters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During August 2019 through February 2024, we received various assessment and audit notices from the Commonwealth of Massachusetts Department of Revenue (the "Commonwealth") with respect to sales taxes, interest and underpayment penalties relating to the tax periods from January 1, 2006 through December 31, 2023 ("Sales Tax Dispute"). We entered into an agreement with the Commonwealth on November 26, 2024 which fully resolved all matters relating to the Sales Tax Dispute.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fiscal 2025 and the fourth quarter of fiscal 2024, we took charges of approximately $2.4 million and $54.0 million, respectively, related to this dispute and made corresponding payments of $56.4 million to the Commonwealth during the first quarter of fiscal 2025. In addition to reserves taken in prior fiscal years, this brought our total charge and cash payments with respect to this matter to approximately $66.2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4"/>
        </w:rPr>
      </w:pPr>
      <w:r>
        <w:rPr>
          <w:rFonts w:ascii="Times New Roman;serif" w:hAnsi="Times New Roman;serif"/>
          <w:b/>
          <w:color w:val="000000"/>
          <w:sz w:val="24"/>
        </w:rPr>
        <w:t>13. STOCKHOLDERS' EQUITY</w:t>
      </w:r>
    </w:p>
    <w:p>
      <w:pPr>
        <w:pStyle w:val="TextBody"/>
        <w:bidi w:val="0"/>
        <w:spacing w:lineRule="auto" w:line="288" w:before="3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shares of common stock repurchased under our share repurchase program and acquired from holders of our stock-based awards upon vesting to satisfy tax withholding requirements: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Share Repurchases</w:t>
      </w:r>
    </w:p>
    <w:tbl>
      <w:tblPr>
        <w:tblW w:w="10205" w:type="dxa"/>
        <w:jc w:val="left"/>
        <w:tblInd w:w="0" w:type="dxa"/>
        <w:tblLayout w:type="fixed"/>
        <w:tblCellMar>
          <w:top w:w="28" w:type="dxa"/>
          <w:left w:w="28" w:type="dxa"/>
          <w:bottom w:w="28" w:type="dxa"/>
          <w:right w:w="28" w:type="dxa"/>
        </w:tblCellMar>
      </w:tblPr>
      <w:tblGrid>
        <w:gridCol w:w="2241"/>
        <w:gridCol w:w="1908"/>
        <w:gridCol w:w="1918"/>
        <w:gridCol w:w="211"/>
        <w:gridCol w:w="826"/>
        <w:gridCol w:w="109"/>
        <w:gridCol w:w="109"/>
        <w:gridCol w:w="109"/>
        <w:gridCol w:w="109"/>
        <w:gridCol w:w="211"/>
        <w:gridCol w:w="826"/>
        <w:gridCol w:w="109"/>
        <w:gridCol w:w="109"/>
        <w:gridCol w:w="109"/>
        <w:gridCol w:w="109"/>
        <w:gridCol w:w="211"/>
        <w:gridCol w:w="826"/>
        <w:gridCol w:w="155"/>
      </w:tblGrid>
      <w:tr>
        <w:trPr/>
        <w:tc>
          <w:tcPr>
            <w:tcW w:w="2241"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share data)</w:t>
            </w:r>
          </w:p>
        </w:tc>
        <w:tc>
          <w:tcPr>
            <w:tcW w:w="41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Years Ended August 31, </w:t>
            </w:r>
          </w:p>
        </w:tc>
      </w:tr>
      <w:tr>
        <w:trPr/>
        <w:tc>
          <w:tcPr>
            <w:tcW w:w="606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under the share repurchase program</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684,960 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537,800 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430,350 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cost of common stock repurchased under the share repurchase program</w:t>
            </w:r>
            <w:r>
              <w:rPr>
                <w:rFonts w:ascii="Times New Roman;serif" w:hAnsi="Times New Roman;serif"/>
                <w:b w:val="false"/>
                <w:color w:val="000000"/>
                <w:sz w:val="13"/>
              </w:rPr>
              <w:t>(1)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176,720 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to satisfy tax withholding requirements due upon vesting of stock-based awards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repurchases of common stock to satisfy withholding requirements due upon vesting of stock-based awards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 xml:space="preserve">(1) For fiscal 2025, 2024, and 2023, amount excludes a 1% excise tax of $3.0 million, $1.7 million and $0.9 million, respectively, on corporate stock repurchases required under the Inflation Reduction Act of 2022. </w:t>
      </w:r>
    </w:p>
    <w:p>
      <w:pPr>
        <w:pStyle w:val="TextBody"/>
        <w:bidi w:val="0"/>
        <w:spacing w:lineRule="auto" w:line="288" w:before="200" w:after="60"/>
        <w:jc w:val="both"/>
        <w:rPr>
          <w:rFonts w:ascii="Times New Roman;serif" w:hAnsi="Times New Roman;serif"/>
          <w:b w:val="false"/>
          <w:color w:val="000000"/>
          <w:sz w:val="20"/>
        </w:rPr>
      </w:pPr>
      <w:r>
        <w:rPr>
          <w:rFonts w:ascii="Times New Roman;serif" w:hAnsi="Times New Roman;serif"/>
          <w:b w:val="false"/>
          <w:color w:val="000000"/>
          <w:sz w:val="20"/>
        </w:rPr>
        <w:t>We may repurchase shares of our common stock under our share repurchase program from time-to-time in the open market or via privately negotiated transactions, subject to market conditions. We suspended our share repurchase program beginning in the second quarter of fiscal 2022, with the exception of potential minor repurchases to offset dilution from grants of equity awards or repurchases to satisfy withholding tax obligations due upon the vesting of stock-based awards, to prioritize the repayment of debt under the 2022 Credit Facilities. We resumed our share repurchase program in the third quarter of fiscal 2023.</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is no defined number of shares to be repurchased over a specified timeframe through the life of our share repurchase program. On September 17, 2024, our Board of Directors authorized up to $300 million for share repurchases during fiscal 2025. This authorization expired upon the conclusion of fiscal 2025 and was not available for share repurchases after that date.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June 17, 2025, our Board of Directors authorized up to $400 million for share repurchases on or after September 1, 2025 through September 30, 2026.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to our share repurchase program, we also acquire shares of our common stock from holders of our stock-based awards to satisfy withholding tax requirements due at vesting. Shares acquired from these holders do not reduce the amount authorized for repurchase under the share repurchase program.</w:t>
      </w:r>
    </w:p>
    <w:p>
      <w:pPr>
        <w:pStyle w:val="TextBody"/>
        <w:bidi w:val="0"/>
        <w:spacing w:lineRule="auto" w:line="288" w:before="200" w:after="283"/>
        <w:jc w:val="both"/>
        <w:rPr/>
      </w:pPr>
      <w:r>
        <w:rPr>
          <w:rFonts w:ascii="Times New Roman;serif" w:hAnsi="Times New Roman;serif"/>
          <w:b w:val="false"/>
          <w:color w:val="000000"/>
          <w:sz w:val="20"/>
        </w:rPr>
        <w:t xml:space="preserve">Refer to Part II, Item 5. </w:t>
      </w:r>
      <w:r>
        <w:rPr>
          <w:rFonts w:ascii="Times New Roman;serif" w:hAnsi="Times New Roman;serif"/>
          <w:b w:val="false"/>
          <w:i/>
          <w:color w:val="000000"/>
          <w:sz w:val="20"/>
        </w:rPr>
        <w:t>Market For Registrant's Common Equity, Related Stockholder Matters and Issuer Purchases of Equity Securities</w:t>
      </w:r>
      <w:r>
        <w:rPr>
          <w:rFonts w:ascii="Times New Roman;serif" w:hAnsi="Times New Roman;serif"/>
          <w:b w:val="false"/>
          <w:color w:val="000000"/>
          <w:sz w:val="20"/>
        </w:rPr>
        <w:t>, of this Annual Report on Form 10-K for further discussion on our share repurchase program.</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Equity-based Awards</w:t>
      </w:r>
    </w:p>
    <w:p>
      <w:pPr>
        <w:pStyle w:val="TextBody"/>
        <w:bidi w:val="0"/>
        <w:spacing w:lineRule="auto" w:line="288" w:before="0" w:after="0"/>
        <w:jc w:val="left"/>
        <w:rPr/>
      </w:pPr>
      <w:r>
        <w:rPr>
          <w:rFonts w:ascii="Times New Roman;serif" w:hAnsi="Times New Roman;serif"/>
          <w:b w:val="false"/>
          <w:color w:val="000000"/>
          <w:sz w:val="20"/>
        </w:rPr>
        <w:t xml:space="preserve">Refer to Note 15, </w:t>
      </w:r>
      <w:r>
        <w:rPr>
          <w:rFonts w:ascii="Times New Roman;serif" w:hAnsi="Times New Roman;serif"/>
          <w:b w:val="false"/>
          <w:i/>
          <w:color w:val="000000"/>
          <w:sz w:val="20"/>
        </w:rPr>
        <w:t>Stock-Based Compensation,</w:t>
      </w:r>
      <w:r>
        <w:rPr>
          <w:color w:val="000000"/>
        </w:rPr>
        <w:t xml:space="preserve"> </w:t>
      </w:r>
      <w:r>
        <w:rPr>
          <w:rFonts w:ascii="Times New Roman;serif" w:hAnsi="Times New Roman;serif"/>
          <w:b w:val="false"/>
          <w:color w:val="000000"/>
          <w:sz w:val="20"/>
        </w:rPr>
        <w:t xml:space="preserve">for more information on equity awards issued during fiscal 2023 through fiscal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approved the following dividends: </w:t>
      </w:r>
    </w:p>
    <w:tbl>
      <w:tblPr>
        <w:tblW w:w="8865" w:type="dxa"/>
        <w:jc w:val="left"/>
        <w:tblInd w:w="0" w:type="dxa"/>
        <w:tblLayout w:type="fixed"/>
        <w:tblCellMar>
          <w:top w:w="28" w:type="dxa"/>
          <w:left w:w="28" w:type="dxa"/>
          <w:bottom w:w="28" w:type="dxa"/>
          <w:right w:w="28" w:type="dxa"/>
        </w:tblCellMar>
      </w:tblPr>
      <w:tblGrid>
        <w:gridCol w:w="522"/>
        <w:gridCol w:w="457"/>
        <w:gridCol w:w="461"/>
        <w:gridCol w:w="109"/>
        <w:gridCol w:w="109"/>
        <w:gridCol w:w="109"/>
        <w:gridCol w:w="346"/>
        <w:gridCol w:w="838"/>
        <w:gridCol w:w="180"/>
        <w:gridCol w:w="109"/>
        <w:gridCol w:w="109"/>
        <w:gridCol w:w="109"/>
        <w:gridCol w:w="569"/>
        <w:gridCol w:w="569"/>
        <w:gridCol w:w="572"/>
        <w:gridCol w:w="109"/>
        <w:gridCol w:w="109"/>
        <w:gridCol w:w="109"/>
        <w:gridCol w:w="234"/>
        <w:gridCol w:w="919"/>
        <w:gridCol w:w="121"/>
        <w:gridCol w:w="109"/>
        <w:gridCol w:w="109"/>
        <w:gridCol w:w="109"/>
        <w:gridCol w:w="516"/>
        <w:gridCol w:w="516"/>
        <w:gridCol w:w="737"/>
      </w:tblGrid>
      <w:tr>
        <w:trPr/>
        <w:tc>
          <w:tcPr>
            <w:tcW w:w="52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Dividends per</w:t>
              <w:br/>
              <w:t>Share of</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Total Amount</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 Date</w:t>
            </w:r>
          </w:p>
        </w:tc>
      </w:tr>
      <w:tr>
        <w:trPr/>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19, 2024</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 2025</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18, 2025</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18, 2025</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162,137 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21, 2023</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21, 2024</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20, 2024</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19, 2024</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153,718 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15, 2022</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16, 2023</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15, 2023</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21, 2023</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142,816 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third quarter of fiscal 2025, our Board of Directors approved a 6% increase in the regular quarterly dividend from $1.04 to $1.10 per share. Future cash dividend payments are subject to final determination by our Board of Directors and will depend on our earnings, capital requirements, financial condition and other relevant factors.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Accumulated Other Comprehensive Loss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AOCL as of August 31, 2025 and August 31, 2024 were as follows:</w:t>
      </w:r>
    </w:p>
    <w:tbl>
      <w:tblPr>
        <w:tblW w:w="9041" w:type="dxa"/>
        <w:jc w:val="left"/>
        <w:tblInd w:w="0" w:type="dxa"/>
        <w:tblLayout w:type="fixed"/>
        <w:tblCellMar>
          <w:top w:w="28" w:type="dxa"/>
          <w:left w:w="28" w:type="dxa"/>
          <w:bottom w:w="28" w:type="dxa"/>
          <w:right w:w="28" w:type="dxa"/>
        </w:tblCellMar>
      </w:tblPr>
      <w:tblGrid>
        <w:gridCol w:w="2085"/>
        <w:gridCol w:w="1835"/>
        <w:gridCol w:w="1839"/>
        <w:gridCol w:w="275"/>
        <w:gridCol w:w="1038"/>
        <w:gridCol w:w="142"/>
        <w:gridCol w:w="109"/>
        <w:gridCol w:w="109"/>
        <w:gridCol w:w="109"/>
        <w:gridCol w:w="272"/>
        <w:gridCol w:w="1029"/>
        <w:gridCol w:w="199"/>
      </w:tblGrid>
      <w:tr>
        <w:trPr/>
        <w:tc>
          <w:tcPr>
            <w:tcW w:w="2085"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2024</w:t>
            </w:r>
          </w:p>
        </w:tc>
      </w:tr>
      <w:tr>
        <w:trPr/>
        <w:tc>
          <w:tcPr>
            <w:tcW w:w="575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unrealized gains (losses) on cash flow hedges, net of tax</w:t>
            </w:r>
          </w:p>
        </w:tc>
        <w:tc>
          <w:tcPr>
            <w:tcW w:w="2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foreign currency translation adjustments</w:t>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(65,891)</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(81,456)</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AOCL</w:t>
            </w:r>
          </w:p>
        </w:tc>
        <w:tc>
          <w:tcPr>
            <w:tcW w:w="2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(63,748)</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(79,613)</w:t>
            </w:r>
          </w:p>
        </w:tc>
        <w:tc>
          <w:tcPr>
            <w:tcW w:w="1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14. EARNINGS PER SHARE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Basic earnings per common share ("Basic EPS") is computed by dividing net income by the number of weighted average common shares outstanding during the fiscal year. Diluted earnings per common share ("Diluted EPS") is calculated by using the treasury stock method which assumes the issuance of common stock for all potentially dilutive stock-based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our Basic and Diluted EPS computations:</w:t>
      </w:r>
    </w:p>
    <w:tbl>
      <w:tblPr>
        <w:tblW w:w="9782" w:type="dxa"/>
        <w:jc w:val="left"/>
        <w:tblInd w:w="0" w:type="dxa"/>
        <w:tblLayout w:type="fixed"/>
        <w:tblCellMar>
          <w:top w:w="28" w:type="dxa"/>
          <w:left w:w="28" w:type="dxa"/>
          <w:bottom w:w="28" w:type="dxa"/>
          <w:right w:w="28" w:type="dxa"/>
        </w:tblCellMar>
      </w:tblPr>
      <w:tblGrid>
        <w:gridCol w:w="2279"/>
        <w:gridCol w:w="2004"/>
        <w:gridCol w:w="2016"/>
        <w:gridCol w:w="211"/>
        <w:gridCol w:w="826"/>
        <w:gridCol w:w="109"/>
        <w:gridCol w:w="211"/>
        <w:gridCol w:w="826"/>
        <w:gridCol w:w="109"/>
        <w:gridCol w:w="211"/>
        <w:gridCol w:w="826"/>
        <w:gridCol w:w="154"/>
      </w:tblGrid>
      <w:tr>
        <w:trPr/>
        <w:tc>
          <w:tcPr>
            <w:tcW w:w="2279"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6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used for calculating Basic EPS and Diluted EPS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used in the calculation of Basic EPS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equivalents associated with stock-based compensation plans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the calculation of Diluted EPS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EPS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potential common shares that were excluded from Diluted EPS as they relate to stock-based awards that were antidilutive or subject to performance conditions which have not been satisfied by the end of each fiscal year:</w:t>
      </w:r>
    </w:p>
    <w:tbl>
      <w:tblPr>
        <w:tblW w:w="4604" w:type="dxa"/>
        <w:jc w:val="left"/>
        <w:tblInd w:w="0" w:type="dxa"/>
        <w:tblLayout w:type="fixed"/>
        <w:tblCellMar>
          <w:top w:w="28" w:type="dxa"/>
          <w:left w:w="28" w:type="dxa"/>
          <w:bottom w:w="28" w:type="dxa"/>
          <w:right w:w="28" w:type="dxa"/>
        </w:tblCellMar>
      </w:tblPr>
      <w:tblGrid>
        <w:gridCol w:w="760"/>
        <w:gridCol w:w="669"/>
        <w:gridCol w:w="671"/>
        <w:gridCol w:w="109"/>
        <w:gridCol w:w="109"/>
        <w:gridCol w:w="109"/>
        <w:gridCol w:w="249"/>
        <w:gridCol w:w="223"/>
        <w:gridCol w:w="223"/>
        <w:gridCol w:w="249"/>
        <w:gridCol w:w="223"/>
        <w:gridCol w:w="223"/>
        <w:gridCol w:w="249"/>
        <w:gridCol w:w="223"/>
        <w:gridCol w:w="315"/>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15. STOCK-BASED COMPENSATION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stock-based compensation expense consists of stock options, RSUs, PSUs and purchases of common stock under the ESPP.</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Stock-based Compensation Expense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stock-based compensation expense for the fiscal years presented:</w:t>
      </w:r>
    </w:p>
    <w:tbl>
      <w:tblPr>
        <w:tblW w:w="6495" w:type="dxa"/>
        <w:jc w:val="left"/>
        <w:tblInd w:w="0" w:type="dxa"/>
        <w:tblLayout w:type="fixed"/>
        <w:tblCellMar>
          <w:top w:w="28" w:type="dxa"/>
          <w:left w:w="28" w:type="dxa"/>
          <w:bottom w:w="28" w:type="dxa"/>
          <w:right w:w="28" w:type="dxa"/>
        </w:tblCellMar>
      </w:tblPr>
      <w:tblGrid>
        <w:gridCol w:w="1087"/>
        <w:gridCol w:w="955"/>
        <w:gridCol w:w="958"/>
        <w:gridCol w:w="109"/>
        <w:gridCol w:w="109"/>
        <w:gridCol w:w="109"/>
        <w:gridCol w:w="211"/>
        <w:gridCol w:w="721"/>
        <w:gridCol w:w="109"/>
        <w:gridCol w:w="211"/>
        <w:gridCol w:w="721"/>
        <w:gridCol w:w="109"/>
        <w:gridCol w:w="211"/>
        <w:gridCol w:w="721"/>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(in thousands)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00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62,038 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were no stock-based compensation costs capitalized during fiscal 2023 through fiscal 2025. As of August 31, 2025, $119.3 million of total unrecognized stock-based compensation expense related to non-vested stock-based awards is expected to be recognized over the remaining weighted average vesting period of 2.9 years.</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Stock Option Awards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summary of stock option activity is as follows:</w:t>
      </w:r>
    </w:p>
    <w:tbl>
      <w:tblPr>
        <w:tblW w:w="10205" w:type="dxa"/>
        <w:jc w:val="left"/>
        <w:tblInd w:w="0" w:type="dxa"/>
        <w:tblLayout w:type="fixed"/>
        <w:tblCellMar>
          <w:top w:w="28" w:type="dxa"/>
          <w:left w:w="28" w:type="dxa"/>
          <w:bottom w:w="28" w:type="dxa"/>
          <w:right w:w="28" w:type="dxa"/>
        </w:tblCellMar>
      </w:tblPr>
      <w:tblGrid>
        <w:gridCol w:w="928"/>
        <w:gridCol w:w="602"/>
        <w:gridCol w:w="605"/>
        <w:gridCol w:w="500"/>
        <w:gridCol w:w="500"/>
        <w:gridCol w:w="501"/>
        <w:gridCol w:w="109"/>
        <w:gridCol w:w="109"/>
        <w:gridCol w:w="109"/>
        <w:gridCol w:w="257"/>
        <w:gridCol w:w="880"/>
        <w:gridCol w:w="133"/>
        <w:gridCol w:w="322"/>
        <w:gridCol w:w="1101"/>
        <w:gridCol w:w="166"/>
        <w:gridCol w:w="329"/>
        <w:gridCol w:w="961"/>
        <w:gridCol w:w="171"/>
        <w:gridCol w:w="560"/>
        <w:gridCol w:w="560"/>
        <w:gridCol w:w="802"/>
      </w:tblGrid>
      <w:tr>
        <w:trPr/>
        <w:tc>
          <w:tcPr>
            <w:tcW w:w="92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Number Outstanding </w:t>
            </w:r>
            <w:r>
              <w:rPr>
                <w:rFonts w:ascii="Times New Roman;serif" w:hAnsi="Times New Roman;serif"/>
                <w:b w:val="false"/>
                <w:i/>
                <w:color w:val="000000"/>
                <w:sz w:val="20"/>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w:t>
              <w:br/>
              <w:t>Exercise Price Per Share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c>
          <w:tcPr>
            <w:tcW w:w="14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Aggregate Intrinsic Value </w:t>
            </w:r>
            <w:r>
              <w:rPr>
                <w:rFonts w:ascii="Times New Roman;serif" w:hAnsi="Times New Roman;serif"/>
                <w:b w:val="false"/>
                <w:i/>
                <w:color w:val="000000"/>
                <w:sz w:val="20"/>
              </w:rPr>
              <w:t>(millions)</w:t>
            </w:r>
            <w:r>
              <w:rPr>
                <w:rFonts w:ascii="Times New Roman;serif" w:hAnsi="Times New Roman;serif"/>
                <w:b w:val="false"/>
                <w:color w:val="000000"/>
                <w:sz w:val="13"/>
              </w:rPr>
              <w:t>(1)</w:t>
            </w:r>
          </w:p>
        </w:tc>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Weighted Average Remaining Contractual Life </w:t>
            </w:r>
            <w:r>
              <w:rPr>
                <w:rFonts w:ascii="Times New Roman;serif" w:hAnsi="Times New Roman;serif"/>
                <w:b w:val="false"/>
                <w:i/>
                <w:color w:val="000000"/>
                <w:sz w:val="20"/>
              </w:rPr>
              <w:t>(years)</w:t>
            </w:r>
          </w:p>
        </w:tc>
      </w:tr>
      <w:tr>
        <w:trPr/>
        <w:tc>
          <w:tcPr>
            <w:tcW w:w="213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August 31, 2022</w:t>
            </w:r>
          </w:p>
        </w:tc>
        <w:tc>
          <w:tcPr>
            <w:tcW w:w="100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2,089 </w:t>
            </w:r>
          </w:p>
        </w:tc>
        <w:tc>
          <w:tcPr>
            <w:tcW w:w="5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253.85 </w:t>
            </w:r>
          </w:p>
        </w:tc>
        <w:tc>
          <w:tcPr>
            <w:tcW w:w="1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 employees</w:t>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 non-employee directors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Exercised</w:t>
            </w:r>
            <w:r>
              <w:rPr>
                <w:rFonts w:ascii="Times New Roman;serif" w:hAnsi="Times New Roman;serif"/>
                <w:b w:val="false"/>
                <w:color w:val="000000"/>
                <w:sz w:val="13"/>
              </w:rPr>
              <w:t>(2)</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August 31, 2023</w:t>
            </w:r>
          </w:p>
        </w:tc>
        <w:tc>
          <w:tcPr>
            <w:tcW w:w="100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1,988 </w:t>
            </w:r>
          </w:p>
        </w:tc>
        <w:tc>
          <w:tcPr>
            <w:tcW w:w="50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 employees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 non-employee directors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Exercised</w:t>
            </w:r>
            <w:r>
              <w:rPr>
                <w:rFonts w:ascii="Times New Roman;serif" w:hAnsi="Times New Roman;serif"/>
                <w:b w:val="false"/>
                <w:color w:val="000000"/>
                <w:sz w:val="13"/>
              </w:rPr>
              <w:t>(2)</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August 31, 2024</w:t>
            </w:r>
          </w:p>
        </w:tc>
        <w:tc>
          <w:tcPr>
            <w:tcW w:w="100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5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 employees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 non-employee directors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Exercised</w:t>
            </w:r>
            <w:r>
              <w:rPr>
                <w:rFonts w:ascii="Times New Roman;serif" w:hAnsi="Times New Roman;serif"/>
                <w:b w:val="false"/>
                <w:color w:val="000000"/>
                <w:sz w:val="13"/>
              </w:rPr>
              <w:t>(2)</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August 31, 2025</w:t>
            </w:r>
          </w:p>
        </w:tc>
        <w:tc>
          <w:tcPr>
            <w:tcW w:w="100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50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3"/>
              </w:rPr>
            </w:pPr>
            <w:r>
              <w:rPr>
                <w:rFonts w:ascii="Times New Roman;serif" w:hAnsi="Times New Roman;serif"/>
                <w:b w:val="false"/>
                <w:color w:val="000000"/>
                <w:sz w:val="13"/>
              </w:rPr>
              <w:t>(3)</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vested and exercisable as of August 31, 2025</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expected to vest as of August 31, 2025</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r>
    </w:tbl>
    <w:p>
      <w:pPr>
        <w:pStyle w:val="TextBody"/>
        <w:bidi w:val="0"/>
        <w:spacing w:lineRule="auto" w:line="288" w:before="60" w:after="6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 xml:space="preserve">(1)The aggregate intrinsic value represents the difference between our closing stock price as of August 29, 2025 of $373.32 and the exercise price, multiplied by the number of options exercisable as of that date. </w:t>
      </w:r>
    </w:p>
    <w:p>
      <w:pPr>
        <w:pStyle w:val="TextBody"/>
        <w:bidi w:val="0"/>
        <w:spacing w:lineRule="auto" w:line="288" w:before="0" w:after="2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(2)The total pre-tax intrinsic value of stock options exercised during fiscal 2025, 2024 and 2023 was $66.5 million, $89.5 million and $77.5 million, respectively.</w:t>
      </w:r>
    </w:p>
    <w:p>
      <w:pPr>
        <w:pStyle w:val="TextBody"/>
        <w:bidi w:val="0"/>
        <w:spacing w:lineRule="auto" w:line="288" w:before="0" w:after="2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(3)As of August 31, 2025, 1,685,011 shares underlying the stock option awards were unvested and outstanding, resulting in unamortized stock-based compensation expense of $48.4 million that is expected to be recognized over the remaining weighted average vesting period of 2.9 years.</w:t>
      </w:r>
    </w:p>
    <w:p>
      <w:pPr>
        <w:pStyle w:val="TextBody"/>
        <w:bidi w:val="0"/>
        <w:spacing w:lineRule="auto" w:line="288" w:before="200" w:after="60"/>
        <w:jc w:val="both"/>
        <w:rPr>
          <w:rFonts w:ascii="Times New Roman;serif" w:hAnsi="Times New Roman;serif"/>
          <w:b w:val="false"/>
          <w:color w:val="000000"/>
          <w:sz w:val="20"/>
        </w:rPr>
      </w:pPr>
      <w:r>
        <w:rPr>
          <w:rFonts w:ascii="Times New Roman;serif" w:hAnsi="Times New Roman;serif"/>
          <w:b w:val="false"/>
          <w:color w:val="000000"/>
          <w:sz w:val="20"/>
        </w:rPr>
        <w:t>During fiscal 2025, 2024 and 2023, the total fair value of stock options vested was $23.2 million, $20.5 million and $18.9 million, respectively.</w:t>
      </w:r>
    </w:p>
    <w:p>
      <w:pPr>
        <w:pStyle w:val="TextBody"/>
        <w:bidi w:val="0"/>
        <w:spacing w:lineRule="auto" w:line="288" w:before="200" w:after="60"/>
        <w:jc w:val="both"/>
        <w:rPr>
          <w:rFonts w:ascii="Times New Roman;serif" w:hAnsi="Times New Roman;serif"/>
          <w:b/>
          <w:i/>
          <w:color w:val="000000"/>
          <w:sz w:val="20"/>
        </w:rPr>
      </w:pPr>
      <w:r>
        <w:rPr>
          <w:rFonts w:ascii="Times New Roman;serif" w:hAnsi="Times New Roman;serif"/>
          <w:b/>
          <w:i/>
          <w:color w:val="000000"/>
          <w:sz w:val="20"/>
        </w:rPr>
        <w:t>Employee Stock Option Awards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annual grant of employee stock options during the first quarter of each fiscal year makes up the majority of our employee stock options granted under the LTIP in each fiscal year.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weighted average inputs used in the binomial model to estimate the grant-date fair value of the employee stock options granted:</w:t>
      </w:r>
    </w:p>
    <w:tbl>
      <w:tblPr>
        <w:tblW w:w="6029" w:type="dxa"/>
        <w:jc w:val="left"/>
        <w:tblInd w:w="0" w:type="dxa"/>
        <w:tblLayout w:type="fixed"/>
        <w:tblCellMar>
          <w:top w:w="28" w:type="dxa"/>
          <w:left w:w="28" w:type="dxa"/>
          <w:bottom w:w="28" w:type="dxa"/>
          <w:right w:w="28" w:type="dxa"/>
        </w:tblCellMar>
      </w:tblPr>
      <w:tblGrid>
        <w:gridCol w:w="750"/>
        <w:gridCol w:w="657"/>
        <w:gridCol w:w="662"/>
        <w:gridCol w:w="289"/>
        <w:gridCol w:w="289"/>
        <w:gridCol w:w="727"/>
        <w:gridCol w:w="289"/>
        <w:gridCol w:w="289"/>
        <w:gridCol w:w="727"/>
        <w:gridCol w:w="273"/>
        <w:gridCol w:w="273"/>
        <w:gridCol w:w="804"/>
      </w:tblGrid>
      <w:tr>
        <w:trPr/>
        <w:tc>
          <w:tcPr>
            <w:tcW w:w="75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06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 options granted</w:t>
            </w:r>
            <w:r>
              <w:rPr>
                <w:rFonts w:ascii="Times New Roman;serif" w:hAnsi="Times New Roman;serif"/>
                <w:b w:val="false"/>
                <w:color w:val="000000"/>
                <w:sz w:val="13"/>
              </w:rPr>
              <w:t>(1)</w:t>
            </w:r>
          </w:p>
        </w:tc>
        <w:tc>
          <w:tcPr>
            <w:tcW w:w="130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203,114</w:t>
            </w:r>
          </w:p>
        </w:tc>
        <w:tc>
          <w:tcPr>
            <w:tcW w:w="130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243,379</w:t>
            </w:r>
          </w:p>
        </w:tc>
        <w:tc>
          <w:tcPr>
            <w:tcW w:w="13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268,185</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4.31% - 4.87%</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3.78% - 5.53%</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3.37% - 5.05%</w:t>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(years)</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23% - 25%</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19% - 25%</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24% - 25%</w:t>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 xml:space="preserve">(1) Includes the annual employee grant on November 1, 2024, November 1, 2023 and November 1, 2022 of 200,693, 242,371 and 266,051 stock options, respectively. The majority of the stock options granted, including the annual employee grants, vest 20% annually on the anniversary date of the grant and are fully vested after five years, expiring ten years from the date of grant.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60"/>
        <w:jc w:val="both"/>
        <w:rPr>
          <w:rFonts w:ascii="Times New Roman;serif" w:hAnsi="Times New Roman;serif"/>
          <w:b/>
          <w:color w:val="000000"/>
          <w:sz w:val="20"/>
        </w:rPr>
      </w:pPr>
      <w:r>
        <w:rPr>
          <w:rFonts w:ascii="Times New Roman;serif" w:hAnsi="Times New Roman;serif"/>
          <w:b/>
          <w:color w:val="000000"/>
          <w:sz w:val="20"/>
        </w:rPr>
        <w:t>Restricted Stock Awards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summary of Restricted Stock Award activity is as follows:</w:t>
      </w:r>
    </w:p>
    <w:tbl>
      <w:tblPr>
        <w:tblW w:w="8350" w:type="dxa"/>
        <w:jc w:val="left"/>
        <w:tblInd w:w="0" w:type="dxa"/>
        <w:tblLayout w:type="fixed"/>
        <w:tblCellMar>
          <w:top w:w="28" w:type="dxa"/>
          <w:left w:w="28" w:type="dxa"/>
          <w:bottom w:w="28" w:type="dxa"/>
          <w:right w:w="28" w:type="dxa"/>
        </w:tblCellMar>
      </w:tblPr>
      <w:tblGrid>
        <w:gridCol w:w="1427"/>
        <w:gridCol w:w="1255"/>
        <w:gridCol w:w="1262"/>
        <w:gridCol w:w="599"/>
        <w:gridCol w:w="599"/>
        <w:gridCol w:w="601"/>
        <w:gridCol w:w="109"/>
        <w:gridCol w:w="109"/>
        <w:gridCol w:w="109"/>
        <w:gridCol w:w="443"/>
        <w:gridCol w:w="1514"/>
        <w:gridCol w:w="323"/>
      </w:tblGrid>
      <w:tr>
        <w:trPr/>
        <w:tc>
          <w:tcPr>
            <w:tcW w:w="142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award data)</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Grant</w:t>
              <w:br/>
              <w:t>Date Fair Value Per Award</w:t>
            </w:r>
          </w:p>
        </w:tc>
      </w:tr>
      <w:tr>
        <w:trPr/>
        <w:tc>
          <w:tcPr>
            <w:tcW w:w="39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August 31, 2022</w:t>
            </w:r>
          </w:p>
        </w:tc>
        <w:tc>
          <w:tcPr>
            <w:tcW w:w="11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6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338.87 </w:t>
            </w:r>
          </w:p>
        </w:tc>
        <w:tc>
          <w:tcPr>
            <w:tcW w:w="3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Granted – employee Restricted Stock Awards</w:t>
            </w:r>
            <w:r>
              <w:rPr>
                <w:rFonts w:ascii="Times New Roman;serif" w:hAnsi="Times New Roman;serif"/>
                <w:b w:val="false"/>
                <w:color w:val="000000"/>
                <w:sz w:val="13"/>
              </w:rPr>
              <w:t>(1)</w:t>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416.58 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Performance adjustment – employee PSUs</w:t>
            </w:r>
            <w:r>
              <w:rPr>
                <w:rFonts w:ascii="Times New Roman;serif" w:hAnsi="Times New Roman;serif"/>
                <w:b w:val="false"/>
                <w:color w:val="000000"/>
                <w:sz w:val="13"/>
              </w:rPr>
              <w:t>(2)</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 non-employee directors RSUs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425.06 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Vested</w:t>
            </w:r>
            <w:r>
              <w:rPr>
                <w:rFonts w:ascii="Times New Roman;serif" w:hAnsi="Times New Roman;serif"/>
                <w:b w:val="false"/>
                <w:color w:val="000000"/>
                <w:sz w:val="13"/>
              </w:rPr>
              <w:t>(4)</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August 31, 2023</w:t>
            </w:r>
          </w:p>
        </w:tc>
        <w:tc>
          <w:tcPr>
            <w:tcW w:w="11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6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Granted – employee Restricted Stock Awards</w:t>
            </w:r>
            <w:r>
              <w:rPr>
                <w:rFonts w:ascii="Times New Roman;serif" w:hAnsi="Times New Roman;serif"/>
                <w:b w:val="false"/>
                <w:color w:val="000000"/>
                <w:sz w:val="13"/>
              </w:rPr>
              <w:t>(1)</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423.57 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Performance adjustment – employee PSUs</w:t>
            </w:r>
            <w:r>
              <w:rPr>
                <w:rFonts w:ascii="Times New Roman;serif" w:hAnsi="Times New Roman;serif"/>
                <w:b w:val="false"/>
                <w:color w:val="000000"/>
                <w:sz w:val="13"/>
              </w:rPr>
              <w:t>(2)</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306.33 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 non-employee directors RSUs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Vested</w:t>
            </w:r>
            <w:r>
              <w:rPr>
                <w:rFonts w:ascii="Times New Roman;serif" w:hAnsi="Times New Roman;serif"/>
                <w:b w:val="false"/>
                <w:color w:val="000000"/>
                <w:sz w:val="13"/>
              </w:rPr>
              <w:t>(4)</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405.37 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August 31, 2024</w:t>
            </w:r>
          </w:p>
        </w:tc>
        <w:tc>
          <w:tcPr>
            <w:tcW w:w="11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6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Granted – employee Restricted Stock Awards</w:t>
            </w:r>
            <w:r>
              <w:rPr>
                <w:rFonts w:ascii="Times New Roman;serif" w:hAnsi="Times New Roman;serif"/>
                <w:b w:val="false"/>
                <w:color w:val="000000"/>
                <w:sz w:val="13"/>
              </w:rPr>
              <w:t>(1)</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Performance adjustment – employee PSUs</w:t>
            </w:r>
            <w:r>
              <w:rPr>
                <w:rFonts w:ascii="Times New Roman;serif" w:hAnsi="Times New Roman;serif"/>
                <w:b w:val="false"/>
                <w:color w:val="000000"/>
                <w:sz w:val="13"/>
              </w:rPr>
              <w:t>(2)</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424.01 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Granted – non-employee directors RSUs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449.72 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Vested</w:t>
            </w:r>
            <w:r>
              <w:rPr>
                <w:rFonts w:ascii="Times New Roman;serif" w:hAnsi="Times New Roman;serif"/>
                <w:b w:val="false"/>
                <w:color w:val="000000"/>
                <w:sz w:val="13"/>
              </w:rPr>
              <w:t>(4)</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403.43 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August 31, 2025</w:t>
            </w:r>
          </w:p>
        </w:tc>
        <w:tc>
          <w:tcPr>
            <w:tcW w:w="11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6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429.19 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 xml:space="preserve">(1)During fiscal 2025, 2024 and 2023, we granted 92,840 RSUs and 34,479 PSUs; 74,456 RSUs and 37,008 PSUs; and 63,009 RSUs and 34,482 PSUs, respectively. </w:t>
      </w:r>
    </w:p>
    <w:p>
      <w:pPr>
        <w:pStyle w:val="TextBody"/>
        <w:bidi w:val="0"/>
        <w:spacing w:lineRule="auto" w:line="288" w:before="0" w:after="6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(2)Additional PSUs were granted during fiscal 2025, 2024 and 2023 based on performance above the specified target level of achievement for PSUs granted on November 1, 2021, November 9, 2020 and November 1, 2019, respectively.</w:t>
      </w:r>
    </w:p>
    <w:p>
      <w:pPr>
        <w:pStyle w:val="TextBody"/>
        <w:bidi w:val="0"/>
        <w:spacing w:lineRule="auto" w:line="288" w:before="0" w:after="6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(3)As of August 31, 2025, 292,716 shares underlying the Restricted Stock Awards were unvested and outstanding, which resulted in unamortized stock-based compensation expense of $70.9 million that is expected to be recognized over the remaining weighted average vesting period of 2.9 years.</w:t>
      </w:r>
    </w:p>
    <w:p>
      <w:pPr>
        <w:pStyle w:val="TextBody"/>
        <w:bidi w:val="0"/>
        <w:spacing w:lineRule="auto" w:line="288" w:before="0" w:after="6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 xml:space="preserve">(4)During fiscal 2025, 2024 and 2023, the total fair value of RSUs vested was $21.7 million, $17.7 million and $14.5 million, respectively, and for PSUs vested was $14.4 million, $13.6 million and $9.8 million, respectively. </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Employee Restricted Stock Awards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annual grant of employee Restricted Stock Awards during the first quarter of each fiscal year makes up the majority of our employee Restricted Stock Awards granted under the LTIP in each fiscal year. These awards entitle the holders to shares of common stock as the Restricted Stock Awards vest. For unvested Restricted Stock Awards, holders are not entitled to dividends declared on the underlying shares.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majority of the RSUs granted vest 20% annually on the anniversary date of the grant and are fully vested after five years. The majority of the PSUs granted cliff vest on the third anniversary of the grant date. The ultimate number of common shares that may be earned pursuant to our PSU awards depends on the level of our achievement of stated financial performance objectives. The achievement range was 0% to 200% for the November 1, 2024 and November 1, 2023 annual grants and 0% to 150% for the November 1, 2022 annual grant.</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Stock-based Awards Available for Grant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August 31, 2025, we had 3.3 million employee stock-based awards available for grant under the LTIP and 0.2 million non-employee director stock-based awards available for grant under the Director Plan.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the LTIP and Director Plan, each Restricted Stock Award granted or canceled/forfeited is equivalent to 2.5 shares deducted from or added back to, respectively, the aggregate number of stock-based awards available for grant.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16. EMPLOYEE BENEFIT PLANS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Defined Contribution Plan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401(k) Plan is a defined contribution plan covering all full-time, U.S. employees of FactSet and is subject to the provisions of the Employee Retirement Income Security Act of 1974 and the Code. Each year, participants may contribute up to 60% of their eligible annual compensation, subject to annual limitations established by the Code. We match up to 4% of employees’ earnings, capped at the Internal Revenue Service annual maximum. Company matching contributions are subject to a five-year graduated vesting schedule. All full-time, U.S. employees are eligible for the matching contribution by FactSet. We contributed $14.8 million, $14.2 million and $16.6 million in matching contributions to employee 401(k) accounts during fiscal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17. SEGMENT INFORMATION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Operating segments are defined as components of an enterprise that have the following characteristics: (i) they engage in business activities from which they may earn revenue and incur expense, (ii) their operating results are regularly reviewed by the chief operating decision maker ("CODM") for resource allocation decisions and performance assessment, and (iii) their discrete financial information is available. Our Chief Executive Officer functions as our CODM.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three operating segments: Americas, EMEA and Asia Pacific. This is how our CODM manages our business and the geographic markets in which we operate. These operating segments are consistent with our reportable segments. Our CODM uses segment operating income to assess performance and allocate resources to each segment. The CODM compares the actual results of each segment with one another, as well as, to prior periods.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Americas segment primarily sells to clients throughout North, Central, and South America. The EMEA segment primarily sells to clients in Europe, the Middle East, and Africa. The Asia Pacific segment primarily sells to clients in Asia and Australasia. Segment revenues reflect sales to our clients based on the geographic region where the sale originated.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Each segment records expenses related to its individual operations with the exception of expenditures associated with our data centers, third-party data costs and corporate headquarters charges, which are recorded by the Americas segment and are not allocated to the other segments. The expenses incurred at our global centers of excellence ("COEs"), primarily located in India and the Philippines, are allocated to each segment based on their respective percentage of revenues as this reflects the benefits provided by each segment.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Intercompany revenue and expense amounts have been eliminated within each segment in order to report on the basis that management uses internally for evaluating segment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reflect the results of operations of our segments:</w:t>
      </w:r>
    </w:p>
    <w:tbl>
      <w:tblPr>
        <w:tblW w:w="7764" w:type="dxa"/>
        <w:jc w:val="left"/>
        <w:tblInd w:w="0" w:type="dxa"/>
        <w:tblLayout w:type="fixed"/>
        <w:tblCellMar>
          <w:top w:w="28" w:type="dxa"/>
          <w:left w:w="28" w:type="dxa"/>
          <w:bottom w:w="28" w:type="dxa"/>
          <w:right w:w="28" w:type="dxa"/>
        </w:tblCellMar>
      </w:tblPr>
      <w:tblGrid>
        <w:gridCol w:w="1026"/>
        <w:gridCol w:w="904"/>
        <w:gridCol w:w="905"/>
        <w:gridCol w:w="211"/>
        <w:gridCol w:w="976"/>
        <w:gridCol w:w="109"/>
        <w:gridCol w:w="211"/>
        <w:gridCol w:w="826"/>
        <w:gridCol w:w="109"/>
        <w:gridCol w:w="211"/>
        <w:gridCol w:w="826"/>
        <w:gridCol w:w="109"/>
        <w:gridCol w:w="211"/>
        <w:gridCol w:w="976"/>
        <w:gridCol w:w="154"/>
      </w:tblGrid>
      <w:tr>
        <w:trPr/>
        <w:tc>
          <w:tcPr>
            <w:tcW w:w="102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August 31, 2025</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Americas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EMEA</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83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1,506,108 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580,284 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235,356 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2,321,748 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305,963 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274,002 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168,338 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748,303 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720,958 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segment disclosures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 expenditures</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764" w:type="dxa"/>
        <w:jc w:val="left"/>
        <w:tblInd w:w="0" w:type="dxa"/>
        <w:tblLayout w:type="fixed"/>
        <w:tblCellMar>
          <w:top w:w="28" w:type="dxa"/>
          <w:left w:w="28" w:type="dxa"/>
          <w:bottom w:w="28" w:type="dxa"/>
          <w:right w:w="28" w:type="dxa"/>
        </w:tblCellMar>
      </w:tblPr>
      <w:tblGrid>
        <w:gridCol w:w="1024"/>
        <w:gridCol w:w="904"/>
        <w:gridCol w:w="907"/>
        <w:gridCol w:w="211"/>
        <w:gridCol w:w="976"/>
        <w:gridCol w:w="109"/>
        <w:gridCol w:w="211"/>
        <w:gridCol w:w="826"/>
        <w:gridCol w:w="109"/>
        <w:gridCol w:w="211"/>
        <w:gridCol w:w="826"/>
        <w:gridCol w:w="109"/>
        <w:gridCol w:w="211"/>
        <w:gridCol w:w="976"/>
        <w:gridCol w:w="154"/>
      </w:tblGrid>
      <w:tr>
        <w:trPr/>
        <w:tc>
          <w:tcPr>
            <w:tcW w:w="102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August 31, 2024</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Americas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EMEA</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83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1,419,901 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563,128 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220,027 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2,203,056 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w:t>
            </w:r>
            <w:r>
              <w:rPr>
                <w:rFonts w:ascii="Times New Roman;serif" w:hAnsi="Times New Roman;serif"/>
                <w:b w:val="false"/>
                <w:color w:val="000000"/>
                <w:sz w:val="13"/>
              </w:rPr>
              <w:t>(1)</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1,501,757 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261,790 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282,963 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156,546 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701,299 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651,503 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segment disclosures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 expenditures</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764" w:type="dxa"/>
        <w:jc w:val="left"/>
        <w:tblInd w:w="0" w:type="dxa"/>
        <w:tblLayout w:type="fixed"/>
        <w:tblCellMar>
          <w:top w:w="28" w:type="dxa"/>
          <w:left w:w="28" w:type="dxa"/>
          <w:bottom w:w="28" w:type="dxa"/>
          <w:right w:w="28" w:type="dxa"/>
        </w:tblCellMar>
      </w:tblPr>
      <w:tblGrid>
        <w:gridCol w:w="1024"/>
        <w:gridCol w:w="904"/>
        <w:gridCol w:w="907"/>
        <w:gridCol w:w="211"/>
        <w:gridCol w:w="976"/>
        <w:gridCol w:w="109"/>
        <w:gridCol w:w="211"/>
        <w:gridCol w:w="826"/>
        <w:gridCol w:w="109"/>
        <w:gridCol w:w="211"/>
        <w:gridCol w:w="826"/>
        <w:gridCol w:w="109"/>
        <w:gridCol w:w="211"/>
        <w:gridCol w:w="976"/>
        <w:gridCol w:w="154"/>
      </w:tblGrid>
      <w:tr>
        <w:trPr/>
        <w:tc>
          <w:tcPr>
            <w:tcW w:w="102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August 31, 2023</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Americas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EMEA</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1,335,484 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539,843 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210,181 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2,085,508 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239,438 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243,028 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146,741 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629,207 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583,954 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segment disclosures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 expenditures</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both"/>
        <w:rPr>
          <w:rFonts w:ascii="Times New Roman;serif" w:hAnsi="Times New Roman;serif"/>
          <w:b w:val="false"/>
          <w:color w:val="212529"/>
          <w:sz w:val="18"/>
        </w:rPr>
      </w:pPr>
      <w:r>
        <w:rPr>
          <w:rFonts w:ascii="Times New Roman;serif" w:hAnsi="Times New Roman;serif"/>
          <w:b w:val="false"/>
          <w:color w:val="212529"/>
          <w:sz w:val="18"/>
        </w:rPr>
        <w:t>(1)Operating expenses consist of Cost of services and SG&amp;A costs.</w:t>
      </w:r>
    </w:p>
    <w:p>
      <w:pPr>
        <w:pStyle w:val="TextBody"/>
        <w:bidi w:val="0"/>
        <w:spacing w:lineRule="auto" w:line="288" w:before="60" w:after="6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(2)Capital expenditures include purchases of PPE and capitalized internal-use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Segment Total Assets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total assets for our segments:</w:t>
      </w:r>
    </w:p>
    <w:tbl>
      <w:tblPr>
        <w:tblW w:w="5312" w:type="dxa"/>
        <w:jc w:val="left"/>
        <w:tblInd w:w="0" w:type="dxa"/>
        <w:tblLayout w:type="fixed"/>
        <w:tblCellMar>
          <w:top w:w="28" w:type="dxa"/>
          <w:left w:w="28" w:type="dxa"/>
          <w:bottom w:w="28" w:type="dxa"/>
          <w:right w:w="28" w:type="dxa"/>
        </w:tblCellMar>
      </w:tblPr>
      <w:tblGrid>
        <w:gridCol w:w="499"/>
        <w:gridCol w:w="439"/>
        <w:gridCol w:w="441"/>
        <w:gridCol w:w="211"/>
        <w:gridCol w:w="976"/>
        <w:gridCol w:w="109"/>
        <w:gridCol w:w="211"/>
        <w:gridCol w:w="976"/>
        <w:gridCol w:w="109"/>
        <w:gridCol w:w="211"/>
        <w:gridCol w:w="976"/>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As of August 31, </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137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Segment Assets</w:t>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assets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4,304,272 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4,055,040 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3,962,922 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Geographic Information</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tables reflect our revenues and long-lived assets, split geographically by our country of domicile (the United States) and other countries where major subsidiaries are domiciled.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Geographic Revenues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revenues by geography, attributed to countries based on the location of the client:</w:t>
      </w:r>
    </w:p>
    <w:tbl>
      <w:tblPr>
        <w:tblW w:w="6168" w:type="dxa"/>
        <w:jc w:val="left"/>
        <w:tblInd w:w="0" w:type="dxa"/>
        <w:tblLayout w:type="fixed"/>
        <w:tblCellMar>
          <w:top w:w="28" w:type="dxa"/>
          <w:left w:w="28" w:type="dxa"/>
          <w:bottom w:w="28" w:type="dxa"/>
          <w:right w:w="28" w:type="dxa"/>
        </w:tblCellMar>
      </w:tblPr>
      <w:tblGrid>
        <w:gridCol w:w="809"/>
        <w:gridCol w:w="712"/>
        <w:gridCol w:w="714"/>
        <w:gridCol w:w="211"/>
        <w:gridCol w:w="976"/>
        <w:gridCol w:w="109"/>
        <w:gridCol w:w="211"/>
        <w:gridCol w:w="976"/>
        <w:gridCol w:w="109"/>
        <w:gridCol w:w="211"/>
        <w:gridCol w:w="976"/>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9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r>
      <w:tr>
        <w:trPr/>
        <w:tc>
          <w:tcPr>
            <w:tcW w:w="2235"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23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Revenues</w:t>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European Countries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Countries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Total revenues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2,321,748 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2,203,056 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2,085,508 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Geographic Long-Lived Assets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long-lived assets by geographic area. Long-lived assets consist of PPE, net and Lease ROU assets, net and excludes goodwill, intangible assets, deferred taxes and other assets.</w:t>
      </w:r>
    </w:p>
    <w:tbl>
      <w:tblPr>
        <w:tblW w:w="4301" w:type="dxa"/>
        <w:jc w:val="left"/>
        <w:tblInd w:w="0" w:type="dxa"/>
        <w:tblLayout w:type="fixed"/>
        <w:tblCellMar>
          <w:top w:w="28" w:type="dxa"/>
          <w:left w:w="28" w:type="dxa"/>
          <w:bottom w:w="28" w:type="dxa"/>
          <w:right w:w="28" w:type="dxa"/>
        </w:tblCellMar>
      </w:tblPr>
      <w:tblGrid>
        <w:gridCol w:w="711"/>
        <w:gridCol w:w="626"/>
        <w:gridCol w:w="627"/>
        <w:gridCol w:w="211"/>
        <w:gridCol w:w="826"/>
        <w:gridCol w:w="109"/>
        <w:gridCol w:w="211"/>
        <w:gridCol w:w="826"/>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3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August 31, </w:t>
            </w:r>
          </w:p>
        </w:tc>
      </w:tr>
      <w:tr>
        <w:trPr/>
        <w:tc>
          <w:tcPr>
            <w:tcW w:w="1964"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9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Long-lived Assets</w:t>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Philippines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Countries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long-lived assets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206,979 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213,007 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ITEM 9. CHANGES IN AND DISAGREEMENTS WITH ACCOUNTANTS ON ACCOUNTING AND FINANCIAL DISCLOSURE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ITEM 9A. CONTROLS AND PROCEDURES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including our Principal Executive Officer and Principal Financial Officer, have evaluated the effectiveness of our disclosure controls and procedures pursuant to Rules 13a-15(e) and 15d-15(e) under the Securities Exchange Act of 1934,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amended (the "Exchange Act"), as of the end of the annual period covered by this report. In accordance with the guidance issued by the Securities and Exchange Commission, companies are permitted to exclude acquisitions from their first assessment of internal control over financial reporting following the date of acquisition. Excluding goodwill and intangible assets, Irwin and LiquidityBook represented a combined 2% of our Total assets as of August 31, 2025 and 1% of our consolidated Revenues for fiscal year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Principal Executive Officer and Principal Financial Officer have concluded that our disclosure controls and procedures were not effective as of the end of the annual period covered by this report due to a material weakness in internal control over financial reporting. This conclusion is due to a material weakness identified in the operation of certain key IT general controls. The material weakness is described below and represents a continuation of a sub-set of the control deficiencies which gave rise to the initial material weakness identified in management’s evaluation of our control environment as of August 31, 2024.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Continuation of Previously Reported Material Weakness </w:t>
      </w:r>
    </w:p>
    <w:p>
      <w:pPr>
        <w:pStyle w:val="TextBody"/>
        <w:bidi w:val="0"/>
        <w:spacing w:lineRule="auto" w:line="288" w:before="200" w:after="283"/>
        <w:jc w:val="both"/>
        <w:rPr/>
      </w:pPr>
      <w:r>
        <w:rPr>
          <w:rFonts w:ascii="Times New Roman;serif" w:hAnsi="Times New Roman;serif"/>
          <w:b w:val="false"/>
          <w:color w:val="000000"/>
          <w:sz w:val="20"/>
        </w:rPr>
        <w:t>As reported in Part II, Item 9A. “Controls and Procedures” of our Annual Report on Form 10-K for the fiscal year ended August 31, 2024, we had identified a material weakness in the design and operation of IT general controls that support our revenues, accounts receivable, and deferred revenues processes which, in the aggregate, gave rise to a material weakness in internal control over financial reporting. While we have made significant progress remediating those control deficiencies, there remains certain deficiencies related to program change management and monitoring and user access in connection with segregation of duties and restrictions to appropriate users.</w:t>
      </w:r>
      <w:r>
        <w:rPr>
          <w:color w:val="000000"/>
        </w:rPr>
        <w:t xml:space="preserve"> </w:t>
      </w:r>
      <w:r>
        <w:rPr>
          <w:rFonts w:ascii="Times New Roman;serif" w:hAnsi="Times New Roman;serif"/>
          <w:b w:val="false"/>
          <w:color w:val="000000"/>
          <w:sz w:val="20"/>
        </w:rPr>
        <w:t>As a result, the automated controls and IT dependent manual business process controls that rely upon information from the affected financial applications were deemed not effective.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identification of the material weakness, we performed further analysis and completed additional procedures intended to ensure our consolidated financial statements for the years ended August 31, 2025, 2024, and 2023 fairly present in all material respects the financial condition, results of operations and cash flows of the Company and have been prepared in accordance GAAP. Based on these procedures and analysis, after giving full consideration to the material weakness, our management has concluded that our Consolidated Financial Statements present fairly, in all material respects, our financial position, results of operations and cash flows for the periods disclosed in conformity with GAAP.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Remediation Efforts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fiscal 2025, management made significant progress in enhancing the Company’s IT general controls to remediate the IT general control material weakness, however this effort remains ongoing. With the oversight of the Audit Committee of our Board of Directors, we have implemented remediation efforts to address the material weakness and enhance our IT general controls that support our revenues, accounts receivable, and deferred revenues processes. Our remediation efforts included: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Strengthening the control environment by implementing controls that increase the frequency and effectiveness of user management and change management, including improved logging and segregation of duties capabilities.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Engaging a leading third-party accounting advisory firm, with appropriate internal control expertise and experience, to help evaluate the design of our controls as well as to assist with the documentation, remediation, and related controls testing.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Management also worked with the accounting advisory firm to revise the Company’s IT Risk and Control Matrix and to re-design certain controls around manage change and manage access to address the design deficiencies from the prior year.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Hired additional key IT compliance personnel and a global head of internal audit.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Trained relevant personnel on the design and operation of our IT general controls over financial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While these efforts have resulted in significant progress toward remediating the material weakness, certain deficiencies remain, which management is committed to remediating. Our remediation plans include: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Enhancing the precision and documentation of the change monitoring and segregation of duties review controls through additional training and formalized standard operating procedures.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Performing additional testing of the change monitoring and segregation of duties review controls to demonstrate the sustainability and repeatability of control operating effectiveness.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Implementing technology solutions to enhance the control framework for supporting change monitoring, segregation of duties and access management review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Continuing to utilize an expert third-party accounting advisory firm to evaluate the design of our controls as well as to assist with the documentation, remediation and associated testing.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Additional or modified measures may also be required to remediate the material weakness. We will not be able to conclude that we have completely remediated the material weakness until the applicable controls are fully implemented and have operated for a sufficient period of time and management has concluded, through formal testing, that the remediated controls are operating effectively. We expect to complete these remediation measures as early as practicable in fiscal 2026. We will continue to monitor the design and effectiveness of these and other processes, procedures, and controls and make any further changes management deems appropriate. We regularly report to the Audit Committee on our progress and will continue to do so in fiscal 2026.</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Inherent Limitations of Internal Controls over Financial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 system of controls, no matter how well designed and operated, can provide absolute assurance that the objectives of the system of controls will be met, and no evaluation of controls can provide absolute assurance that all control deficiencies or material weaknesses have been or will be detected. There is no assurance that our remediation efforts will be fully effective. If these remediation efforts do not prove effective and control deficiencies and material weaknesses persist or occur in the future, the accuracy and timing of our financial reporting may be adversely affected.</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Other than the ongoing remediation plans described above, there were no changes in the Company’s internal control over financial reporting (as such term is defined in Rules 13a-15(f) and 15d-15(f) under the Exchange Act) during the fourth quarter of fiscal 2025 that have materially affected, or are reasonably likely to materially affect, our internal control over financial reporting.</w:t>
      </w:r>
    </w:p>
    <w:p>
      <w:pPr>
        <w:pStyle w:val="TextBody"/>
        <w:bidi w:val="0"/>
        <w:spacing w:lineRule="auto" w:line="276" w:before="200" w:after="283"/>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200" w:after="283"/>
        <w:jc w:val="both"/>
        <w:rPr/>
      </w:pPr>
      <w:r>
        <w:rPr>
          <w:rFonts w:ascii="Times New Roman;serif" w:hAnsi="Times New Roman;serif"/>
          <w:b w:val="false"/>
          <w:color w:val="000000"/>
          <w:sz w:val="20"/>
        </w:rPr>
        <w:t xml:space="preserve">See Part II, Item 8. </w:t>
      </w:r>
      <w:r>
        <w:rPr>
          <w:rFonts w:ascii="Times New Roman;serif" w:hAnsi="Times New Roman;serif"/>
          <w:b w:val="false"/>
          <w:i/>
          <w:color w:val="000000"/>
          <w:sz w:val="20"/>
        </w:rPr>
        <w:t>Management’s Report on Internal Control Over Financial Reporting</w:t>
      </w:r>
      <w:r>
        <w:rPr>
          <w:color w:val="000000"/>
        </w:rPr>
        <w:t xml:space="preserve"> </w:t>
      </w:r>
      <w:r>
        <w:rPr>
          <w:rFonts w:ascii="Times New Roman;serif" w:hAnsi="Times New Roman;serif"/>
          <w:b w:val="false"/>
          <w:color w:val="000000"/>
          <w:sz w:val="20"/>
        </w:rPr>
        <w:t>of this Annual Report on Form 10-K, which is incorporated herein by reference.</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200" w:after="283"/>
        <w:jc w:val="both"/>
        <w:rPr/>
      </w:pPr>
      <w:r>
        <w:rPr>
          <w:rFonts w:ascii="Times New Roman;serif" w:hAnsi="Times New Roman;serif"/>
          <w:b w:val="false"/>
          <w:color w:val="000000"/>
          <w:sz w:val="20"/>
        </w:rPr>
        <w:t xml:space="preserve">See Part II, Item 8. </w:t>
      </w:r>
      <w:r>
        <w:rPr>
          <w:rFonts w:ascii="Times New Roman;serif" w:hAnsi="Times New Roman;serif"/>
          <w:b w:val="false"/>
          <w:i/>
          <w:color w:val="000000"/>
          <w:sz w:val="20"/>
        </w:rPr>
        <w:t>Report of Independent Registered Public Accounting Firm</w:t>
      </w:r>
      <w:r>
        <w:rPr>
          <w:color w:val="000000"/>
        </w:rPr>
        <w:t xml:space="preserve"> </w:t>
      </w:r>
      <w:r>
        <w:rPr>
          <w:rFonts w:ascii="Times New Roman;serif" w:hAnsi="Times New Roman;serif"/>
          <w:b w:val="false"/>
          <w:color w:val="000000"/>
          <w:sz w:val="20"/>
        </w:rPr>
        <w:t>of this Annual Report on Form 10-K,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ITEM 9B. OTHER INFORMATION</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None of our directors or officers (as defined in Section 16 of the Securities Exchange Act of 1934, as amended), adopted or terminated a Rule 10b5-1 trading arrangement or a non-Rule 10b5-1 trading arrangement (each as defined in Item 408(a) and (c) of Regulation S-K) during the quarter ended August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ITEM 10. DIRECTORS, EXECUTIVE OFFICERS AND CORPORATE GOVERNANCE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to be furnished by this Item 10 is incorporated herein by reference to our Notice of Annual Meeting of Stockholders and Proxy Statement to be filed within 120 days of August 31, 2025 (the "Proxy Statement").</w:t>
      </w:r>
    </w:p>
    <w:p>
      <w:pPr>
        <w:pStyle w:val="TextBody"/>
        <w:bidi w:val="0"/>
        <w:spacing w:lineRule="auto" w:line="288" w:before="200" w:after="283"/>
        <w:jc w:val="both"/>
        <w:rPr/>
      </w:pPr>
      <w:r>
        <w:rPr>
          <w:rFonts w:ascii="Times New Roman;serif" w:hAnsi="Times New Roman;serif"/>
          <w:b w:val="false"/>
          <w:color w:val="000000"/>
          <w:sz w:val="20"/>
        </w:rPr>
        <w:t xml:space="preserve">Pursuant to General Instruction G(3) of Form 10-K, the information required by this item relating to our executive officers is included in Part I, Item 1. </w:t>
      </w:r>
      <w:r>
        <w:rPr>
          <w:rFonts w:ascii="Times New Roman;serif" w:hAnsi="Times New Roman;serif"/>
          <w:b w:val="false"/>
          <w:i/>
          <w:color w:val="000000"/>
          <w:sz w:val="20"/>
        </w:rPr>
        <w:t>Business - Executive Officers of the Registrant</w:t>
      </w:r>
      <w:r>
        <w:rPr>
          <w:color w:val="000000"/>
        </w:rPr>
        <w:t xml:space="preserve"> </w:t>
      </w:r>
      <w:r>
        <w:rPr>
          <w:rFonts w:ascii="Times New Roman;serif" w:hAnsi="Times New Roman;serif"/>
          <w:b w:val="false"/>
          <w:color w:val="000000"/>
          <w:sz w:val="20"/>
        </w:rPr>
        <w:t>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ITEM 11. EXECUTIVE COMPENSATION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to be furnished by this Item 11 is incorporated herein by reference to our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ITEM 12. SECURITY OWNERSHIP OF CERTAIN BENEFICIAL OWNERS AND MANAGEMENT AND RELATED STOCKHOLDER MATTERS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to be furnished by this Item 12 is incorporated herein by reference to our Proxy Statement.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Equity Compensation Plan Information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as of August 31, 2025, the number of outstanding equity awards granted to employees and non-employee directors, as well as the number of equity awards remaining available for future issuance, under our equity compensation plans:</w:t>
      </w:r>
    </w:p>
    <w:tbl>
      <w:tblPr>
        <w:tblW w:w="10205" w:type="dxa"/>
        <w:jc w:val="left"/>
        <w:tblInd w:w="0" w:type="dxa"/>
        <w:tblLayout w:type="fixed"/>
        <w:tblCellMar>
          <w:top w:w="28" w:type="dxa"/>
          <w:left w:w="28" w:type="dxa"/>
          <w:bottom w:w="28" w:type="dxa"/>
          <w:right w:w="28" w:type="dxa"/>
        </w:tblCellMar>
      </w:tblPr>
      <w:tblGrid>
        <w:gridCol w:w="966"/>
        <w:gridCol w:w="849"/>
        <w:gridCol w:w="855"/>
        <w:gridCol w:w="834"/>
        <w:gridCol w:w="673"/>
        <w:gridCol w:w="675"/>
        <w:gridCol w:w="109"/>
        <w:gridCol w:w="109"/>
        <w:gridCol w:w="109"/>
        <w:gridCol w:w="455"/>
        <w:gridCol w:w="1556"/>
        <w:gridCol w:w="237"/>
        <w:gridCol w:w="109"/>
        <w:gridCol w:w="109"/>
        <w:gridCol w:w="109"/>
        <w:gridCol w:w="751"/>
        <w:gridCol w:w="660"/>
        <w:gridCol w:w="661"/>
        <w:gridCol w:w="109"/>
        <w:gridCol w:w="109"/>
        <w:gridCol w:w="161"/>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category</w:t>
            </w:r>
          </w:p>
        </w:tc>
        <w:tc>
          <w:tcPr>
            <w:tcW w:w="2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val="false"/>
                <w:sz w:val="20"/>
              </w:rPr>
              <w:br/>
            </w:r>
            <w:r>
              <w:rPr>
                <w:rFonts w:ascii="Times New Roman;serif" w:hAnsi="Times New Roman;serif"/>
                <w:b w:val="false"/>
                <w:color w:val="000000"/>
                <w:sz w:val="20"/>
              </w:rPr>
              <w:t>Number of securities</w:t>
              <w:br/>
              <w:t>to be issued upon exercise</w:t>
              <w:br/>
              <w:t xml:space="preserve">of outstanding options, warrants and rights </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exercise price of</w:t>
              <w:br/>
              <w:t>outstanding options, warrants and rights</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Number of securities remaining</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available for future issuances under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equity compensation plans (excluding</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reflected in column (a))</w:t>
            </w:r>
          </w:p>
          <w:p>
            <w:pPr>
              <w:pStyle w:val="TableContents"/>
              <w:bidi w:val="0"/>
              <w:spacing w:lineRule="auto" w:line="240" w:before="0" w:after="0"/>
              <w:jc w:val="center"/>
              <w:rPr/>
            </w:pPr>
            <w:r>
              <w:rPr>
                <w:rFonts w:ascii="Times New Roman;serif" w:hAnsi="Times New Roman;serif"/>
                <w:b w:val="false"/>
                <w:color w:val="000000"/>
                <w:sz w:val="20"/>
              </w:rPr>
              <w:t>(c)</w:t>
            </w:r>
            <w:r>
              <w:rPr>
                <w:rFonts w:ascii="Times New Roman;serif" w:hAnsi="Times New Roman;serif"/>
                <w:b w:val="false"/>
                <w:color w:val="000000"/>
                <w:sz w:val="13"/>
              </w:rPr>
              <w:t>(3)</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security holders</w:t>
            </w:r>
          </w:p>
        </w:tc>
        <w:tc>
          <w:tcPr>
            <w:tcW w:w="1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1,977,727 </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14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3,492,745 </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(4)</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security holders</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5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1,977,727 </w:t>
            </w:r>
          </w:p>
        </w:tc>
        <w:tc>
          <w:tcPr>
            <w:tcW w:w="6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4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347.50 </w:t>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14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3,492,745 </w:t>
            </w:r>
          </w:p>
        </w:tc>
        <w:tc>
          <w:tcPr>
            <w:tcW w:w="6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(4)</w:t>
            </w:r>
          </w:p>
        </w:tc>
      </w:tr>
    </w:tbl>
    <w:p>
      <w:pPr>
        <w:pStyle w:val="TextBody"/>
        <w:bidi w:val="0"/>
        <w:spacing w:lineRule="auto" w:line="288" w:before="60" w:after="283"/>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(1)Includes 1,685,011 shares issuable upon exercise of outstanding options, 201,226 shares issuable upon vesting of outstanding RSUs and 91,490 shares issuable upon the conversion of outstanding PSUs.</w:t>
      </w:r>
    </w:p>
    <w:p>
      <w:pPr>
        <w:pStyle w:val="TextBody"/>
        <w:bidi w:val="0"/>
        <w:spacing w:lineRule="auto" w:line="288" w:before="60" w:after="283"/>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(2)Weighted average exercise price of outstanding options only.</w:t>
      </w:r>
    </w:p>
    <w:p>
      <w:pPr>
        <w:pStyle w:val="TextBody"/>
        <w:bidi w:val="0"/>
        <w:spacing w:lineRule="auto" w:line="288" w:before="60" w:after="283"/>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(3)In accordance with the LTIP and Director Plan, each Restricted Stock Award granted or canceled/forfeited is equivalent to 2.5 shares deducted from or added back to, respectively, the aggregate number of stock-based awards available for grant.</w:t>
      </w:r>
    </w:p>
    <w:p>
      <w:pPr>
        <w:pStyle w:val="TextBody"/>
        <w:bidi w:val="0"/>
        <w:spacing w:lineRule="auto" w:line="288" w:before="60" w:after="283"/>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(4)Includes 3,294,837 shares available for future issuance under the LTIP and 197,908 shares available for future issuance under the Director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283"/>
        <w:jc w:val="left"/>
        <w:rPr>
          <w:rFonts w:ascii="Times New Roman;serif" w:hAnsi="Times New Roman;serif"/>
          <w:b/>
          <w:color w:val="000000"/>
          <w:sz w:val="24"/>
        </w:rPr>
      </w:pPr>
      <w:r>
        <w:rPr>
          <w:rFonts w:ascii="Times New Roman;serif" w:hAnsi="Times New Roman;serif"/>
          <w:b/>
          <w:color w:val="000000"/>
          <w:sz w:val="24"/>
        </w:rPr>
        <w:t>ITEM 13. CERTAIN RELATIONSHIPS AND RELATED TRANSACTIONS, AND DIRECTOR INDEPENDENCE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required to be furnished by this Item 13 is incorporated herein by reference to our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ITEM 14. PRINCIPAL ACCOUNTING FEES AND SERVICES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required to be furnished by this Item 14 is incorporated herein by reference to our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15. EXHIBITS, FINANCIAL STATEMENT SCHEDULES</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(a)Documents filed as part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1.Financial Statements</w:t>
      </w:r>
    </w:p>
    <w:p>
      <w:pPr>
        <w:pStyle w:val="TextBody"/>
        <w:bidi w:val="0"/>
        <w:spacing w:lineRule="auto" w:line="288" w:before="200" w:after="283"/>
        <w:jc w:val="left"/>
        <w:rPr/>
      </w:pPr>
      <w:r>
        <w:rPr>
          <w:rFonts w:ascii="Times New Roman;serif" w:hAnsi="Times New Roman;serif"/>
          <w:b w:val="false"/>
          <w:color w:val="000000"/>
          <w:sz w:val="20"/>
        </w:rPr>
        <w:t xml:space="preserve">The information required by this item is included in Item 8. </w:t>
      </w:r>
      <w:r>
        <w:rPr>
          <w:rFonts w:ascii="Times New Roman;serif" w:hAnsi="Times New Roman;serif"/>
          <w:b w:val="false"/>
          <w:i/>
          <w:color w:val="000000"/>
          <w:sz w:val="20"/>
        </w:rPr>
        <w:t>Financial Statements and Supplementary Data</w:t>
      </w:r>
      <w:r>
        <w:rPr>
          <w:rFonts w:ascii="Times New Roman;serif" w:hAnsi="Times New Roman;serif"/>
          <w:b w:val="false"/>
          <w:color w:val="000000"/>
          <w:sz w:val="20"/>
        </w:rPr>
        <w:t>, of this Annual Report on Form 10-K which is incorporated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2.Financial Statements Schedule</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FactSet Research Systems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Schedule II – Valuation and Qualifying Accounts</w:t>
      </w:r>
    </w:p>
    <w:tbl>
      <w:tblPr>
        <w:tblW w:w="9491" w:type="dxa"/>
        <w:jc w:val="left"/>
        <w:tblInd w:w="0" w:type="dxa"/>
        <w:tblLayout w:type="fixed"/>
        <w:tblCellMar>
          <w:top w:w="28" w:type="dxa"/>
          <w:left w:w="28" w:type="dxa"/>
          <w:bottom w:w="28" w:type="dxa"/>
          <w:right w:w="28" w:type="dxa"/>
        </w:tblCellMar>
      </w:tblPr>
      <w:tblGrid>
        <w:gridCol w:w="939"/>
        <w:gridCol w:w="827"/>
        <w:gridCol w:w="829"/>
        <w:gridCol w:w="507"/>
        <w:gridCol w:w="1735"/>
        <w:gridCol w:w="262"/>
        <w:gridCol w:w="392"/>
        <w:gridCol w:w="1145"/>
        <w:gridCol w:w="202"/>
        <w:gridCol w:w="322"/>
        <w:gridCol w:w="1056"/>
        <w:gridCol w:w="166"/>
        <w:gridCol w:w="215"/>
        <w:gridCol w:w="737"/>
        <w:gridCol w:w="157"/>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Charged to Expense</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Write-offs,</w:t>
              <w:br/>
              <w:t>Net of Recoveries</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at</w:t>
              <w:br/>
              <w:t>End of Year</w:t>
            </w:r>
          </w:p>
        </w:tc>
      </w:tr>
      <w:tr>
        <w:trPr/>
        <w:tc>
          <w:tcPr>
            <w:tcW w:w="2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Accounts Receivable Allowance:</w:t>
            </w:r>
          </w:p>
        </w:tc>
        <w:tc>
          <w:tcPr>
            <w:tcW w:w="2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Additional financial statement schedules are omitted since they are either not required, not applicable, or the information is otherwise included in the Consolidated Financial Statements or notes thereto included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000000"/>
          <w:sz w:val="20"/>
          <w:shd w:fill="FFFFFF" w:val="clear"/>
        </w:rPr>
        <w:t>3.</w:t>
      </w:r>
      <w:r>
        <w:rPr>
          <w:rFonts w:ascii="Times New Roman;serif" w:hAnsi="Times New Roman;serif"/>
          <w:b w:val="false"/>
          <w:color w:val="000000"/>
          <w:sz w:val="20"/>
          <w:shd w:fill="FFFFFF" w:val="clear"/>
        </w:rPr>
        <w:t>Exhibits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set forth below.</w:t>
      </w:r>
    </w:p>
    <w:tbl>
      <w:tblPr>
        <w:tblW w:w="10205" w:type="dxa"/>
        <w:jc w:val="left"/>
        <w:tblInd w:w="0" w:type="dxa"/>
        <w:tblLayout w:type="fixed"/>
        <w:tblCellMar>
          <w:top w:w="28" w:type="dxa"/>
          <w:left w:w="28" w:type="dxa"/>
          <w:bottom w:w="28" w:type="dxa"/>
          <w:right w:w="28" w:type="dxa"/>
        </w:tblCellMar>
      </w:tblPr>
      <w:tblGrid>
        <w:gridCol w:w="277"/>
        <w:gridCol w:w="244"/>
        <w:gridCol w:w="245"/>
        <w:gridCol w:w="1383"/>
        <w:gridCol w:w="1372"/>
        <w:gridCol w:w="1385"/>
        <w:gridCol w:w="109"/>
        <w:gridCol w:w="109"/>
        <w:gridCol w:w="109"/>
        <w:gridCol w:w="178"/>
        <w:gridCol w:w="178"/>
        <w:gridCol w:w="179"/>
        <w:gridCol w:w="109"/>
        <w:gridCol w:w="109"/>
        <w:gridCol w:w="109"/>
        <w:gridCol w:w="270"/>
        <w:gridCol w:w="264"/>
        <w:gridCol w:w="191"/>
        <w:gridCol w:w="109"/>
        <w:gridCol w:w="109"/>
        <w:gridCol w:w="109"/>
        <w:gridCol w:w="267"/>
        <w:gridCol w:w="267"/>
        <w:gridCol w:w="269"/>
        <w:gridCol w:w="109"/>
        <w:gridCol w:w="109"/>
        <w:gridCol w:w="109"/>
        <w:gridCol w:w="235"/>
        <w:gridCol w:w="235"/>
        <w:gridCol w:w="236"/>
        <w:gridCol w:w="109"/>
        <w:gridCol w:w="109"/>
        <w:gridCol w:w="109"/>
        <w:gridCol w:w="259"/>
        <w:gridCol w:w="259"/>
        <w:gridCol w:w="377"/>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49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Incorporated by Reference</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br/>
              <w:t>Number</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b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w:t>
              <w:br/>
              <w:t>Herewith</w:t>
            </w:r>
          </w:p>
        </w:tc>
      </w:tr>
      <w:tr>
        <w:trPr/>
        <w:tc>
          <w:tcPr>
            <w:tcW w:w="7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erif" w:hAnsi="Times New Roman;serif"/>
                  <w:b w:val="false"/>
                  <w:color w:val="0000FF"/>
                  <w:sz w:val="20"/>
                  <w:u w:val="single"/>
                </w:rPr>
                <w:t>3.1</w:t>
              </w:r>
            </w:hyperlink>
          </w:p>
        </w:tc>
        <w:tc>
          <w:tcPr>
            <w:tcW w:w="414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FactSet Research Systems Inc. Second Amended and Restated Articles of Incorporation</w:t>
              </w:r>
            </w:hyperlink>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1/10/2023</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erif" w:hAnsi="Times New Roman;serif"/>
                  <w:b w:val="false"/>
                  <w:color w:val="0000FF"/>
                  <w:sz w:val="20"/>
                  <w:u w:val="single"/>
                </w:rPr>
                <w:t>3.2</w:t>
              </w:r>
            </w:hyperlink>
          </w:p>
        </w:tc>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FactSet Research Systems Inc. Amended and Restated By-Laws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erif" w:hAnsi="Times New Roman;serif"/>
                  <w:b w:val="false"/>
                  <w:color w:val="0000FF"/>
                  <w:sz w:val="20"/>
                  <w:u w:val="single"/>
                </w:rPr>
                <w:t>4.0</w:t>
              </w:r>
            </w:hyperlink>
          </w:p>
        </w:tc>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Form of Common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333-04238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6/26/1996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0">
              <w:r>
                <w:rPr>
                  <w:rStyle w:val="InternetLink"/>
                  <w:rFonts w:ascii="Times New Roman;serif" w:hAnsi="Times New Roman;serif"/>
                  <w:b w:val="false"/>
                  <w:color w:val="0000FF"/>
                  <w:sz w:val="20"/>
                  <w:u w:val="single"/>
                </w:rPr>
                <w:t>4.1</w:t>
              </w:r>
            </w:hyperlink>
          </w:p>
        </w:tc>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0"/>
                  <w:u w:val="single"/>
                </w:rPr>
                <w:t>Indenture, dated as of March 1, 2022, between FactSet Research Systems Inc. and U.S. Bank Trust Company, National Association, as trustee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2">
              <w:r>
                <w:rPr>
                  <w:rStyle w:val="InternetLink"/>
                  <w:rFonts w:ascii="Times New Roman;serif" w:hAnsi="Times New Roman;serif"/>
                  <w:b w:val="false"/>
                  <w:color w:val="0000FF"/>
                  <w:sz w:val="20"/>
                  <w:u w:val="single"/>
                </w:rPr>
                <w:t>4.2</w:t>
              </w:r>
            </w:hyperlink>
          </w:p>
        </w:tc>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20"/>
                  <w:u w:val="single"/>
                </w:rPr>
                <w:t>Supplemental Indenture, dated as of March 1, 2022, between FactSet Research Systems Inc. and U.S. Bank Trust Company, National Association, as trustee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4">
              <w:r>
                <w:rPr>
                  <w:rStyle w:val="InternetLink"/>
                  <w:rFonts w:ascii="Times New Roman;serif" w:hAnsi="Times New Roman;serif"/>
                  <w:b w:val="false"/>
                  <w:color w:val="0000FF"/>
                  <w:sz w:val="20"/>
                  <w:u w:val="single"/>
                </w:rPr>
                <w:t>4.3</w:t>
              </w:r>
            </w:hyperlink>
          </w:p>
        </w:tc>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20"/>
                  <w:u w:val="single"/>
                </w:rPr>
                <w:t>Form of 2.900% Global Note due 2027 (included in Exhibit A-1 to Exhibit 4.2 above)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6">
              <w:r>
                <w:rPr>
                  <w:rStyle w:val="InternetLink"/>
                  <w:rFonts w:ascii="Times New Roman;serif" w:hAnsi="Times New Roman;serif"/>
                  <w:b w:val="false"/>
                  <w:color w:val="0000FF"/>
                  <w:sz w:val="20"/>
                  <w:u w:val="single"/>
                </w:rPr>
                <w:t>4.4</w:t>
              </w:r>
            </w:hyperlink>
          </w:p>
        </w:tc>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20"/>
                  <w:u w:val="single"/>
                </w:rPr>
                <w:t>Form of 3.450% Global Note due 2032 (included in Exhibit A-2 to Exhibit 4.2 above)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b796dee8748c4638b4a4bf5def45c14d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1"/>
        <w:gridCol w:w="186"/>
        <w:gridCol w:w="189"/>
        <w:gridCol w:w="1731"/>
        <w:gridCol w:w="1395"/>
        <w:gridCol w:w="1399"/>
        <w:gridCol w:w="109"/>
        <w:gridCol w:w="109"/>
        <w:gridCol w:w="109"/>
        <w:gridCol w:w="296"/>
        <w:gridCol w:w="219"/>
        <w:gridCol w:w="203"/>
        <w:gridCol w:w="109"/>
        <w:gridCol w:w="109"/>
        <w:gridCol w:w="109"/>
        <w:gridCol w:w="324"/>
        <w:gridCol w:w="237"/>
        <w:gridCol w:w="238"/>
        <w:gridCol w:w="109"/>
        <w:gridCol w:w="109"/>
        <w:gridCol w:w="109"/>
        <w:gridCol w:w="314"/>
        <w:gridCol w:w="314"/>
        <w:gridCol w:w="318"/>
        <w:gridCol w:w="109"/>
        <w:gridCol w:w="109"/>
        <w:gridCol w:w="109"/>
        <w:gridCol w:w="205"/>
        <w:gridCol w:w="205"/>
        <w:gridCol w:w="206"/>
        <w:gridCol w:w="109"/>
        <w:gridCol w:w="109"/>
        <w:gridCol w:w="109"/>
        <w:gridCol w:w="109"/>
        <w:gridCol w:w="109"/>
        <w:gridCol w:w="162"/>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8">
              <w:r>
                <w:rPr>
                  <w:rStyle w:val="InternetLink"/>
                  <w:rFonts w:ascii="Times New Roman;serif" w:hAnsi="Times New Roman;serif"/>
                  <w:b w:val="false"/>
                  <w:color w:val="0000FF"/>
                  <w:sz w:val="20"/>
                  <w:u w:val="single"/>
                </w:rPr>
                <w:t>10.1</w:t>
              </w:r>
            </w:hyperlink>
          </w:p>
        </w:tc>
        <w:tc>
          <w:tcPr>
            <w:tcW w:w="4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20"/>
                  <w:u w:val="single"/>
                </w:rPr>
                <w:t>FactSet Research Systems Inc. 2004 Employee Stock Option and Award Plan</w:t>
              </w:r>
            </w:hyperlink>
            <w:hyperlink r:id="rId20">
              <w:r>
                <w:rPr>
                  <w:rStyle w:val="InternetLink"/>
                  <w:rFonts w:ascii="Times New Roman;serif" w:hAnsi="Times New Roman;serif"/>
                  <w:b w:val="false"/>
                  <w:color w:val="0000FF"/>
                  <w:sz w:val="13"/>
                </w:rPr>
                <w:t>(1)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DEF-14A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11/10/2004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fldChar w:fldCharType="begin"/>
            </w:r>
            <w:r>
              <w:rPr>
                <w:rStyle w:val="InternetLink"/>
                <w:sz w:val="20"/>
                <w:u w:val="single"/>
                <w:b w:val="false"/>
                <w:rFonts w:ascii="Times New Roman;serif" w:hAnsi="Times New Roman;serif"/>
                <w:color w:val="0000FF"/>
              </w:rPr>
              <w:instrText xml:space="preserve"> HYPERLINK "https://www.sec.gov/Archives/edgar/data/1013237/000119312510274624/ddefr14a.htm" \l "tx105689_29"</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10.2</w:t>
            </w:r>
            <w:r>
              <w:rPr>
                <w:rStyle w:val="InternetLink"/>
                <w:sz w:val="20"/>
                <w:u w:val="single"/>
                <w:b w:val="false"/>
                <w:rFonts w:ascii="Times New Roman;serif" w:hAnsi="Times New Roman;serif"/>
                <w:color w:val="0000FF"/>
              </w:rPr>
              <w:fldChar w:fldCharType="end"/>
            </w:r>
          </w:p>
        </w:tc>
        <w:tc>
          <w:tcPr>
            <w:tcW w:w="45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"https://www.sec.gov/Archives/edgar/data/1013237/000119312510274624/ddefr14a.htm" \l "tx105689_29"</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FactSet Research Systems Inc. 2004 Stock Option and Award Plan, as Amended and Restated</w:t>
            </w:r>
            <w:r>
              <w:rPr>
                <w:rStyle w:val="InternetLink"/>
                <w:sz w:val="20"/>
                <w:u w:val="single"/>
                <w:b w:val="false"/>
                <w:rFonts w:ascii="Times New Roman;serif" w:hAnsi="Times New Roman;serif"/>
                <w:color w:val="0000FF"/>
              </w:rPr>
              <w:fldChar w:fldCharType="end"/>
            </w:r>
            <w:r>
              <w:fldChar w:fldCharType="begin"/>
            </w:r>
            <w:r>
              <w:rPr>
                <w:rStyle w:val="InternetLink"/>
                <w:sz w:val="13"/>
                <w:b w:val="false"/>
                <w:rFonts w:ascii="Times New Roman;serif" w:hAnsi="Times New Roman;serif"/>
                <w:color w:val="0000FF"/>
              </w:rPr>
              <w:instrText xml:space="preserve"> HYPERLINK "https://www.sec.gov/Archives/edgar/data/1013237/000119312510274624/ddefr14a.htm" \l "tx105689_29"</w:instrText>
            </w:r>
            <w:r>
              <w:rPr>
                <w:rStyle w:val="InternetLink"/>
                <w:sz w:val="13"/>
                <w:b w:val="false"/>
                <w:rFonts w:ascii="Times New Roman;serif" w:hAnsi="Times New Roman;serif"/>
                <w:color w:val="0000FF"/>
              </w:rPr>
              <w:fldChar w:fldCharType="separate"/>
            </w:r>
            <w:r>
              <w:rPr>
                <w:rStyle w:val="InternetLink"/>
                <w:rFonts w:ascii="Times New Roman;serif" w:hAnsi="Times New Roman;serif"/>
                <w:b w:val="false"/>
                <w:color w:val="0000FF"/>
                <w:sz w:val="13"/>
              </w:rPr>
              <w:t>(1)</w:t>
            </w:r>
            <w:r>
              <w:rPr>
                <w:rStyle w:val="InternetLink"/>
                <w:sz w:val="13"/>
                <w:b w:val="false"/>
                <w:rFonts w:ascii="Times New Roman;serif" w:hAnsi="Times New Roman;serif"/>
                <w:color w:val="0000FF"/>
              </w:rPr>
              <w:fldChar w:fldCharType="end"/>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DEFR-14A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Appendix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1">
              <w:r>
                <w:rPr>
                  <w:rStyle w:val="InternetLink"/>
                  <w:rFonts w:ascii="Times New Roman;serif" w:hAnsi="Times New Roman;serif"/>
                  <w:b w:val="false"/>
                  <w:color w:val="0000FF"/>
                  <w:sz w:val="20"/>
                  <w:u w:val="single"/>
                </w:rPr>
                <w:t>10.3</w:t>
              </w:r>
            </w:hyperlink>
          </w:p>
        </w:tc>
        <w:tc>
          <w:tcPr>
            <w:tcW w:w="4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FF"/>
                  <w:sz w:val="20"/>
                  <w:u w:val="single"/>
                </w:rPr>
                <w:t>FactSet Research Systems Inc. Stock Option and Award Plan as Amended and Restated</w:t>
              </w:r>
            </w:hyperlink>
            <w:hyperlink r:id="rId23">
              <w:r>
                <w:rPr>
                  <w:rStyle w:val="InternetLink"/>
                  <w:rFonts w:ascii="Times New Roman;serif" w:hAnsi="Times New Roman;serif"/>
                  <w:b w:val="false"/>
                  <w:color w:val="0000FF"/>
                  <w:sz w:val="13"/>
                </w:rPr>
                <w:t>(1)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fldChar w:fldCharType="begin"/>
            </w:r>
            <w:r>
              <w:rPr>
                <w:rStyle w:val="InternetLink"/>
                <w:sz w:val="20"/>
                <w:u w:val="single"/>
                <w:b w:val="false"/>
                <w:rFonts w:ascii="Times New Roman;serif" w:hAnsi="Times New Roman;serif"/>
                <w:color w:val="0000FF"/>
              </w:rPr>
              <w:instrText xml:space="preserve"> HYPERLINK "https://www.sec.gov/Archives/edgar/data/1013237/000119312508220394/ddef14a.htm" \l "tx59473_27"</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10.4</w:t>
            </w:r>
            <w:r>
              <w:rPr>
                <w:rStyle w:val="InternetLink"/>
                <w:sz w:val="20"/>
                <w:u w:val="single"/>
                <w:b w:val="false"/>
                <w:rFonts w:ascii="Times New Roman;serif" w:hAnsi="Times New Roman;serif"/>
                <w:color w:val="0000FF"/>
              </w:rPr>
              <w:fldChar w:fldCharType="end"/>
            </w:r>
          </w:p>
        </w:tc>
        <w:tc>
          <w:tcPr>
            <w:tcW w:w="45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"https://www.sec.gov/Archives/edgar/data/1013237/000119312508220394/ddef14a.htm" \l "tx59473_27"</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FactSet Research Systems Inc. 2008 Non-Employee Directors’ Stock Option Plan</w:t>
            </w:r>
            <w:r>
              <w:rPr>
                <w:rStyle w:val="InternetLink"/>
                <w:sz w:val="20"/>
                <w:u w:val="single"/>
                <w:b w:val="false"/>
                <w:rFonts w:ascii="Times New Roman;serif" w:hAnsi="Times New Roman;serif"/>
                <w:color w:val="0000FF"/>
              </w:rPr>
              <w:fldChar w:fldCharType="end"/>
            </w:r>
            <w:r>
              <w:fldChar w:fldCharType="begin"/>
            </w:r>
            <w:r>
              <w:rPr>
                <w:rStyle w:val="InternetLink"/>
                <w:sz w:val="13"/>
                <w:b w:val="false"/>
                <w:rFonts w:ascii="Times New Roman;serif" w:hAnsi="Times New Roman;serif"/>
                <w:color w:val="0000FF"/>
              </w:rPr>
              <w:instrText xml:space="preserve"> HYPERLINK "https://www.sec.gov/Archives/edgar/data/1013237/000119312508220394/ddef14a.htm" \l "tx59473_27"</w:instrText>
            </w:r>
            <w:r>
              <w:rPr>
                <w:rStyle w:val="InternetLink"/>
                <w:sz w:val="13"/>
                <w:b w:val="false"/>
                <w:rFonts w:ascii="Times New Roman;serif" w:hAnsi="Times New Roman;serif"/>
                <w:color w:val="0000FF"/>
              </w:rPr>
              <w:fldChar w:fldCharType="separate"/>
            </w:r>
            <w:r>
              <w:rPr>
                <w:rStyle w:val="InternetLink"/>
                <w:rFonts w:ascii="Times New Roman;serif" w:hAnsi="Times New Roman;serif"/>
                <w:b w:val="false"/>
                <w:color w:val="0000FF"/>
                <w:sz w:val="13"/>
              </w:rPr>
              <w:t>(1)</w:t>
            </w:r>
            <w:r>
              <w:rPr>
                <w:rStyle w:val="InternetLink"/>
                <w:sz w:val="13"/>
                <w:b w:val="false"/>
                <w:rFonts w:ascii="Times New Roman;serif" w:hAnsi="Times New Roman;serif"/>
                <w:color w:val="0000FF"/>
              </w:rPr>
              <w:fldChar w:fldCharType="end"/>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DEF-14A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Appendix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4">
              <w:r>
                <w:rPr>
                  <w:rStyle w:val="InternetLink"/>
                  <w:rFonts w:ascii="Times New Roman;serif" w:hAnsi="Times New Roman;serif"/>
                  <w:b w:val="false"/>
                  <w:color w:val="0000FF"/>
                  <w:sz w:val="20"/>
                  <w:u w:val="single"/>
                </w:rPr>
                <w:t>10.5</w:t>
              </w:r>
            </w:hyperlink>
          </w:p>
        </w:tc>
        <w:tc>
          <w:tcPr>
            <w:tcW w:w="4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erif" w:hAnsi="Times New Roman;serif"/>
                  <w:b w:val="false"/>
                  <w:color w:val="0000FF"/>
                  <w:sz w:val="20"/>
                  <w:u w:val="single"/>
                </w:rPr>
                <w:t>FactSet Research Systems Inc. Non-Employee Directors’ Stock Option and Award Plan, as Amended and Restated</w:t>
              </w:r>
            </w:hyperlink>
            <w:hyperlink r:id="rId26">
              <w:r>
                <w:rPr>
                  <w:rStyle w:val="InternetLink"/>
                  <w:rFonts w:ascii="Times New Roman;serif" w:hAnsi="Times New Roman;serif"/>
                  <w:b w:val="false"/>
                  <w:color w:val="0000FF"/>
                  <w:sz w:val="13"/>
                </w:rPr>
                <w:t>(1)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7">
              <w:r>
                <w:rPr>
                  <w:rStyle w:val="InternetLink"/>
                  <w:rFonts w:ascii="Times New Roman;serif" w:hAnsi="Times New Roman;serif"/>
                  <w:b w:val="false"/>
                  <w:color w:val="0000FF"/>
                  <w:sz w:val="20"/>
                  <w:u w:val="single"/>
                </w:rPr>
                <w:t>10.6</w:t>
              </w:r>
            </w:hyperlink>
          </w:p>
        </w:tc>
        <w:tc>
          <w:tcPr>
            <w:tcW w:w="45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erif" w:hAnsi="Times New Roman;serif"/>
                  <w:b w:val="false"/>
                  <w:color w:val="0000FF"/>
                  <w:sz w:val="20"/>
                  <w:u w:val="single"/>
                </w:rPr>
                <w:t>Lease, dated February 14, 2018, between FactSet Research Systems Inc. and 45 Glover Partners, LLC</w:t>
              </w:r>
            </w:hyperlink>
            <w:hyperlink r:id="rId29">
              <w:r>
                <w:rPr>
                  <w:rStyle w:val="InternetLink"/>
                  <w:rFonts w:ascii="Times New Roman;serif" w:hAnsi="Times New Roman;serif"/>
                  <w:b w:val="false"/>
                  <w:color w:val="0000FF"/>
                  <w:sz w:val="13"/>
                </w:rPr>
                <w:t>(2)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0">
              <w:r>
                <w:rPr>
                  <w:rStyle w:val="InternetLink"/>
                  <w:rFonts w:ascii="Times New Roman;serif" w:hAnsi="Times New Roman;serif"/>
                  <w:b w:val="false"/>
                  <w:color w:val="0000FF"/>
                  <w:sz w:val="20"/>
                  <w:u w:val="single"/>
                </w:rPr>
                <w:t>10.7</w:t>
              </w:r>
            </w:hyperlink>
          </w:p>
        </w:tc>
        <w:tc>
          <w:tcPr>
            <w:tcW w:w="4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erif" w:hAnsi="Times New Roman;serif"/>
                  <w:b w:val="false"/>
                  <w:color w:val="0000FF"/>
                  <w:sz w:val="20"/>
                  <w:u w:val="single"/>
                </w:rPr>
                <w:t>FactSet Research Systems Inc. Executive Severance Plan</w:t>
              </w:r>
            </w:hyperlink>
            <w:hyperlink r:id="rId32">
              <w:r>
                <w:rPr>
                  <w:rStyle w:val="InternetLink"/>
                  <w:rFonts w:ascii="Times New Roman;serif" w:hAnsi="Times New Roman;serif"/>
                  <w:b w:val="false"/>
                  <w:color w:val="0000FF"/>
                  <w:sz w:val="13"/>
                </w:rPr>
                <w:t>(1)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3">
              <w:r>
                <w:rPr>
                  <w:rStyle w:val="InternetLink"/>
                  <w:rFonts w:ascii="Times New Roman;serif" w:hAnsi="Times New Roman;serif"/>
                  <w:b w:val="false"/>
                  <w:color w:val="0000FF"/>
                  <w:sz w:val="20"/>
                  <w:u w:val="single"/>
                </w:rPr>
                <w:t>10.8</w:t>
              </w:r>
            </w:hyperlink>
          </w:p>
        </w:tc>
        <w:tc>
          <w:tcPr>
            <w:tcW w:w="45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erif" w:hAnsi="Times New Roman;serif"/>
                  <w:b w:val="false"/>
                  <w:color w:val="0000FF"/>
                  <w:sz w:val="20"/>
                  <w:u w:val="single"/>
                </w:rPr>
                <w:t>Form of FactSet Research Inc. Equity Award Agreement</w:t>
              </w:r>
            </w:hyperlink>
            <w:hyperlink r:id="rId35">
              <w:r>
                <w:rPr>
                  <w:rStyle w:val="InternetLink"/>
                  <w:rFonts w:ascii="Times New Roman;serif" w:hAnsi="Times New Roman;serif"/>
                  <w:b w:val="false"/>
                  <w:color w:val="0000FF"/>
                  <w:sz w:val="13"/>
                </w:rPr>
                <w:t>(1)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6">
              <w:r>
                <w:rPr>
                  <w:rStyle w:val="InternetLink"/>
                  <w:rFonts w:ascii="Times New Roman;serif" w:hAnsi="Times New Roman;serif"/>
                  <w:b w:val="false"/>
                  <w:color w:val="0000FF"/>
                  <w:sz w:val="20"/>
                  <w:u w:val="single"/>
                </w:rPr>
                <w:t>10.9</w:t>
              </w:r>
            </w:hyperlink>
          </w:p>
        </w:tc>
        <w:tc>
          <w:tcPr>
            <w:tcW w:w="4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erif" w:hAnsi="Times New Roman;serif"/>
                  <w:b w:val="false"/>
                  <w:color w:val="000080"/>
                  <w:sz w:val="20"/>
                  <w:u w:val="single"/>
                </w:rPr>
                <w:t xml:space="preserve">Credit Agreement dated </w:t>
              </w:r>
            </w:hyperlink>
            <w:hyperlink r:id="rId38">
              <w:r>
                <w:rPr>
                  <w:rStyle w:val="InternetLink"/>
                  <w:rFonts w:ascii="Times New Roman;serif" w:hAnsi="Times New Roman;serif"/>
                  <w:b w:val="false"/>
                  <w:color w:val="000080"/>
                  <w:sz w:val="20"/>
                  <w:u w:val="single"/>
                </w:rPr>
                <w:t>A</w:t>
              </w:r>
            </w:hyperlink>
            <w:hyperlink r:id="rId39">
              <w:r>
                <w:rPr>
                  <w:rStyle w:val="InternetLink"/>
                  <w:rFonts w:ascii="Times New Roman;serif" w:hAnsi="Times New Roman;serif"/>
                  <w:b w:val="false"/>
                  <w:color w:val="000080"/>
                  <w:sz w:val="20"/>
                  <w:u w:val="single"/>
                </w:rPr>
                <w:t>pril 8, 2025</w:t>
              </w:r>
            </w:hyperlink>
            <w:hyperlink r:id="rId40">
              <w:r>
                <w:rPr>
                  <w:rStyle w:val="InternetLink"/>
                  <w:rFonts w:ascii="Times New Roman;serif" w:hAnsi="Times New Roman;serif"/>
                  <w:b w:val="false"/>
                  <w:color w:val="000080"/>
                  <w:sz w:val="20"/>
                  <w:u w:val="single"/>
                </w:rPr>
                <w:t xml:space="preserve">, among FactSet Research Systems Inc., the </w:t>
              </w:r>
            </w:hyperlink>
            <w:hyperlink r:id="rId41">
              <w:r>
                <w:rPr>
                  <w:rStyle w:val="InternetLink"/>
                  <w:rFonts w:ascii="Times New Roman;serif" w:hAnsi="Times New Roman;serif"/>
                  <w:b w:val="false"/>
                  <w:color w:val="000080"/>
                  <w:sz w:val="20"/>
                  <w:u w:val="single"/>
                </w:rPr>
                <w:t>b</w:t>
              </w:r>
            </w:hyperlink>
            <w:hyperlink r:id="rId42">
              <w:r>
                <w:rPr>
                  <w:rStyle w:val="InternetLink"/>
                  <w:rFonts w:ascii="Times New Roman;serif" w:hAnsi="Times New Roman;serif"/>
                  <w:b w:val="false"/>
                  <w:color w:val="000080"/>
                  <w:sz w:val="20"/>
                  <w:u w:val="single"/>
                </w:rPr>
                <w:t xml:space="preserve">orrowing </w:t>
              </w:r>
            </w:hyperlink>
            <w:hyperlink r:id="rId43">
              <w:r>
                <w:rPr>
                  <w:rStyle w:val="InternetLink"/>
                  <w:rFonts w:ascii="Times New Roman;serif" w:hAnsi="Times New Roman;serif"/>
                  <w:b w:val="false"/>
                  <w:color w:val="000080"/>
                  <w:sz w:val="20"/>
                  <w:u w:val="single"/>
                </w:rPr>
                <w:t>s</w:t>
              </w:r>
            </w:hyperlink>
            <w:hyperlink r:id="rId44">
              <w:r>
                <w:rPr>
                  <w:rStyle w:val="InternetLink"/>
                  <w:rFonts w:ascii="Times New Roman;serif" w:hAnsi="Times New Roman;serif"/>
                  <w:b w:val="false"/>
                  <w:color w:val="000080"/>
                  <w:sz w:val="20"/>
                  <w:u w:val="single"/>
                </w:rPr>
                <w:t xml:space="preserve">ubsidiaries </w:t>
              </w:r>
            </w:hyperlink>
            <w:hyperlink r:id="rId45">
              <w:r>
                <w:rPr>
                  <w:rStyle w:val="InternetLink"/>
                  <w:rFonts w:ascii="Times New Roman;serif" w:hAnsi="Times New Roman;serif"/>
                  <w:b w:val="false"/>
                  <w:color w:val="000080"/>
                  <w:sz w:val="20"/>
                  <w:u w:val="single"/>
                </w:rPr>
                <w:t xml:space="preserve">from time to time </w:t>
              </w:r>
            </w:hyperlink>
            <w:hyperlink r:id="rId46">
              <w:r>
                <w:rPr>
                  <w:rStyle w:val="InternetLink"/>
                  <w:rFonts w:ascii="Times New Roman;serif" w:hAnsi="Times New Roman;serif"/>
                  <w:b w:val="false"/>
                  <w:color w:val="000080"/>
                  <w:sz w:val="20"/>
                  <w:u w:val="single"/>
                </w:rPr>
                <w:t xml:space="preserve">party thereto, the </w:t>
              </w:r>
            </w:hyperlink>
            <w:hyperlink r:id="rId47">
              <w:r>
                <w:rPr>
                  <w:rStyle w:val="InternetLink"/>
                  <w:rFonts w:ascii="Times New Roman;serif" w:hAnsi="Times New Roman;serif"/>
                  <w:b w:val="false"/>
                  <w:color w:val="000080"/>
                  <w:sz w:val="20"/>
                  <w:u w:val="single"/>
                </w:rPr>
                <w:t>l</w:t>
              </w:r>
            </w:hyperlink>
            <w:hyperlink r:id="rId48">
              <w:r>
                <w:rPr>
                  <w:rStyle w:val="InternetLink"/>
                  <w:rFonts w:ascii="Times New Roman;serif" w:hAnsi="Times New Roman;serif"/>
                  <w:b w:val="false"/>
                  <w:color w:val="000080"/>
                  <w:sz w:val="20"/>
                  <w:u w:val="single"/>
                </w:rPr>
                <w:t xml:space="preserve">enders </w:t>
              </w:r>
            </w:hyperlink>
            <w:hyperlink r:id="rId49">
              <w:r>
                <w:rPr>
                  <w:rStyle w:val="InternetLink"/>
                  <w:rFonts w:ascii="Times New Roman;serif" w:hAnsi="Times New Roman;serif"/>
                  <w:b w:val="false"/>
                  <w:color w:val="000080"/>
                  <w:sz w:val="20"/>
                  <w:u w:val="single"/>
                </w:rPr>
                <w:t xml:space="preserve">from time to time </w:t>
              </w:r>
            </w:hyperlink>
            <w:hyperlink r:id="rId50">
              <w:r>
                <w:rPr>
                  <w:rStyle w:val="InternetLink"/>
                  <w:rFonts w:ascii="Times New Roman;serif" w:hAnsi="Times New Roman;serif"/>
                  <w:b w:val="false"/>
                  <w:color w:val="000080"/>
                  <w:sz w:val="20"/>
                  <w:u w:val="single"/>
                </w:rPr>
                <w:t xml:space="preserve">party thereto, and PNC Bank, National Association, as the </w:t>
              </w:r>
            </w:hyperlink>
            <w:hyperlink r:id="rId51">
              <w:r>
                <w:rPr>
                  <w:rStyle w:val="InternetLink"/>
                  <w:rFonts w:ascii="Times New Roman;serif" w:hAnsi="Times New Roman;serif"/>
                  <w:b w:val="false"/>
                  <w:color w:val="000080"/>
                  <w:sz w:val="20"/>
                  <w:u w:val="single"/>
                </w:rPr>
                <w:t>a</w:t>
              </w:r>
            </w:hyperlink>
            <w:hyperlink r:id="rId52">
              <w:r>
                <w:rPr>
                  <w:rStyle w:val="InternetLink"/>
                  <w:rFonts w:ascii="Times New Roman;serif" w:hAnsi="Times New Roman;serif"/>
                  <w:b w:val="false"/>
                  <w:color w:val="000080"/>
                  <w:sz w:val="20"/>
                  <w:u w:val="single"/>
                </w:rPr>
                <w:t xml:space="preserve">dministrative </w:t>
              </w:r>
            </w:hyperlink>
            <w:hyperlink r:id="rId53">
              <w:r>
                <w:rPr>
                  <w:rStyle w:val="InternetLink"/>
                  <w:rFonts w:ascii="Times New Roman;serif" w:hAnsi="Times New Roman;serif"/>
                  <w:b w:val="false"/>
                  <w:color w:val="000080"/>
                  <w:sz w:val="20"/>
                  <w:u w:val="single"/>
                </w:rPr>
                <w:t>a</w:t>
              </w:r>
            </w:hyperlink>
            <w:hyperlink r:id="rId54">
              <w:r>
                <w:rPr>
                  <w:rStyle w:val="InternetLink"/>
                  <w:rFonts w:ascii="Times New Roman;serif" w:hAnsi="Times New Roman;serif"/>
                  <w:b w:val="false"/>
                  <w:color w:val="000080"/>
                  <w:sz w:val="20"/>
                  <w:u w:val="single"/>
                </w:rPr>
                <w:t>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5">
              <w:r>
                <w:rPr>
                  <w:rStyle w:val="InternetLink"/>
                  <w:rFonts w:ascii="Times New Roman;serif" w:hAnsi="Times New Roman;serif"/>
                  <w:b w:val="false"/>
                  <w:color w:val="000080"/>
                  <w:sz w:val="20"/>
                  <w:u w:val="single"/>
                </w:rPr>
                <w:t>10.1</w:t>
              </w:r>
            </w:hyperlink>
            <w:hyperlink r:id="rId56">
              <w:r>
                <w:rPr>
                  <w:rStyle w:val="InternetLink"/>
                  <w:rFonts w:ascii="Times New Roman;serif" w:hAnsi="Times New Roman;serif"/>
                  <w:b w:val="false"/>
                  <w:color w:val="000080"/>
                  <w:sz w:val="20"/>
                  <w:u w:val="single"/>
                </w:rPr>
                <w:t>0</w:t>
              </w:r>
            </w:hyperlink>
          </w:p>
        </w:tc>
        <w:tc>
          <w:tcPr>
            <w:tcW w:w="45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7">
              <w:r>
                <w:rPr>
                  <w:rStyle w:val="InternetLink"/>
                  <w:rFonts w:ascii="Times New Roman;serif" w:hAnsi="Times New Roman;serif"/>
                  <w:b w:val="false"/>
                  <w:color w:val="0000FF"/>
                  <w:sz w:val="20"/>
                  <w:u w:val="single"/>
                </w:rPr>
                <w:t>Separation Agreement and General Release of Claims by and between FactSet Research Systems Inc. and Linda Huber, dated July 22,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58">
              <w:r>
                <w:rPr>
                  <w:rStyle w:val="InternetLink"/>
                  <w:rFonts w:ascii="Times New Roman;serif" w:hAnsi="Times New Roman;serif"/>
                  <w:b w:val="false"/>
                  <w:color w:val="000080"/>
                  <w:sz w:val="20"/>
                  <w:u w:val="single"/>
                </w:rPr>
                <w:t>1</w:t>
              </w:r>
            </w:hyperlink>
            <w:hyperlink r:id="rId59">
              <w:r>
                <w:rPr>
                  <w:rStyle w:val="InternetLink"/>
                  <w:rFonts w:ascii="Times New Roman;serif" w:hAnsi="Times New Roman;serif"/>
                  <w:b w:val="false"/>
                  <w:color w:val="000080"/>
                  <w:sz w:val="20"/>
                  <w:u w:val="single"/>
                </w:rPr>
                <w:t>0.1</w:t>
              </w:r>
            </w:hyperlink>
            <w:hyperlink r:id="rId60">
              <w:r>
                <w:rPr>
                  <w:rStyle w:val="InternetLink"/>
                  <w:rFonts w:ascii="Times New Roman;serif" w:hAnsi="Times New Roman;serif"/>
                  <w:b w:val="false"/>
                  <w:color w:val="000080"/>
                  <w:sz w:val="20"/>
                  <w:u w:val="single"/>
                </w:rPr>
                <w:t>1</w:t>
              </w:r>
            </w:hyperlink>
          </w:p>
        </w:tc>
        <w:tc>
          <w:tcPr>
            <w:tcW w:w="4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61">
              <w:r>
                <w:rPr>
                  <w:rStyle w:val="InternetLink"/>
                  <w:rFonts w:ascii="Times New Roman;serif" w:hAnsi="Times New Roman;serif"/>
                  <w:b w:val="false"/>
                  <w:color w:val="000080"/>
                  <w:sz w:val="20"/>
                  <w:u w:val="single"/>
                </w:rPr>
                <w:t>E</w:t>
              </w:r>
            </w:hyperlink>
            <w:hyperlink r:id="rId62">
              <w:r>
                <w:rPr>
                  <w:rStyle w:val="InternetLink"/>
                  <w:rFonts w:ascii="Times New Roman;serif" w:hAnsi="Times New Roman;serif"/>
                  <w:b w:val="false"/>
                  <w:color w:val="000080"/>
                  <w:sz w:val="20"/>
                  <w:u w:val="single"/>
                </w:rPr>
                <w:t>mployment Agreement dated May 28, 2025 between FactSet Research Systems Inc. and Sanoke Vis</w:t>
              </w:r>
            </w:hyperlink>
            <w:hyperlink r:id="rId63">
              <w:r>
                <w:rPr>
                  <w:rStyle w:val="InternetLink"/>
                  <w:rFonts w:ascii="Times New Roman;serif" w:hAnsi="Times New Roman;serif"/>
                  <w:b w:val="false"/>
                  <w:color w:val="000080"/>
                  <w:sz w:val="20"/>
                  <w:u w:val="single"/>
                </w:rPr>
                <w:t>wanathan</w:t>
              </w:r>
            </w:hyperlink>
            <w:hyperlink r:id="rId64">
              <w:r>
                <w:rPr>
                  <w:rStyle w:val="InternetLink"/>
                  <w:rFonts w:ascii="Times New Roman;serif" w:hAnsi="Times New Roman;serif"/>
                  <w:b w:val="false"/>
                  <w:color w:val="0000FF"/>
                  <w:sz w:val="13"/>
                  <w:u w:val="single"/>
                </w:rPr>
                <w:t>(1)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5">
              <w:r>
                <w:rPr>
                  <w:rStyle w:val="InternetLink"/>
                  <w:rFonts w:ascii="Times New Roman;serif" w:hAnsi="Times New Roman;serif"/>
                  <w:b w:val="false"/>
                  <w:color w:val="000080"/>
                  <w:sz w:val="20"/>
                  <w:u w:val="single"/>
                </w:rPr>
                <w:t>1</w:t>
              </w:r>
            </w:hyperlink>
            <w:hyperlink r:id="rId66">
              <w:r>
                <w:rPr>
                  <w:rStyle w:val="InternetLink"/>
                  <w:rFonts w:ascii="Times New Roman;serif" w:hAnsi="Times New Roman;serif"/>
                  <w:b w:val="false"/>
                  <w:color w:val="000080"/>
                  <w:sz w:val="20"/>
                  <w:u w:val="single"/>
                </w:rPr>
                <w:t>0.12</w:t>
              </w:r>
            </w:hyperlink>
          </w:p>
        </w:tc>
        <w:tc>
          <w:tcPr>
            <w:tcW w:w="45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7">
              <w:r>
                <w:rPr>
                  <w:rStyle w:val="InternetLink"/>
                  <w:rFonts w:ascii="Times New Roman;serif" w:hAnsi="Times New Roman;serif"/>
                  <w:b w:val="false"/>
                  <w:color w:val="000080"/>
                  <w:sz w:val="20"/>
                  <w:u w:val="single"/>
                </w:rPr>
                <w:t>F</w:t>
              </w:r>
            </w:hyperlink>
            <w:hyperlink r:id="rId68">
              <w:r>
                <w:rPr>
                  <w:rStyle w:val="InternetLink"/>
                  <w:rFonts w:ascii="Times New Roman;serif" w:hAnsi="Times New Roman;serif"/>
                  <w:b w:val="false"/>
                  <w:color w:val="000080"/>
                  <w:sz w:val="20"/>
                  <w:u w:val="single"/>
                </w:rPr>
                <w:t>actSet Research Systems Inc.</w:t>
              </w:r>
            </w:hyperlink>
            <w:hyperlink r:id="rId69">
              <w:r>
                <w:rPr>
                  <w:rStyle w:val="InternetLink"/>
                  <w:rFonts w:ascii="Times New Roman;serif" w:hAnsi="Times New Roman;serif"/>
                  <w:b w:val="false"/>
                  <w:color w:val="000080"/>
                  <w:sz w:val="20"/>
                  <w:u w:val="single"/>
                </w:rPr>
                <w:t xml:space="preserve"> 2025</w:t>
              </w:r>
            </w:hyperlink>
            <w:hyperlink r:id="rId70">
              <w:r>
                <w:rPr>
                  <w:rStyle w:val="InternetLink"/>
                  <w:rFonts w:ascii="Times New Roman;serif" w:hAnsi="Times New Roman;serif"/>
                  <w:b w:val="false"/>
                  <w:color w:val="000080"/>
                  <w:sz w:val="20"/>
                  <w:u w:val="single"/>
                </w:rPr>
                <w:t xml:space="preserve"> Employee Stock Purchase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333-289143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1013retirementagreementa.htm">
              <w:r>
                <w:rPr>
                  <w:rStyle w:val="InternetLink"/>
                  <w:rFonts w:ascii="Times New Roman;serif" w:hAnsi="Times New Roman;serif"/>
                  <w:b w:val="false"/>
                  <w:color w:val="000080"/>
                  <w:sz w:val="20"/>
                  <w:u w:val="single"/>
                </w:rPr>
                <w:t>1</w:t>
              </w:r>
            </w:hyperlink>
            <w:hyperlink w:anchor="ex1013retirementagreementa.htm">
              <w:r>
                <w:rPr>
                  <w:rStyle w:val="InternetLink"/>
                  <w:rFonts w:ascii="Times New Roman;serif" w:hAnsi="Times New Roman;serif"/>
                  <w:b w:val="false"/>
                  <w:color w:val="000080"/>
                  <w:sz w:val="20"/>
                  <w:u w:val="single"/>
                </w:rPr>
                <w:t>0.</w:t>
              </w:r>
            </w:hyperlink>
            <w:hyperlink w:anchor="ex1013retirementagreementa.htm">
              <w:r>
                <w:rPr>
                  <w:rStyle w:val="InternetLink"/>
                  <w:rFonts w:ascii="Times New Roman;serif" w:hAnsi="Times New Roman;serif"/>
                  <w:b w:val="false"/>
                  <w:color w:val="000080"/>
                  <w:sz w:val="20"/>
                  <w:u w:val="single"/>
                </w:rPr>
                <w:t>13</w:t>
              </w:r>
            </w:hyperlink>
          </w:p>
        </w:tc>
        <w:tc>
          <w:tcPr>
            <w:tcW w:w="4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1013retirementagreementa.htm">
              <w:r>
                <w:rPr>
                  <w:rStyle w:val="InternetLink"/>
                  <w:rFonts w:ascii="Times New Roman;serif" w:hAnsi="Times New Roman;serif"/>
                  <w:b w:val="false"/>
                  <w:color w:val="000080"/>
                  <w:sz w:val="20"/>
                  <w:u w:val="single"/>
                </w:rPr>
                <w:t>R</w:t>
              </w:r>
            </w:hyperlink>
            <w:hyperlink w:anchor="ex1013retirementagreementa.htm">
              <w:r>
                <w:rPr>
                  <w:rStyle w:val="InternetLink"/>
                  <w:rFonts w:ascii="Times New Roman;serif" w:hAnsi="Times New Roman;serif"/>
                  <w:b w:val="false"/>
                  <w:color w:val="000080"/>
                  <w:sz w:val="20"/>
                  <w:u w:val="single"/>
                </w:rPr>
                <w:t>e</w:t>
              </w:r>
            </w:hyperlink>
            <w:hyperlink w:anchor="ex1013retirementagreementa.htm">
              <w:r>
                <w:rPr>
                  <w:rStyle w:val="InternetLink"/>
                  <w:rFonts w:ascii="Times New Roman;serif" w:hAnsi="Times New Roman;serif"/>
                  <w:b w:val="false"/>
                  <w:color w:val="000080"/>
                  <w:sz w:val="20"/>
                  <w:u w:val="single"/>
                </w:rPr>
                <w:t>tirement Agreement and General Release of Claims between FactSet Research Systems Inc. and F. Philip Snow</w:t>
              </w:r>
            </w:hyperlink>
            <w:hyperlink w:anchor="ex1013retirementagreementa.htm">
              <w:r>
                <w:rPr>
                  <w:rStyle w:val="InternetLink"/>
                  <w:rFonts w:ascii="Times New Roman;serif" w:hAnsi="Times New Roman;serif"/>
                  <w:b w:val="false"/>
                  <w:color w:val="0000FF"/>
                  <w:sz w:val="13"/>
                  <w:u w:val="single"/>
                </w:rPr>
                <w:t>(1)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71">
              <w:r>
                <w:rPr>
                  <w:rStyle w:val="InternetLink"/>
                  <w:rFonts w:ascii="Times New Roman;serif" w:hAnsi="Times New Roman;serif"/>
                  <w:b w:val="false"/>
                  <w:color w:val="0000FF"/>
                  <w:sz w:val="20"/>
                  <w:u w:val="single"/>
                </w:rPr>
                <w:t>19</w:t>
              </w:r>
            </w:hyperlink>
          </w:p>
        </w:tc>
        <w:tc>
          <w:tcPr>
            <w:tcW w:w="45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2">
              <w:r>
                <w:rPr>
                  <w:rStyle w:val="InternetLink"/>
                  <w:rFonts w:ascii="Times New Roman;serif" w:hAnsi="Times New Roman;serif"/>
                  <w:b w:val="false"/>
                  <w:color w:val="0000FF"/>
                  <w:sz w:val="20"/>
                  <w:u w:val="single"/>
                </w:rPr>
                <w:t>FactSet Research Systems Inc. Securities and Insider Trading Policy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fds-202508x31xexx21.htm">
              <w:r>
                <w:rPr>
                  <w:rStyle w:val="InternetLink"/>
                  <w:rFonts w:ascii="Times New Roman;serif" w:hAnsi="Times New Roman;serif"/>
                  <w:b w:val="false"/>
                  <w:color w:val="0000FF"/>
                  <w:sz w:val="20"/>
                  <w:u w:val="single"/>
                </w:rPr>
                <w:t>21</w:t>
              </w:r>
            </w:hyperlink>
          </w:p>
        </w:tc>
        <w:tc>
          <w:tcPr>
            <w:tcW w:w="4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fds-202508x31xexx21.htm">
              <w:r>
                <w:rPr>
                  <w:rStyle w:val="InternetLink"/>
                  <w:rFonts w:ascii="Times New Roman;serif" w:hAnsi="Times New Roman;serif"/>
                  <w:b w:val="false"/>
                  <w:color w:val="0000FF"/>
                  <w:sz w:val="20"/>
                  <w:u w:val="single"/>
                </w:rPr>
                <w:t>Subsidiaries of FactSet Research Systems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fds-202508x31xexx23.htm">
              <w:r>
                <w:rPr>
                  <w:rStyle w:val="InternetLink"/>
                  <w:rFonts w:ascii="Times New Roman;serif" w:hAnsi="Times New Roman;serif"/>
                  <w:b w:val="false"/>
                  <w:color w:val="0000FF"/>
                  <w:sz w:val="20"/>
                  <w:u w:val="single"/>
                </w:rPr>
                <w:t>23</w:t>
              </w:r>
            </w:hyperlink>
          </w:p>
        </w:tc>
        <w:tc>
          <w:tcPr>
            <w:tcW w:w="45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fds-202508x31xexx23.htm">
              <w:r>
                <w:rPr>
                  <w:rStyle w:val="InternetLink"/>
                  <w:rFonts w:ascii="Times New Roman;serif" w:hAnsi="Times New Roman;serif"/>
                  <w:b w:val="false"/>
                  <w:color w:val="0000FF"/>
                  <w:sz w:val="20"/>
                  <w:u w:val="single"/>
                </w:rPr>
                <w:t>Consent of Ernst &amp; Young LLP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b796dee8748c4638b4a4bf5def45c14d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5"/>
        <w:gridCol w:w="200"/>
        <w:gridCol w:w="201"/>
        <w:gridCol w:w="1862"/>
        <w:gridCol w:w="1713"/>
        <w:gridCol w:w="1717"/>
        <w:gridCol w:w="109"/>
        <w:gridCol w:w="109"/>
        <w:gridCol w:w="109"/>
        <w:gridCol w:w="141"/>
        <w:gridCol w:w="141"/>
        <w:gridCol w:w="143"/>
        <w:gridCol w:w="109"/>
        <w:gridCol w:w="109"/>
        <w:gridCol w:w="109"/>
        <w:gridCol w:w="257"/>
        <w:gridCol w:w="257"/>
        <w:gridCol w:w="258"/>
        <w:gridCol w:w="109"/>
        <w:gridCol w:w="109"/>
        <w:gridCol w:w="109"/>
        <w:gridCol w:w="109"/>
        <w:gridCol w:w="109"/>
        <w:gridCol w:w="109"/>
        <w:gridCol w:w="109"/>
        <w:gridCol w:w="109"/>
        <w:gridCol w:w="109"/>
        <w:gridCol w:w="243"/>
        <w:gridCol w:w="243"/>
        <w:gridCol w:w="244"/>
        <w:gridCol w:w="109"/>
        <w:gridCol w:w="109"/>
        <w:gridCol w:w="109"/>
        <w:gridCol w:w="109"/>
        <w:gridCol w:w="109"/>
        <w:gridCol w:w="160"/>
      </w:tblGrid>
      <w:tr>
        <w:trPr/>
        <w:tc>
          <w:tcPr>
            <w:tcW w:w="24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fds-20250831xexx311.htm">
              <w:r>
                <w:rPr>
                  <w:rStyle w:val="InternetLink"/>
                  <w:rFonts w:ascii="Times New Roman;serif" w:hAnsi="Times New Roman;serif"/>
                  <w:b w:val="false"/>
                  <w:color w:val="0000FF"/>
                  <w:sz w:val="20"/>
                  <w:u w:val="single"/>
                </w:rPr>
                <w:t>31.1</w:t>
              </w:r>
            </w:hyperlink>
          </w:p>
        </w:tc>
        <w:tc>
          <w:tcPr>
            <w:tcW w:w="52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fds-20250831xexx311.htm">
              <w:r>
                <w:rPr>
                  <w:rStyle w:val="InternetLink"/>
                  <w:rFonts w:ascii="Times New Roman;serif" w:hAnsi="Times New Roman;serif"/>
                  <w:b w:val="false"/>
                  <w:color w:val="0000FF"/>
                  <w:sz w:val="20"/>
                  <w:u w:val="single"/>
                </w:rPr>
                <w:t>Certification of the Chief Executive Officer pursuant to Rule 13a-14(a) and Rule 15d-14(a) of the Securities Exchange Act, as amended.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fds-20250831xexx312.htm">
              <w:r>
                <w:rPr>
                  <w:rStyle w:val="InternetLink"/>
                  <w:rFonts w:ascii="Times New Roman;serif" w:hAnsi="Times New Roman;serif"/>
                  <w:b w:val="false"/>
                  <w:color w:val="0000FF"/>
                  <w:sz w:val="20"/>
                  <w:u w:val="single"/>
                </w:rPr>
                <w:t>31.2</w:t>
              </w:r>
            </w:hyperlink>
          </w:p>
        </w:tc>
        <w:tc>
          <w:tcPr>
            <w:tcW w:w="52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fds-20250831xexx312.htm">
              <w:r>
                <w:rPr>
                  <w:rStyle w:val="InternetLink"/>
                  <w:rFonts w:ascii="Times New Roman;serif" w:hAnsi="Times New Roman;serif"/>
                  <w:b w:val="false"/>
                  <w:color w:val="0000FF"/>
                  <w:sz w:val="20"/>
                  <w:u w:val="single"/>
                </w:rPr>
                <w:t>Certification of the Chief Financial Officer pursuant to Rule 13a-14(a) and Rule 15d-14(a) of the Securities Exchange Act,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fds-20250831xexx321.htm">
              <w:r>
                <w:rPr>
                  <w:rStyle w:val="InternetLink"/>
                  <w:rFonts w:ascii="Times New Roman;serif" w:hAnsi="Times New Roman;serif"/>
                  <w:b w:val="false"/>
                  <w:color w:val="0000FF"/>
                  <w:sz w:val="20"/>
                  <w:u w:val="single"/>
                </w:rPr>
                <w:t>32.1</w:t>
              </w:r>
            </w:hyperlink>
          </w:p>
        </w:tc>
        <w:tc>
          <w:tcPr>
            <w:tcW w:w="52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fds-20250831xexx321.htm">
              <w:r>
                <w:rPr>
                  <w:rStyle w:val="InternetLink"/>
                  <w:rFonts w:ascii="Times New Roman;serif" w:hAnsi="Times New Roman;serif"/>
                  <w:b w:val="false"/>
                  <w:color w:val="0000FF"/>
                  <w:sz w:val="20"/>
                  <w:u w:val="single"/>
                </w:rPr>
                <w:t>Certification of the Chief Executive Officer pursuant to 18 U.S.C.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fds-20250831xexx322.htm">
              <w:r>
                <w:rPr>
                  <w:rStyle w:val="InternetLink"/>
                  <w:rFonts w:ascii="Times New Roman;serif" w:hAnsi="Times New Roman;serif"/>
                  <w:b w:val="false"/>
                  <w:color w:val="0000FF"/>
                  <w:sz w:val="20"/>
                  <w:u w:val="single"/>
                </w:rPr>
                <w:t>32.2</w:t>
              </w:r>
            </w:hyperlink>
          </w:p>
        </w:tc>
        <w:tc>
          <w:tcPr>
            <w:tcW w:w="52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fds-20250831xexx322.htm">
              <w:r>
                <w:rPr>
                  <w:rStyle w:val="InternetLink"/>
                  <w:rFonts w:ascii="Times New Roman;serif" w:hAnsi="Times New Roman;serif"/>
                  <w:b w:val="false"/>
                  <w:color w:val="0000FF"/>
                  <w:sz w:val="20"/>
                  <w:u w:val="single"/>
                </w:rPr>
                <w:t>Certification of the Chief Financial Officer pursuant to 18 U.S.C.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73">
              <w:r>
                <w:rPr>
                  <w:rStyle w:val="InternetLink"/>
                  <w:rFonts w:ascii="Times New Roman;serif" w:hAnsi="Times New Roman;serif"/>
                  <w:b w:val="false"/>
                  <w:color w:val="0000FF"/>
                  <w:sz w:val="20"/>
                  <w:u w:val="single"/>
                </w:rPr>
                <w:t>97</w:t>
              </w:r>
            </w:hyperlink>
          </w:p>
        </w:tc>
        <w:tc>
          <w:tcPr>
            <w:tcW w:w="52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74">
              <w:r>
                <w:rPr>
                  <w:rStyle w:val="InternetLink"/>
                  <w:rFonts w:ascii="Times New Roman;serif" w:hAnsi="Times New Roman;serif"/>
                  <w:b w:val="false"/>
                  <w:color w:val="0000FF"/>
                  <w:sz w:val="20"/>
                  <w:u w:val="single"/>
                </w:rPr>
                <w:t>FactSet Research Systems Inc. Incentive Compensation Recoupment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5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5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5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5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5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5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5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20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Indicates a management contract or compensatory plan or arrangement.</w:t>
      </w:r>
    </w:p>
    <w:p>
      <w:pPr>
        <w:pStyle w:val="TextBody"/>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Confidential treatment has been granted for portions of this exhibit.</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16. FORM 10-K SUMMARY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200" w:after="283"/>
        <w:jc w:val="both"/>
        <w:rPr/>
      </w:pPr>
      <w:hyperlink w:anchor="ib796dee8748c4638b4a4bf5def45c1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on Form 10-K to be signed on its behalf by the undersigned, thereunto duly authorized.</w:t>
      </w:r>
    </w:p>
    <w:tbl>
      <w:tblPr>
        <w:tblW w:w="5726" w:type="dxa"/>
        <w:jc w:val="left"/>
        <w:tblInd w:w="0" w:type="dxa"/>
        <w:tblLayout w:type="fixed"/>
        <w:tblCellMar>
          <w:top w:w="28" w:type="dxa"/>
          <w:left w:w="28" w:type="dxa"/>
          <w:bottom w:w="28" w:type="dxa"/>
          <w:right w:w="28" w:type="dxa"/>
        </w:tblCellMar>
      </w:tblPr>
      <w:tblGrid>
        <w:gridCol w:w="726"/>
        <w:gridCol w:w="640"/>
        <w:gridCol w:w="643"/>
        <w:gridCol w:w="1114"/>
        <w:gridCol w:w="1114"/>
        <w:gridCol w:w="1117"/>
        <w:gridCol w:w="109"/>
        <w:gridCol w:w="109"/>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FACTSET RESEARCH SYSTEMS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22, 2025</w:t>
            </w:r>
          </w:p>
        </w:tc>
        <w:tc>
          <w:tcPr>
            <w:tcW w:w="3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SANOKE VISWANATHAN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Sanoke Viswanathan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on Form 10-K has been signed below by the following persons on behalf of the Registrant and in the capacities and on the dates indicated.</w:t>
      </w:r>
    </w:p>
    <w:tbl>
      <w:tblPr>
        <w:tblW w:w="9816" w:type="dxa"/>
        <w:jc w:val="left"/>
        <w:tblInd w:w="0" w:type="dxa"/>
        <w:tblLayout w:type="fixed"/>
        <w:tblCellMar>
          <w:top w:w="28" w:type="dxa"/>
          <w:left w:w="28" w:type="dxa"/>
          <w:bottom w:w="28" w:type="dxa"/>
          <w:right w:w="28" w:type="dxa"/>
        </w:tblCellMar>
      </w:tblPr>
      <w:tblGrid>
        <w:gridCol w:w="933"/>
        <w:gridCol w:w="820"/>
        <w:gridCol w:w="826"/>
        <w:gridCol w:w="109"/>
        <w:gridCol w:w="109"/>
        <w:gridCol w:w="109"/>
        <w:gridCol w:w="1667"/>
        <w:gridCol w:w="1667"/>
        <w:gridCol w:w="1690"/>
        <w:gridCol w:w="109"/>
        <w:gridCol w:w="109"/>
        <w:gridCol w:w="109"/>
        <w:gridCol w:w="454"/>
        <w:gridCol w:w="454"/>
        <w:gridCol w:w="651"/>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Date</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SANOKE VISWANATHAN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22, 2025</w:t>
            </w:r>
          </w:p>
        </w:tc>
      </w:tr>
      <w:tr>
        <w:trPr/>
        <w:tc>
          <w:tcPr>
            <w:tcW w:w="25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Sanoke Viswanathan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HELEN L. SHAN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22, 2025</w:t>
            </w:r>
          </w:p>
        </w:tc>
      </w:tr>
      <w:tr>
        <w:trPr/>
        <w:tc>
          <w:tcPr>
            <w:tcW w:w="25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Helen L. Shan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GREGORY T. MOSKOFF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Managing Director, Controller and 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22, 2025</w:t>
            </w:r>
          </w:p>
        </w:tc>
      </w:tr>
      <w:tr>
        <w:trPr/>
        <w:tc>
          <w:tcPr>
            <w:tcW w:w="25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Gregory T. Moskoff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ROBIN A. ABRAMS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22, 2025</w:t>
            </w:r>
          </w:p>
        </w:tc>
      </w:tr>
      <w:tr>
        <w:trPr/>
        <w:tc>
          <w:tcPr>
            <w:tcW w:w="25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Robin A. Abrams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SIEW KAI CHOY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22, 2025</w:t>
            </w:r>
          </w:p>
        </w:tc>
      </w:tr>
      <w:tr>
        <w:trPr/>
        <w:tc>
          <w:tcPr>
            <w:tcW w:w="25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Siew Kai Choy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BARAK EILAM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22, 2025</w:t>
            </w:r>
          </w:p>
        </w:tc>
      </w:tr>
      <w:tr>
        <w:trPr/>
        <w:tc>
          <w:tcPr>
            <w:tcW w:w="25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Barak Eilam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MALCOLM FRANK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22, 2025</w:t>
            </w:r>
          </w:p>
        </w:tc>
      </w:tr>
      <w:tr>
        <w:trPr/>
        <w:tc>
          <w:tcPr>
            <w:tcW w:w="25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Malcolm Frank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LAURIE G. HYLTON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22, 2025</w:t>
            </w:r>
          </w:p>
        </w:tc>
      </w:tr>
      <w:tr>
        <w:trPr/>
        <w:tc>
          <w:tcPr>
            <w:tcW w:w="25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Laurie G. Hylton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J. MCGONIGLE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22, 2025</w:t>
            </w:r>
          </w:p>
        </w:tc>
      </w:tr>
      <w:tr>
        <w:trPr/>
        <w:tc>
          <w:tcPr>
            <w:tcW w:w="25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J. McGonigle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LEE SHAVEL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22, 2025</w:t>
            </w:r>
          </w:p>
        </w:tc>
      </w:tr>
      <w:tr>
        <w:trPr/>
        <w:tc>
          <w:tcPr>
            <w:tcW w:w="25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Lee Shavel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LAURIE SIEGEL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22, 2025</w:t>
            </w:r>
          </w:p>
        </w:tc>
      </w:tr>
      <w:tr>
        <w:trPr/>
        <w:tc>
          <w:tcPr>
            <w:tcW w:w="25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Laurie Siegel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MARIA TERESA TEJADA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22, 2025</w:t>
            </w:r>
          </w:p>
        </w:tc>
      </w:tr>
      <w:tr>
        <w:trPr/>
        <w:tc>
          <w:tcPr>
            <w:tcW w:w="25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Maria Teresa Tejada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ELISHA WIESEL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22, 2025</w:t>
            </w:r>
          </w:p>
        </w:tc>
      </w:tr>
      <w:tr>
        <w:trPr/>
        <w:tc>
          <w:tcPr>
            <w:tcW w:w="25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Elisha Wiesel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 10.13</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300" w:before="0" w:after="0"/>
        <w:jc w:val="center"/>
        <w:rPr>
          <w:rFonts w:ascii="Times New Roman;serif" w:hAnsi="Times New Roman;serif"/>
          <w:b/>
          <w:color w:val="000000"/>
          <w:sz w:val="22"/>
        </w:rPr>
      </w:pPr>
      <w:r>
        <w:rPr>
          <w:rFonts w:ascii="Times New Roman;serif" w:hAnsi="Times New Roman;serif"/>
          <w:b/>
          <w:color w:val="000000"/>
          <w:sz w:val="22"/>
        </w:rPr>
        <w:t>RETIREMENT AGREEMENT AND GENERAL RELEASE OF CLAIMS</w:t>
      </w:r>
    </w:p>
    <w:p>
      <w:pPr>
        <w:pStyle w:val="TextBody"/>
        <w:bidi w:val="0"/>
        <w:spacing w:before="0" w:after="0"/>
        <w:jc w:val="left"/>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FactSet Research Systems Inc.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F. Philip Snow (“</w:t>
      </w:r>
      <w:r>
        <w:rPr>
          <w:rFonts w:ascii="Times New Roman;serif" w:hAnsi="Times New Roman;serif"/>
          <w:b w:val="false"/>
          <w:color w:val="000000"/>
          <w:sz w:val="22"/>
          <w:u w:val="single"/>
        </w:rPr>
        <w:t>Executive</w:t>
      </w:r>
      <w:r>
        <w:rPr>
          <w:color w:val="000000"/>
        </w:rPr>
        <w:t>”</w:t>
      </w:r>
      <w:r>
        <w:rPr>
          <w:rFonts w:ascii="Times New Roman;serif" w:hAnsi="Times New Roman;serif"/>
          <w:b w:val="false"/>
          <w:color w:val="000000"/>
          <w:sz w:val="22"/>
        </w:rPr>
        <w:t>), have entered into this Retirement Agreement and General Release of Claims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to set forth the full and final terms of Executive’s retirement from the Company as its chief executive officer and to provide for the terms pursuant to which Executive has agreed to provide special advisory services to the board of directors of the Company (the “</w:t>
      </w:r>
      <w:r>
        <w:rPr>
          <w:rFonts w:ascii="Times New Roman;serif" w:hAnsi="Times New Roman;serif"/>
          <w:b w:val="false"/>
          <w:color w:val="000000"/>
          <w:sz w:val="22"/>
          <w:u w:val="single"/>
        </w:rPr>
        <w:t>Board</w:t>
      </w:r>
      <w:r>
        <w:rPr>
          <w:color w:val="000000"/>
        </w:rPr>
        <w:t>”</w:t>
      </w:r>
      <w:r>
        <w:rPr>
          <w:rFonts w:ascii="Times New Roman;serif" w:hAnsi="Times New Roman;serif"/>
          <w:b w:val="false"/>
          <w:color w:val="000000"/>
          <w:sz w:val="22"/>
        </w:rPr>
        <w:t>) and to Executive’s successor as chief executive officer. This Agreement shall be governed by the statutes and common law of Connecticut, excluding any that mandate the use of another jurisdiction’s laws. Capitalized terms used and not defined herein shall have the meaning ascribed to them in the Equity Award Agreement between Executive and the Company, dated June 15, 2020 (the “</w:t>
      </w:r>
      <w:r>
        <w:rPr>
          <w:rFonts w:ascii="Times New Roman;serif" w:hAnsi="Times New Roman;serif"/>
          <w:b w:val="false"/>
          <w:color w:val="000000"/>
          <w:sz w:val="22"/>
          <w:u w:val="single"/>
        </w:rPr>
        <w:t>Equity Award Agreement</w:t>
      </w:r>
      <w:r>
        <w:rPr>
          <w:color w:val="000000"/>
        </w:rPr>
        <w:t>”</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and Executive agree as follows:</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color w:val="000000"/>
          <w:sz w:val="22"/>
        </w:rPr>
        <w:t xml:space="preserve">Section 1.     </w:t>
      </w:r>
      <w:r>
        <w:rPr>
          <w:rFonts w:ascii="Times New Roman;serif" w:hAnsi="Times New Roman;serif"/>
          <w:b/>
          <w:color w:val="000000"/>
          <w:sz w:val="22"/>
          <w:u w:val="single"/>
        </w:rPr>
        <w:t>In General</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The Company and Executive hereby agree that effective as of September 8, 2025 or such other date as mutually agreed (the “</w:t>
      </w:r>
      <w:r>
        <w:rPr>
          <w:rFonts w:ascii="Times New Roman;serif" w:hAnsi="Times New Roman;serif"/>
          <w:b w:val="false"/>
          <w:color w:val="000000"/>
          <w:sz w:val="22"/>
          <w:u w:val="single"/>
        </w:rPr>
        <w:t>Transition Date</w:t>
      </w:r>
      <w:r>
        <w:rPr>
          <w:color w:val="000000"/>
        </w:rPr>
        <w:t>”</w:t>
      </w:r>
      <w:r>
        <w:rPr>
          <w:rFonts w:ascii="Times New Roman;serif" w:hAnsi="Times New Roman;serif"/>
          <w:b w:val="false"/>
          <w:color w:val="000000"/>
          <w:sz w:val="22"/>
        </w:rPr>
        <w:t>) that Executive’s successor as chief executive officer of the Company starts employment, Executive hereby resigns from all offices, title, positions and appointments with the Company and any of its Affiliates, including as a member of the Board. On and following the Transition Date, Executive will remain employed by the Company as a special advisor to the Board and to Executive’s successor as chief executive officer of the Company until December 31, 2025 (the “</w:t>
      </w:r>
      <w:r>
        <w:rPr>
          <w:rFonts w:ascii="Times New Roman;serif" w:hAnsi="Times New Roman;serif"/>
          <w:b w:val="false"/>
          <w:color w:val="000000"/>
          <w:sz w:val="22"/>
          <w:u w:val="single"/>
        </w:rPr>
        <w:t>Retirement Date</w:t>
      </w:r>
      <w:r>
        <w:rPr>
          <w:color w:val="000000"/>
        </w:rPr>
        <w:t xml:space="preserve">” </w:t>
      </w:r>
      <w:r>
        <w:rPr>
          <w:rFonts w:ascii="Times New Roman;serif" w:hAnsi="Times New Roman;serif"/>
          <w:b w:val="false"/>
          <w:color w:val="000000"/>
          <w:sz w:val="22"/>
        </w:rPr>
        <w:t>and the period as special advisor, the “</w:t>
      </w:r>
      <w:r>
        <w:rPr>
          <w:rFonts w:ascii="Times New Roman;serif" w:hAnsi="Times New Roman;serif"/>
          <w:b w:val="false"/>
          <w:color w:val="000000"/>
          <w:sz w:val="22"/>
          <w:u w:val="single"/>
        </w:rPr>
        <w:t>Transition Period</w:t>
      </w:r>
      <w:r>
        <w:rPr>
          <w:color w:val="000000"/>
        </w:rPr>
        <w:t>”</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color w:val="000000"/>
          <w:sz w:val="22"/>
        </w:rPr>
        <w:t>Section 2.     </w:t>
      </w:r>
      <w:r>
        <w:rPr>
          <w:rFonts w:ascii="Times New Roman;serif" w:hAnsi="Times New Roman;serif"/>
          <w:b/>
          <w:color w:val="000000"/>
          <w:sz w:val="22"/>
          <w:u w:val="single"/>
        </w:rPr>
        <w:t>Compensation and Benefits</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During the Transition Period, Executive will continue to receive his current base salary and will participate in all current employee benefit plans of the Company that he is currently eligible to participate in, as may be amended from time to time by the Company.</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Following the end of fiscal year 2025, provided that Executive remains employed with the Company in good standing, Executive will be eligible to receive an annual cash bonus for fiscal year 2025 in accordance with the terms and conditions of the Company’s annual cash bonus program applicable to Executive and other senior executives of the Company.</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Executive will not be eligible to receive any incentive awards in fiscal year 2026 or thereafter, and will not be eligible to receive any payments or benefits under the Company’s Executive Severance Plan.</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color w:val="000000"/>
          <w:sz w:val="22"/>
        </w:rPr>
        <w:t>Section 3.     </w:t>
      </w:r>
      <w:r>
        <w:rPr>
          <w:rFonts w:ascii="Times New Roman;serif" w:hAnsi="Times New Roman;serif"/>
          <w:b/>
          <w:color w:val="000000"/>
          <w:sz w:val="22"/>
          <w:u w:val="single"/>
        </w:rPr>
        <w:t>Equity Award Treatment</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(a)     As of the date of this Agreement, Executive holds outstanding equity-based awards of the Company as set forth on</w:t>
      </w:r>
      <w:r>
        <w:rPr>
          <w:color w:val="000000"/>
          <w:u w:val="single"/>
        </w:rPr>
        <w:t xml:space="preserve"> </w:t>
      </w:r>
      <w:r>
        <w:rPr>
          <w:rFonts w:ascii="Times New Roman;serif" w:hAnsi="Times New Roman;serif"/>
          <w:b w:val="false"/>
          <w:color w:val="000000"/>
          <w:sz w:val="22"/>
          <w:u w:val="single"/>
        </w:rPr>
        <w:t>Appendix A</w:t>
      </w:r>
      <w:r>
        <w:rPr>
          <w:color w:val="000000"/>
        </w:rPr>
        <w:t xml:space="preserve"> </w:t>
      </w:r>
      <w:r>
        <w:rPr>
          <w:rFonts w:ascii="Times New Roman;serif" w:hAnsi="Times New Roman;serif"/>
          <w:b w:val="false"/>
          <w:color w:val="000000"/>
          <w:sz w:val="22"/>
        </w:rPr>
        <w:t>hereto.</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ind w:left="0" w:right="0" w:firstLine="72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 10.13</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ind w:left="0" w:right="0" w:firstLine="720"/>
        <w:jc w:val="both"/>
        <w:rPr/>
      </w:pPr>
      <w:r>
        <w:rPr>
          <w:rFonts w:ascii="Times New Roman;serif" w:hAnsi="Times New Roman;serif"/>
          <w:b w:val="false"/>
          <w:color w:val="000000"/>
          <w:sz w:val="22"/>
        </w:rPr>
        <w:t>(b)     Pursuant to the terms of the Equity Award Agreement as modified by this Agreement, provided that Executive executes and does not revoke this Agreement, inclusive of the First Release and the Second Release set forth below, and further provided that Executive continues to comply with the terms of this Agreement, Executive’s equity awards that are outstanding on the Retirement Date will be treated as follows (the “</w:t>
      </w:r>
      <w:r>
        <w:rPr>
          <w:rFonts w:ascii="Times New Roman;serif" w:hAnsi="Times New Roman;serif"/>
          <w:b w:val="false"/>
          <w:color w:val="000000"/>
          <w:sz w:val="22"/>
          <w:u w:val="single"/>
        </w:rPr>
        <w:t>Equity Award Treatment</w:t>
      </w:r>
      <w:r>
        <w:rPr>
          <w:color w:val="000000"/>
        </w:rPr>
        <w:t>”</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color w:val="000000"/>
        </w:rPr>
      </w:pPr>
      <w:r>
        <w:rPr>
          <w:color w:val="000000"/>
        </w:rPr>
        <w:t>    </w:t>
      </w:r>
      <w:r>
        <w:rPr>
          <w:rFonts w:ascii="Times New Roman;serif" w:hAnsi="Times New Roman;serif"/>
          <w:b w:val="false"/>
          <w:color w:val="000000"/>
          <w:sz w:val="22"/>
        </w:rPr>
        <w:t>(i)    All stock options granted to Executive at least one year prior to the Retirement Date (including the fiscal year 2025 stock options granted to Executive on November 1, 2024) will, to the extent unvested as of such date, continue to vest in accordance with their original schedule(s) without regard to continued service;</w:t>
      </w:r>
    </w:p>
    <w:p>
      <w:pPr>
        <w:pStyle w:val="TextBody"/>
        <w:bidi w:val="0"/>
        <w:spacing w:before="0" w:after="0"/>
        <w:ind w:left="0" w:right="0" w:firstLine="720"/>
        <w:jc w:val="both"/>
        <w:rPr/>
      </w:pPr>
      <w:r>
        <w:rPr/>
      </w:r>
    </w:p>
    <w:p>
      <w:pPr>
        <w:pStyle w:val="TextBody"/>
        <w:bidi w:val="0"/>
        <w:spacing w:lineRule="auto" w:line="300" w:before="0" w:after="0"/>
        <w:ind w:left="0" w:right="0" w:firstLine="1440"/>
        <w:jc w:val="both"/>
        <w:rPr/>
      </w:pPr>
      <w:r>
        <w:rPr>
          <w:rFonts w:ascii="Times New Roman;serif" w:hAnsi="Times New Roman;serif"/>
          <w:b w:val="false"/>
          <w:color w:val="000000"/>
          <w:sz w:val="22"/>
        </w:rPr>
        <w:t xml:space="preserve">(ii)     All stock options granted to Executive that are vested as of the Retirement Date will be exercisable for ninety (90) days after the Retirement Date, and all stock options that become vested in accordance with </w:t>
      </w:r>
      <w:r>
        <w:rPr>
          <w:rFonts w:ascii="Times New Roman;serif" w:hAnsi="Times New Roman;serif"/>
          <w:b w:val="false"/>
          <w:color w:val="000000"/>
          <w:sz w:val="22"/>
          <w:u w:val="single"/>
        </w:rPr>
        <w:t>Section 3(b)(i)</w:t>
      </w:r>
      <w:r>
        <w:rPr>
          <w:color w:val="000000"/>
        </w:rPr>
        <w:t xml:space="preserve"> </w:t>
      </w:r>
      <w:r>
        <w:rPr>
          <w:rFonts w:ascii="Times New Roman;serif" w:hAnsi="Times New Roman;serif"/>
          <w:b w:val="false"/>
          <w:color w:val="000000"/>
          <w:sz w:val="22"/>
        </w:rPr>
        <w:t>will thereafter be exercisable until the date that is ninety (90) days after the date that the final tranche of the applicable stock option award vests; and</w:t>
      </w:r>
    </w:p>
    <w:p>
      <w:pPr>
        <w:pStyle w:val="TextBody"/>
        <w:bidi w:val="0"/>
        <w:spacing w:before="0" w:after="0"/>
        <w:jc w:val="both"/>
        <w:rPr/>
      </w:pPr>
      <w:r>
        <w:rPr/>
      </w:r>
    </w:p>
    <w:p>
      <w:pPr>
        <w:pStyle w:val="TextBody"/>
        <w:bidi w:val="0"/>
        <w:spacing w:lineRule="auto" w:line="300"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All performance share units granted to Executive at least one year prior to the Retirement Date (including the fiscal year 2025 performance share units granted to Executive on November 1, 2024) will remain outstanding and eligible to vest, without regard to continued service, subject to the achievement of applicable performance goals at the end of the original performance period(s).</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Upon a breach of the terms of this Agreement, including the Second Release requirement, a breach of Executive’s restrictive covenant obligations to the Company and its Affiliates, or upon a termination for Cause prior to the Retirement Date, Executive’s outstanding and unvested equity awards will be treated in accordance with Section 5 (Forfeiture of Covered Awards) of the Equity Award Agreement.</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color w:val="000000"/>
          <w:sz w:val="22"/>
        </w:rPr>
        <w:t>Section 4.     </w:t>
      </w:r>
      <w:r>
        <w:rPr>
          <w:rFonts w:ascii="Times New Roman;serif" w:hAnsi="Times New Roman;serif"/>
          <w:b/>
          <w:color w:val="000000"/>
          <w:sz w:val="22"/>
          <w:u w:val="single"/>
        </w:rPr>
        <w:t>First Complete General Release of Claims</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 xml:space="preserve">Executive acknowledges and represents that the consideration provided by the Company in this Agreement is adequate and satisfactory in exchange for the general release provided by Executive in this </w:t>
      </w:r>
      <w:r>
        <w:rPr>
          <w:rFonts w:ascii="Times New Roman;serif" w:hAnsi="Times New Roman;serif"/>
          <w:b w:val="false"/>
          <w:color w:val="000000"/>
          <w:sz w:val="22"/>
          <w:u w:val="single"/>
        </w:rPr>
        <w:t>Section 4</w:t>
      </w:r>
      <w:r>
        <w:rPr>
          <w:color w:val="000000"/>
        </w:rPr>
        <w:t xml:space="preserve"> </w:t>
      </w:r>
      <w:r>
        <w:rPr>
          <w:rFonts w:ascii="Times New Roman;serif" w:hAnsi="Times New Roman;serif"/>
          <w:b w:val="false"/>
          <w:color w:val="000000"/>
          <w:sz w:val="22"/>
        </w:rPr>
        <w:t>and for the other commitments Executive makes in this Agreement, and that, in exchange for Executive’s continued employment during the Transition Period and the Equity Award Treatment, the following releases are made as of the date of this Agreement, subject to this First Complete General Release of Claims being executed no later than August 16, 2025 and not being revoked during the seven-calendar day period following Executive’s execution (the “</w:t>
      </w:r>
      <w:r>
        <w:rPr>
          <w:rFonts w:ascii="Times New Roman;serif" w:hAnsi="Times New Roman;serif"/>
          <w:b w:val="false"/>
          <w:color w:val="000000"/>
          <w:sz w:val="22"/>
          <w:u w:val="single"/>
        </w:rPr>
        <w:t>First Release</w:t>
      </w:r>
      <w:r>
        <w:rPr>
          <w:color w:val="000000"/>
        </w:rPr>
        <w:t>”</w:t>
      </w:r>
      <w:r>
        <w:rPr>
          <w:rFonts w:ascii="Times New Roman;serif" w:hAnsi="Times New Roman;serif"/>
          <w:b w:val="false"/>
          <w:color w:val="000000"/>
          <w:sz w:val="22"/>
        </w:rPr>
        <w:t xml:space="preserve">): </w:t>
      </w:r>
    </w:p>
    <w:p>
      <w:pPr>
        <w:pStyle w:val="TextBody"/>
        <w:bidi w:val="0"/>
        <w:spacing w:before="0" w:after="0"/>
        <w:ind w:left="0" w:right="0" w:firstLine="720"/>
        <w:jc w:val="both"/>
        <w:rPr/>
      </w:pPr>
      <w:r>
        <w:rPr/>
      </w:r>
    </w:p>
    <w:p>
      <w:pPr>
        <w:pStyle w:val="TextBody"/>
        <w:bidi w:val="0"/>
        <w:spacing w:lineRule="auto" w:line="300"/>
        <w:ind w:left="0" w:right="0" w:firstLine="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color w:val="000000"/>
          <w:sz w:val="22"/>
        </w:rPr>
        <w:t>Claims Released</w:t>
      </w:r>
      <w:r>
        <w:rPr>
          <w:rFonts w:ascii="Times New Roman;serif" w:hAnsi="Times New Roman;serif"/>
          <w:b w:val="false"/>
          <w:color w:val="000000"/>
          <w:sz w:val="22"/>
        </w:rPr>
        <w:t xml:space="preserve">: Except for the claims identified in </w:t>
      </w:r>
      <w:r>
        <w:rPr>
          <w:rFonts w:ascii="Times New Roman;serif" w:hAnsi="Times New Roman;serif"/>
          <w:b w:val="false"/>
          <w:color w:val="000000"/>
          <w:sz w:val="22"/>
          <w:u w:val="single"/>
        </w:rPr>
        <w:t>Section 4(b)</w:t>
      </w:r>
      <w:r>
        <w:rPr>
          <w:rFonts w:ascii="Times New Roman;serif" w:hAnsi="Times New Roman;serif"/>
          <w:b w:val="false"/>
          <w:color w:val="000000"/>
          <w:sz w:val="22"/>
        </w:rPr>
        <w:t>, Executive irrevocably and unconditionally releases (i.e., give up), acquits and forever discharges all known and unknown claims, promises, causes of action, charges, complaints, demands, liabilities, obligations, agreements, controversies, damages, suits, entitlements, costs, losses, debts and expenses (including attorneys’ fees and legal expenses) or similar rights of any type that Executive ever had, now has or may hereafter claim to have (“</w:t>
      </w:r>
      <w:r>
        <w:rPr>
          <w:rFonts w:ascii="Times New Roman;serif" w:hAnsi="Times New Roman;serif"/>
          <w:b w:val="false"/>
          <w:color w:val="000000"/>
          <w:sz w:val="22"/>
          <w:u w:val="single"/>
        </w:rPr>
        <w:t>Claims</w:t>
      </w:r>
      <w:r>
        <w:rPr>
          <w:color w:val="000000"/>
        </w:rPr>
        <w:t>”</w:t>
      </w:r>
      <w:r>
        <w:rPr>
          <w:rFonts w:ascii="Times New Roman;serif" w:hAnsi="Times New Roman;serif"/>
          <w:b w:val="false"/>
          <w:color w:val="000000"/>
          <w:sz w:val="22"/>
        </w:rPr>
        <w:t xml:space="preserve">) with respect to any Released Party listed in </w:t>
      </w:r>
      <w:r>
        <w:rPr>
          <w:rFonts w:ascii="Times New Roman;serif" w:hAnsi="Times New Roman;serif"/>
          <w:b w:val="false"/>
          <w:color w:val="000000"/>
          <w:sz w:val="22"/>
          <w:u w:val="single"/>
        </w:rPr>
        <w:t>Section 4(c)</w:t>
      </w:r>
      <w:r>
        <w:rPr>
          <w:color w:val="000000"/>
        </w:rPr>
        <w:t xml:space="preserve"> </w:t>
      </w:r>
      <w:r>
        <w:rPr>
          <w:rFonts w:ascii="Times New Roman;serif" w:hAnsi="Times New Roman;serif"/>
          <w:b w:val="false"/>
          <w:color w:val="000000"/>
          <w:sz w:val="22"/>
        </w:rPr>
        <w:t xml:space="preserve">arising from the beginning of time up to the date Executive executes this Agreement. Executive understands that he is not releasing future rights or claims, meaning rights or claims that arise after the date of this Agreement. Executive understands that the Claims he is releasing might arise under many different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 10.13</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2</w:t>
                      </w:r>
                    </w:p>
                  </w:txbxContent>
                </v:textbox>
                <w10:wrap type="none"/>
              </v:rect>
            </w:pict>
          </mc:Fallback>
        </mc:AlternateContent>
      </w:r>
    </w:p>
    <w:p>
      <w:pPr>
        <w:pStyle w:val="TextBody"/>
        <w:bidi w:val="0"/>
        <w:spacing w:lineRule="auto" w:line="300" w:before="0" w:after="0"/>
        <w:jc w:val="both"/>
        <w:rPr/>
      </w:pPr>
      <w:r>
        <w:rPr>
          <w:rFonts w:ascii="Times New Roman;serif" w:hAnsi="Times New Roman;serif"/>
          <w:b w:val="false"/>
          <w:color w:val="000000"/>
          <w:sz w:val="22"/>
        </w:rPr>
        <w:t>federal, state, local or non-U.S. laws (including statutes, regulations, other administrative guidance, and common law doctrines). Without limiting the generality of the foregoing, Executive acknowledges that he knowingly and voluntarily waives and releases any and all Claims under the Age Discrimination in Employment Act (the “</w:t>
      </w:r>
      <w:r>
        <w:rPr>
          <w:rFonts w:ascii="Times New Roman;serif" w:hAnsi="Times New Roman;serif"/>
          <w:b w:val="false"/>
          <w:color w:val="000000"/>
          <w:sz w:val="22"/>
          <w:u w:val="single"/>
        </w:rPr>
        <w:t>ADEA</w:t>
      </w:r>
      <w:r>
        <w:rPr>
          <w:color w:val="000000"/>
        </w:rPr>
        <w:t>”</w:t>
      </w:r>
      <w:r>
        <w:rPr>
          <w:rFonts w:ascii="Times New Roman;serif" w:hAnsi="Times New Roman;serif"/>
          <w:b w:val="false"/>
          <w:color w:val="000000"/>
          <w:sz w:val="22"/>
        </w:rPr>
        <w:t>) and Executive Order 11,141, which prohibit age discrimination in employment, as well as all Claims under the following:</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Anti-discrimination statutes, such as Title VII of the Civil Rights Act of 1964, Sections 1981 and 1983 of the Civil Rights Act of 1866, and Executive Order 11,246, which prohibit discrimination based on race, color, national origin, religion, or sex; the Equal Pay Act, which prohibits paying men and women unequal pay for equal work; the Americans With Disabilities Act and Sections 503 and 504 of the Rehabilitation Act of 1973, which prohibit discrimination based on disability; the Genetic Information Nondiscrimination Act of 2008, which prohibits discrimination based on genetic information; and any other federal, state, local or non-U.S. laws prohibiting discrimination in employment based on a protected category, such as actual or perceived race, religion, color, national origin, ancestry, physical or mental disability, medical condition, genetic information, marital status, sex, sexual orientation, or association with a person who has, or is perceived to have, any of those characteristics;</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Federal employment statutes, such as the Worker Adjustment and Retraining Notification Act, which requires that advance notice be given of certain work force reductions; the Employee Retirement Income Security Act of 1974, which, among other things, protects employee benefits; and any other federal laws relating to employment, such as veterans’ reemployment rights laws; and</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Other laws, such as any federal, state, local or non-U.S. laws mandating leaves of absence, restricting an employer’s right to terminate employees, or otherwise regulating employment; any federal, state, local or non-U.S. law enforcing express or implied employment contracts or requiring an employer to deal with employees fairly or in good faith; any other federal, state, local or non-U.S. laws providing recourse for alleged wrongful discharge, tort, physical or personal injury, emotional distress, fraud, negligent misrepresentation, defamation, and similar or related Claims; any other law relating to salary, commission, compensation, benefits, and other matters; and family and medical leave laws.</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 xml:space="preserve">Examples of released Claims include, but are not limited to the following (except to the extent explicitly preserved by </w:t>
      </w:r>
      <w:r>
        <w:rPr>
          <w:rFonts w:ascii="Times New Roman;serif" w:hAnsi="Times New Roman;serif"/>
          <w:b w:val="false"/>
          <w:color w:val="000000"/>
          <w:sz w:val="22"/>
          <w:u w:val="single"/>
        </w:rPr>
        <w:t xml:space="preserve">Section 4(b) </w:t>
      </w:r>
      <w:r>
        <w:rPr>
          <w:rFonts w:ascii="Times New Roman;serif" w:hAnsi="Times New Roman;serif"/>
          <w:b w:val="false"/>
          <w:color w:val="000000"/>
          <w:sz w:val="22"/>
        </w:rPr>
        <w:t>of this Agreement): (i) Claims that in any way relate to or arose during Executive’s employment with the Company, or the termination of that employment, such as Claims for compensation, bonuses, commissions, lost wages, or unused accrued vacation or sick pay; (ii) Claims that in any way relate to the design or administration of any employee benefit program; (iii) Claims that Executive has irrevocable or vested rights to severance or similar benefits or to post-employment health or group insurance benefits; (iv) any Claims to attorneys’ fees or other indemnities (such as under the Civil Rights Attorneys’ Fees Act), with respect to Claims Executive is releasing; or (v) Claims under the Connecticut Human Rights and Opportunities Law, the Connecticut Family and Medical Leave Law, the Connecticut Age Discrimination and Employee Insurance Benefits Law, and the Connecticut Smokers’ Rights Law.</w:t>
      </w:r>
    </w:p>
    <w:p>
      <w:pPr>
        <w:pStyle w:val="TextBody"/>
        <w:bidi w:val="0"/>
        <w:spacing w:before="0" w:after="0"/>
        <w:ind w:left="0" w:right="0" w:firstLine="720"/>
        <w:jc w:val="both"/>
        <w:rPr/>
      </w:pPr>
      <w:r>
        <w:rPr/>
      </w:r>
    </w:p>
    <w:p>
      <w:pPr>
        <w:pStyle w:val="TextBody"/>
        <w:bidi w:val="0"/>
        <w:ind w:left="0" w:right="0" w:firstLine="72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 10.13</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3</w:t>
                      </w:r>
                    </w:p>
                  </w:txbxContent>
                </v:textbox>
                <w10:wrap type="none"/>
              </v:rect>
            </w:pict>
          </mc:Fallback>
        </mc:AlternateContent>
      </w:r>
    </w:p>
    <w:p>
      <w:pPr>
        <w:pStyle w:val="TextBody"/>
        <w:bidi w:val="0"/>
        <w:spacing w:lineRule="auto" w:line="300" w:before="0" w:after="0"/>
        <w:ind w:left="0" w:right="0" w:firstLine="720"/>
        <w:jc w:val="both"/>
        <w:rPr/>
      </w:pPr>
      <w:r>
        <w:rPr>
          <w:rFonts w:ascii="Times New Roman;serif" w:hAnsi="Times New Roman;serif"/>
          <w:b w:val="false"/>
          <w:color w:val="000000"/>
          <w:sz w:val="22"/>
        </w:rPr>
        <w:t>(b)     </w:t>
      </w:r>
      <w:r>
        <w:rPr>
          <w:rFonts w:ascii="Times New Roman;serif" w:hAnsi="Times New Roman;serif"/>
          <w:b/>
          <w:color w:val="000000"/>
          <w:sz w:val="22"/>
          <w:u w:val="single"/>
        </w:rPr>
        <w:t xml:space="preserve">Claims Not Released: </w:t>
      </w:r>
      <w:r>
        <w:rPr>
          <w:rFonts w:ascii="Times New Roman;serif" w:hAnsi="Times New Roman;serif"/>
          <w:b w:val="false"/>
          <w:color w:val="000000"/>
          <w:sz w:val="22"/>
        </w:rPr>
        <w:t>This Agreement does not release any claims that the law does not permit Executive to release. Nothing herein affects Executive’s rights to indemnification in respect of Executive’s service as a director or officer of the Company or any of its Affiliates including any rights under the Company’s constitutional documents and the Company’s Directors and Officers’ Insurance Policy, which shall continue in full force and effect pursuant to their terms, reimbursement for business expenses incurred through the date of this Agreement in accordance with Company policy, payment of accrued salary, payment for accrued but unused vacation in accordance with Company policy, vested benefits under the Company’s 401(k) plan, the Company’s Stock Option and Award Plan, as amended and restated (the “</w:t>
      </w:r>
      <w:r>
        <w:rPr>
          <w:rFonts w:ascii="Times New Roman;serif" w:hAnsi="Times New Roman;serif"/>
          <w:b w:val="false"/>
          <w:color w:val="000000"/>
          <w:sz w:val="22"/>
          <w:u w:val="single"/>
        </w:rPr>
        <w:t>Stock Option and Award Plan</w:t>
      </w:r>
      <w:r>
        <w:rPr>
          <w:color w:val="000000"/>
        </w:rPr>
        <w:t>”</w:t>
      </w:r>
      <w:r>
        <w:rPr>
          <w:rFonts w:ascii="Times New Roman;serif" w:hAnsi="Times New Roman;serif"/>
          <w:b w:val="false"/>
          <w:color w:val="000000"/>
          <w:sz w:val="22"/>
        </w:rPr>
        <w:t>), and any other rights pursuant to the employee benefit plans of the Company and its Subsidiaries that are accrued and vested as of the date of this Agreement, subject to the terms of the applicable plan. Furthermore, this Agreement does not release Executive’s rights to the Equity Award Treatment. In addition, nothing in this Agreement shall prohibit or restrict Executive from challenging the knowing and voluntary nature of Executive’s release of claims under the ADEA pursuant to the Older Workers Benefit Protection Act.</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(c)     </w:t>
      </w:r>
      <w:r>
        <w:rPr>
          <w:rFonts w:ascii="Times New Roman;serif" w:hAnsi="Times New Roman;serif"/>
          <w:b/>
          <w:color w:val="000000"/>
          <w:sz w:val="22"/>
        </w:rPr>
        <w:t xml:space="preserve">Released Parties: </w:t>
      </w:r>
      <w:r>
        <w:rPr>
          <w:rFonts w:ascii="Times New Roman;serif" w:hAnsi="Times New Roman;serif"/>
          <w:b w:val="false"/>
          <w:color w:val="000000"/>
          <w:sz w:val="22"/>
        </w:rPr>
        <w:t>The Released Parties are the Company, all current and former parents, Subsidiaries, Affiliates, partnerships, or joint ventures, and, with respect to each of them, their predecessors and successors; and, with respect to each such entity, all of its past, present, and future employees, officers, directors, stockholders, owners, representatives, assigns, attorneys, agents, insurers, employee benefit programs (and the trustees, administrators, fiduciaries, and insurers of such programs), and any other persons acting by, through, under or in concert with any of the persons or entities listed in this subsection, and their successors (individually a “</w:t>
      </w:r>
      <w:r>
        <w:rPr>
          <w:rFonts w:ascii="Times New Roman;serif" w:hAnsi="Times New Roman;serif"/>
          <w:b w:val="false"/>
          <w:color w:val="000000"/>
          <w:sz w:val="22"/>
          <w:u w:val="single"/>
        </w:rPr>
        <w:t>Released Party</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val="false"/>
          <w:color w:val="000000"/>
          <w:sz w:val="22"/>
          <w:u w:val="single"/>
        </w:rPr>
        <w:t>Released Parties</w:t>
      </w:r>
      <w:r>
        <w:rPr>
          <w:color w:val="000000"/>
        </w:rPr>
        <w:t>”</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color w:val="000000"/>
          <w:sz w:val="22"/>
        </w:rPr>
        <w:t>Section 5.     </w:t>
      </w:r>
      <w:r>
        <w:rPr>
          <w:rFonts w:ascii="Times New Roman;serif" w:hAnsi="Times New Roman;serif"/>
          <w:b/>
          <w:color w:val="000000"/>
          <w:sz w:val="22"/>
          <w:u w:val="single"/>
        </w:rPr>
        <w:t>Second Release of Claims</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Executive agrees that his eligibility to receive the Equity Award Treatment is subject to his execution, not later than 21 days following the Retirement Date, of a second release of claims (the “</w:t>
      </w:r>
      <w:r>
        <w:rPr>
          <w:rFonts w:ascii="Times New Roman;serif" w:hAnsi="Times New Roman;serif"/>
          <w:b w:val="false"/>
          <w:color w:val="000000"/>
          <w:sz w:val="22"/>
          <w:u w:val="single"/>
        </w:rPr>
        <w:t>Second Release</w:t>
      </w:r>
      <w:r>
        <w:rPr>
          <w:color w:val="000000"/>
        </w:rPr>
        <w:t>”</w:t>
      </w:r>
      <w:r>
        <w:rPr>
          <w:rFonts w:ascii="Times New Roman;serif" w:hAnsi="Times New Roman;serif"/>
          <w:b w:val="false"/>
          <w:color w:val="000000"/>
          <w:sz w:val="22"/>
        </w:rPr>
        <w:t xml:space="preserve">) in the form attached hereto as </w:t>
      </w:r>
      <w:r>
        <w:rPr>
          <w:rFonts w:ascii="Times New Roman;serif" w:hAnsi="Times New Roman;serif"/>
          <w:b w:val="false"/>
          <w:color w:val="000000"/>
          <w:sz w:val="22"/>
          <w:u w:val="single"/>
        </w:rPr>
        <w:t>Appendix B</w:t>
      </w:r>
      <w:r>
        <w:rPr>
          <w:rFonts w:ascii="Times New Roman;serif" w:hAnsi="Times New Roman;serif"/>
          <w:b w:val="false"/>
          <w:color w:val="000000"/>
          <w:sz w:val="22"/>
        </w:rPr>
        <w:t>, and the non-revocation of the Second Release during the period specified therein. If Executive fails to execute and deliver the Second Release within 21 days following the Retirement Date, or if he revokes the Second Release as provided therein, Executive will forfeit his right to receive the Equity Award Treatment; however, the First Release shall remain in full force and effect.</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color w:val="000000"/>
          <w:sz w:val="22"/>
        </w:rPr>
        <w:t>Section 6.     </w:t>
      </w:r>
      <w:r>
        <w:rPr>
          <w:rFonts w:ascii="Times New Roman;serif" w:hAnsi="Times New Roman;serif"/>
          <w:b/>
          <w:color w:val="000000"/>
          <w:sz w:val="22"/>
          <w:u w:val="single"/>
        </w:rPr>
        <w:t>Promises</w:t>
      </w:r>
    </w:p>
    <w:p>
      <w:pPr>
        <w:pStyle w:val="TextBody"/>
        <w:bidi w:val="0"/>
        <w:spacing w:before="0" w:after="0"/>
        <w:ind w:left="0" w:right="0" w:firstLine="720"/>
        <w:jc w:val="both"/>
        <w:rPr/>
      </w:pPr>
      <w:r>
        <w:rPr/>
      </w:r>
    </w:p>
    <w:p>
      <w:pPr>
        <w:pStyle w:val="TextBody"/>
        <w:bidi w:val="0"/>
        <w:spacing w:lineRule="auto" w:line="300"/>
        <w:ind w:left="0" w:right="0" w:firstLine="720"/>
        <w:jc w:val="both"/>
        <w:rPr/>
      </w:pPr>
      <w:r>
        <w:rPr>
          <w:rFonts w:ascii="Times New Roman;serif" w:hAnsi="Times New Roman;serif"/>
          <w:b w:val="false"/>
          <w:color w:val="000000"/>
          <w:sz w:val="22"/>
        </w:rPr>
        <w:t>(a)     </w:t>
      </w:r>
      <w:r>
        <w:rPr>
          <w:rFonts w:ascii="Times New Roman;serif" w:hAnsi="Times New Roman;serif"/>
          <w:b/>
          <w:color w:val="000000"/>
          <w:sz w:val="22"/>
        </w:rPr>
        <w:t>Company Property and Debts:</w:t>
      </w:r>
      <w:r>
        <w:rPr>
          <w:color w:val="000000"/>
        </w:rPr>
        <w:t xml:space="preserve"> </w:t>
      </w:r>
      <w:r>
        <w:rPr>
          <w:rFonts w:ascii="Times New Roman;serif" w:hAnsi="Times New Roman;serif"/>
          <w:b w:val="false"/>
          <w:color w:val="000000"/>
          <w:sz w:val="22"/>
        </w:rPr>
        <w:t xml:space="preserve">On or before the Retirement Date, Executive will return to the Company all files, memoranda, documents, records, copies of the foregoing, Company-provided credit cards, keys, building passes, security passes, access or identification cards, devices and equipment belonging to the Company (including computers, laptops, tablets, smart phones, handheld electronic devices, telephone equipment, and other electronic devices), and any other property of the Company or any Released Party in Executive’s possession or control, other than specific mutually approved devices, all with the Company’s consent. Executive has cooperated with the Company and will cooperate with the Company regarding the proper handling of any digital property of the Company that may be retained in mobile phone or related digital storage devices, media or accounts. As of the Retirement Date, Executive will have cleared all expense accounts, repaid everything he owes to the Company or any Released Party, paid all amounts he owes on Company-provided credit cards or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 10.13</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4</w:t>
                      </w:r>
                    </w:p>
                  </w:txbxContent>
                </v:textbox>
                <w10:wrap type="none"/>
              </v:rect>
            </w:pict>
          </mc:Fallback>
        </mc:AlternateConten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accounts (such as mobile or smart phone accounts), and canceled or personally assumed any such credit cards or accounts. </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(b)    </w:t>
      </w:r>
      <w:r>
        <w:rPr>
          <w:rFonts w:ascii="Times New Roman;serif" w:hAnsi="Times New Roman;serif"/>
          <w:b/>
          <w:color w:val="000000"/>
          <w:sz w:val="22"/>
        </w:rPr>
        <w:t>Taxes:</w:t>
      </w:r>
      <w:r>
        <w:rPr>
          <w:color w:val="000000"/>
        </w:rPr>
        <w:t xml:space="preserve"> </w:t>
      </w:r>
      <w:r>
        <w:rPr>
          <w:rFonts w:ascii="Times New Roman;serif" w:hAnsi="Times New Roman;serif"/>
          <w:b w:val="false"/>
          <w:color w:val="000000"/>
          <w:sz w:val="22"/>
        </w:rPr>
        <w:t xml:space="preserve">All payments under this Agreement will be subject to applicable tax withholding and deductions by the Company. </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(c)    </w:t>
      </w:r>
      <w:r>
        <w:rPr>
          <w:rFonts w:ascii="Times New Roman;serif" w:hAnsi="Times New Roman;serif"/>
          <w:b/>
          <w:color w:val="000000"/>
          <w:sz w:val="22"/>
        </w:rPr>
        <w:t>Ownership of Claims:</w:t>
      </w:r>
      <w:r>
        <w:rPr>
          <w:color w:val="000000"/>
        </w:rPr>
        <w:t xml:space="preserve"> </w:t>
      </w:r>
      <w:r>
        <w:rPr>
          <w:rFonts w:ascii="Times New Roman;serif" w:hAnsi="Times New Roman;serif"/>
          <w:b w:val="false"/>
          <w:color w:val="000000"/>
          <w:sz w:val="22"/>
        </w:rPr>
        <w:t xml:space="preserve">Executive has not assigned or transferred any Claim he is purporting to release, nor has he attempted to do so. </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(d)    </w:t>
      </w:r>
      <w:r>
        <w:rPr>
          <w:rFonts w:ascii="Times New Roman;serif" w:hAnsi="Times New Roman;serif"/>
          <w:b/>
          <w:color w:val="000000"/>
          <w:sz w:val="22"/>
        </w:rPr>
        <w:t>Communication with Government Agency; Immunity:</w:t>
      </w:r>
      <w:r>
        <w:rPr>
          <w:color w:val="000000"/>
        </w:rPr>
        <w:t xml:space="preserve"> </w:t>
      </w:r>
      <w:r>
        <w:rPr>
          <w:rFonts w:ascii="Times New Roman;serif" w:hAnsi="Times New Roman;serif"/>
          <w:b w:val="false"/>
          <w:color w:val="000000"/>
          <w:sz w:val="22"/>
        </w:rPr>
        <w:t>This Agreement does not preclude Executive from filing an administrative charge or otherwise communicating with any federal, state, local or non-U.S. government office, official or agency, or from reporting possible violations of any law or regulation, making disclosures to, and/or participating in any investigation or proceeding conducted by any federal, state, local or non-U.S. agency, including the National Labor Relations Board, the Equal Employment Opportunity Commission, the Securities and Exchange Commission (“</w:t>
      </w:r>
      <w:r>
        <w:rPr>
          <w:rFonts w:ascii="Times New Roman;serif" w:hAnsi="Times New Roman;serif"/>
          <w:b w:val="false"/>
          <w:color w:val="000000"/>
          <w:sz w:val="22"/>
          <w:u w:val="single"/>
        </w:rPr>
        <w:t>SEC</w:t>
      </w:r>
      <w:r>
        <w:rPr>
          <w:color w:val="000000"/>
        </w:rPr>
        <w:t>”</w:t>
      </w:r>
      <w:r>
        <w:rPr>
          <w:rFonts w:ascii="Times New Roman;serif" w:hAnsi="Times New Roman;serif"/>
          <w:b w:val="false"/>
          <w:color w:val="000000"/>
          <w:sz w:val="22"/>
        </w:rPr>
        <w:t>), the Department of Fair Employment and Housing and/or any governmental authority charged with the enforcement of any employment laws. Furthermore, nothing in this Agreement prohibits Executive from: (i) filing and, as provided for under Section 21F of the Securities Exchange Act of 1934 (the “</w:t>
      </w:r>
      <w:r>
        <w:rPr>
          <w:rFonts w:ascii="Times New Roman;serif" w:hAnsi="Times New Roman;serif"/>
          <w:b w:val="false"/>
          <w:color w:val="000000"/>
          <w:sz w:val="22"/>
          <w:u w:val="single"/>
        </w:rPr>
        <w:t>Exchange Act</w:t>
      </w:r>
      <w:r>
        <w:rPr>
          <w:color w:val="000000"/>
        </w:rPr>
        <w:t>”</w:t>
      </w:r>
      <w:r>
        <w:rPr>
          <w:rFonts w:ascii="Times New Roman;serif" w:hAnsi="Times New Roman;serif"/>
          <w:b w:val="false"/>
          <w:color w:val="000000"/>
          <w:sz w:val="22"/>
        </w:rPr>
        <w:t xml:space="preserve">), maintaining the confidentiality of a claim with the SEC; (ii) providing Confidential Information (as defined in </w:t>
      </w:r>
      <w:r>
        <w:rPr>
          <w:rFonts w:ascii="Times New Roman;serif" w:hAnsi="Times New Roman;serif"/>
          <w:b w:val="false"/>
          <w:color w:val="000000"/>
          <w:sz w:val="22"/>
          <w:u w:val="single"/>
        </w:rPr>
        <w:t xml:space="preserve">Section 6(f) </w:t>
      </w:r>
      <w:r>
        <w:rPr>
          <w:rFonts w:ascii="Times New Roman;serif" w:hAnsi="Times New Roman;serif"/>
          <w:b w:val="false"/>
          <w:color w:val="000000"/>
          <w:sz w:val="22"/>
        </w:rPr>
        <w:t xml:space="preserve">below) to the SEC, or providing the SEC with information that would otherwise violate any provision of this Agreement, to the extent permitted by Section 21F of the Exchange Act; (iii) cooperating, participating or assisting in an SEC investigation or proceeding without notifying the Company; or (iv) receiving a monetary award as set forth in Section 21F of the Exchange Act. Notwithstanding Executive’s confidentiality obligations set forth in this Agreement, Executive understands that, pursuant to the Defend Trade Secrets Act of 2016, Executive will not be held criminally or civilly liable under any U.S. Federal or State trade secret law for the disclosure of a trade secret that: (i) is made (A) in confidence to a federal, state, local or non-U.S. government official, either directly or indirectly, or to an attorney; and (B) solely for the purpose of reporting or investigating a suspected violation of law; or (ii) is made in a complaint or other document filed in a lawsuit or other proceeding, if such filing is made under seal. Executive also understands that if he files a lawsuit for retaliation by the Company for reporting a suspected violation of law, Executive may disclose the trade secret to his attorney and use the trade secret information in the court proceeding, if Executive (i) files any document containing the trade secret under seal; and (ii) does not disclose the trade secret, except pursuant to court order. Executive understands that if a disclosure of trade secrets was not done in good faith pursuant to the above, then he may be subject to liability, including, without limitation, punitive damages and attorneys’ fees. </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(e)     </w:t>
      </w:r>
      <w:r>
        <w:rPr>
          <w:rFonts w:ascii="Times New Roman;serif" w:hAnsi="Times New Roman;serif"/>
          <w:b/>
          <w:color w:val="000000"/>
          <w:sz w:val="22"/>
        </w:rPr>
        <w:t>Mutual Agreement Not to Disparage or Harm</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Section 6(d)</w:t>
      </w:r>
      <w:r>
        <w:rPr>
          <w:rFonts w:ascii="Times New Roman;serif" w:hAnsi="Times New Roman;serif"/>
          <w:b w:val="false"/>
          <w:color w:val="000000"/>
          <w:sz w:val="22"/>
        </w:rPr>
        <w:t xml:space="preserve">, Executive agrees not to criticize, denigrate, or disparage any Released Party and, in particular, not to criticize, denigrate, or disparage any current or former employee of the Company. Executive understands and agrees that breach of this provision will result in damages that are difficult to quantify. The Company likewise agrees to instruct its officers not to criticize, denigrate, or disparage Executive or his work in any communication to a third party. Executive agrees not to incur any expenses, obligations, or liabilities on behalf of the Company. </w:t>
      </w:r>
    </w:p>
    <w:p>
      <w:pPr>
        <w:pStyle w:val="TextBody"/>
        <w:bidi w:val="0"/>
        <w:spacing w:before="0" w:after="0"/>
        <w:ind w:left="0" w:right="0" w:firstLine="720"/>
        <w:jc w:val="both"/>
        <w:rPr/>
      </w:pPr>
      <w:r>
        <w:rPr/>
      </w:r>
    </w:p>
    <w:p>
      <w:pPr>
        <w:pStyle w:val="TextBody"/>
        <w:bidi w:val="0"/>
        <w:ind w:left="0" w:right="0" w:firstLine="72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 10.13</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5</w:t>
                      </w:r>
                    </w:p>
                  </w:txbxContent>
                </v:textbox>
                <w10:wrap type="none"/>
              </v:rect>
            </w:pict>
          </mc:Fallback>
        </mc:AlternateContent>
      </w:r>
    </w:p>
    <w:p>
      <w:pPr>
        <w:pStyle w:val="TextBody"/>
        <w:bidi w:val="0"/>
        <w:spacing w:lineRule="auto" w:line="300" w:before="0" w:after="0"/>
        <w:ind w:left="0" w:right="0" w:firstLine="720"/>
        <w:jc w:val="both"/>
        <w:rPr/>
      </w:pPr>
      <w:r>
        <w:rPr>
          <w:rFonts w:ascii="Times New Roman;serif" w:hAnsi="Times New Roman;serif"/>
          <w:b w:val="false"/>
          <w:color w:val="000000"/>
          <w:sz w:val="22"/>
        </w:rPr>
        <w:t>(f)     </w:t>
      </w:r>
      <w:r>
        <w:rPr>
          <w:rFonts w:ascii="Times New Roman;serif" w:hAnsi="Times New Roman;serif"/>
          <w:b/>
          <w:color w:val="000000"/>
          <w:sz w:val="22"/>
        </w:rPr>
        <w:t>Confidential and Proprietary Information and Existing Obligations</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Section 6(d)</w:t>
      </w:r>
      <w:r>
        <w:rPr>
          <w:rFonts w:ascii="Times New Roman;serif" w:hAnsi="Times New Roman;serif"/>
          <w:b w:val="false"/>
          <w:color w:val="000000"/>
          <w:sz w:val="22"/>
        </w:rPr>
        <w:t>, Executive understands that, at all times in the future, he will remain bound by any Company or Affiliate agreement or policy relating to non-solicitation, noncompetition, confidential information, proprietary information, invention, or similar matters to which he is now subject, in accordance with the terms of such agreement or policy, including, but not limited to, any FactSet Research Systems Inc. Intellectual Property Agreement which Executive previously signed and any noncompetition, non-solicitation and confidentiality restrictions to which he is subject pursuant to the Stock Option and Award Plan, and any award agreements thereunder, and which are expressly incorporated by reference herein, and Executive agrees that to the extent any provision in any such agreement, plan or policy conflicts with any provision in this Agreement, the provision or interpretation affording the greater protection to the Company shall govern. In particular, Executive acknowledges that his employment by the Company created a relationship of confidence and trust with respect to any information of a confidential or secret nature disclosed to him by the Company or a third party that (i) related to the business of the Company or to the business of any parent, Subsidiary, Affiliate, customer or supplier of the Company or any other party with whom the Company agreed to hold information of such party in confidence, (ii) was not generally known to the public or to other persons in the industry, or if generally known, was used, selected or arranged by the Company in a manner not generally known and was made the property of the Company by mutual agreement of the parties, including by the Invention Assignment and Proprietary Information Agreement, and/or similar agreement, and (iii) that the Company has taken reasonable measures under the circumstances to protect from unauthorized use or disclosure (the “</w:t>
      </w:r>
      <w:r>
        <w:rPr>
          <w:rFonts w:ascii="Times New Roman;serif" w:hAnsi="Times New Roman;serif"/>
          <w:b w:val="false"/>
          <w:color w:val="000000"/>
          <w:sz w:val="22"/>
          <w:u w:val="single"/>
        </w:rPr>
        <w:t>Confidential Information</w:t>
      </w:r>
      <w:r>
        <w:rPr>
          <w:color w:val="000000"/>
        </w:rPr>
        <w:t>”</w:t>
      </w:r>
      <w:r>
        <w:rPr>
          <w:rFonts w:ascii="Times New Roman;serif" w:hAnsi="Times New Roman;serif"/>
          <w:b w:val="false"/>
          <w:color w:val="000000"/>
          <w:sz w:val="22"/>
        </w:rPr>
        <w:t>). Executive agrees and represents that he has not disclosed, copied, disseminated, shared or transmitted any Confidential Information to any person, firm, corporation or entity for any reason or purpose whatsoever, except in the course of carrying out his duties and responsibilities of employment with the Company. Executive also agrees, at all times in the future, not to make use of any Confidential Information for his own purposes or for the benefit of any person, firm, corporation or other entity. Executive further warrants and represents that all Confidential Information in his possession, custody or control that is or was a property of the Company has been or shall be returned to the Company by the Retirement Date.</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(g)    </w:t>
      </w:r>
      <w:r>
        <w:rPr>
          <w:rFonts w:ascii="Times New Roman;serif" w:hAnsi="Times New Roman;serif"/>
          <w:b/>
          <w:color w:val="000000"/>
          <w:sz w:val="22"/>
        </w:rPr>
        <w:t>Implementation</w:t>
      </w:r>
      <w:r>
        <w:rPr>
          <w:rFonts w:ascii="Times New Roman;serif" w:hAnsi="Times New Roman;serif"/>
          <w:b w:val="false"/>
          <w:color w:val="000000"/>
          <w:sz w:val="22"/>
        </w:rPr>
        <w:t xml:space="preserve">: Executive agrees to sign any documents and do anything else that in the future is needed to implement this Agreement. </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(h)    </w:t>
      </w:r>
      <w:r>
        <w:rPr>
          <w:rFonts w:ascii="Times New Roman;serif" w:hAnsi="Times New Roman;serif"/>
          <w:b/>
          <w:color w:val="000000"/>
          <w:sz w:val="22"/>
        </w:rPr>
        <w:t>Other Representations</w:t>
      </w:r>
      <w:r>
        <w:rPr>
          <w:rFonts w:ascii="Times New Roman;serif" w:hAnsi="Times New Roman;serif"/>
          <w:b w:val="false"/>
          <w:color w:val="000000"/>
          <w:sz w:val="22"/>
        </w:rPr>
        <w:t xml:space="preserve">: In addition to Executive’s other representations in this Agreement, Executive has made the following representations to the Company, on which Executive acknowledges it also has relied in entering into this Agreement with him: </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color w:val="000000"/>
        </w:rPr>
      </w:pPr>
      <w:r>
        <w:rPr>
          <w:color w:val="000000"/>
        </w:rPr>
        <w:t>    </w:t>
      </w:r>
      <w:r>
        <w:rPr>
          <w:rFonts w:ascii="Times New Roman;serif" w:hAnsi="Times New Roman;serif"/>
          <w:b w:val="false"/>
          <w:color w:val="000000"/>
          <w:sz w:val="22"/>
        </w:rPr>
        <w:t xml:space="preserve">(i)     Executive has not suffered any job-related wrongs or injuries, such as any type of discrimination, for which he might still be entitled to compensation or relief in the future. Executive has properly reported any and all job-related wrongs or injuries for which he might still be entitled to compensation or relief, such as an injury for which he might receive a workers’ compensation award in the future. Executive has properly reported all hours that he has worked and Executive has been paid all wages, overtime, commissions, compensation, benefits, and other amounts that the Company or any Released Party should have paid him in the past. </w:t>
      </w:r>
    </w:p>
    <w:p>
      <w:pPr>
        <w:pStyle w:val="TextBody"/>
        <w:bidi w:val="0"/>
        <w:spacing w:before="0" w:after="0"/>
        <w:ind w:left="0" w:right="0" w:firstLine="720"/>
        <w:jc w:val="both"/>
        <w:rPr/>
      </w:pPr>
      <w:r>
        <w:rPr/>
      </w:r>
    </w:p>
    <w:p>
      <w:pPr>
        <w:pStyle w:val="TextBody"/>
        <w:bidi w:val="0"/>
        <w:spacing w:lineRule="auto" w:line="300" w:before="0" w:after="0"/>
        <w:ind w:left="0" w:right="0" w:firstLine="1530"/>
        <w:jc w:val="both"/>
        <w:rPr>
          <w:rFonts w:ascii="Times New Roman;serif" w:hAnsi="Times New Roman;serif"/>
          <w:b w:val="false"/>
          <w:color w:val="000000"/>
          <w:sz w:val="22"/>
        </w:rPr>
      </w:pPr>
      <w:r>
        <w:rPr>
          <w:rFonts w:ascii="Times New Roman;serif" w:hAnsi="Times New Roman;serif"/>
          <w:b w:val="false"/>
          <w:color w:val="000000"/>
          <w:sz w:val="22"/>
        </w:rPr>
        <w:t xml:space="preserve">(ii)    This Agreement is not an admission of wrongdoing by the Company or any other Released Party. </w:t>
      </w:r>
    </w:p>
    <w:p>
      <w:pPr>
        <w:pStyle w:val="TextBody"/>
        <w:bidi w:val="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 10.13</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6</w:t>
                      </w:r>
                    </w:p>
                  </w:txbxContent>
                </v:textbox>
                <w10:wrap type="none"/>
              </v:rect>
            </w:pict>
          </mc:Fallback>
        </mc:AlternateContent>
      </w:r>
    </w:p>
    <w:p>
      <w:pPr>
        <w:pStyle w:val="TextBody"/>
        <w:bidi w:val="0"/>
        <w:spacing w:lineRule="auto" w:line="300"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     Executive is intentionally releasing claims that he does not know he might have and that, with hindsight, Executive might regret having released. </w:t>
      </w:r>
    </w:p>
    <w:p>
      <w:pPr>
        <w:pStyle w:val="TextBody"/>
        <w:bidi w:val="0"/>
        <w:spacing w:before="0" w:after="0"/>
        <w:ind w:left="0" w:right="0" w:firstLine="720"/>
        <w:jc w:val="both"/>
        <w:rPr/>
      </w:pPr>
      <w:r>
        <w:rPr/>
      </w:r>
    </w:p>
    <w:p>
      <w:pPr>
        <w:pStyle w:val="TextBody"/>
        <w:bidi w:val="0"/>
        <w:spacing w:lineRule="auto" w:line="300"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(iv)    If the Company or Executive successfully assert that any provision in this First Release is void, the rest of the Agreement shall remain valid and enforceable. </w:t>
      </w:r>
    </w:p>
    <w:p>
      <w:pPr>
        <w:pStyle w:val="TextBody"/>
        <w:bidi w:val="0"/>
        <w:spacing w:before="0" w:after="0"/>
        <w:ind w:left="0" w:right="0" w:firstLine="720"/>
        <w:jc w:val="both"/>
        <w:rPr/>
      </w:pPr>
      <w:r>
        <w:rPr/>
      </w:r>
    </w:p>
    <w:p>
      <w:pPr>
        <w:pStyle w:val="TextBody"/>
        <w:bidi w:val="0"/>
        <w:spacing w:lineRule="auto" w:line="300" w:before="0" w:after="0"/>
        <w:ind w:left="0" w:right="0" w:firstLine="1530"/>
        <w:jc w:val="both"/>
        <w:rPr>
          <w:rFonts w:ascii="Times New Roman;serif" w:hAnsi="Times New Roman;serif"/>
          <w:b w:val="false"/>
          <w:color w:val="000000"/>
          <w:sz w:val="22"/>
        </w:rPr>
      </w:pPr>
      <w:r>
        <w:rPr>
          <w:rFonts w:ascii="Times New Roman;serif" w:hAnsi="Times New Roman;serif"/>
          <w:b w:val="false"/>
          <w:color w:val="000000"/>
          <w:sz w:val="22"/>
        </w:rPr>
        <w:t xml:space="preserve">(v)    Executive has read this Agreement in its entirety and understands all of its terms. </w:t>
      </w:r>
    </w:p>
    <w:p>
      <w:pPr>
        <w:pStyle w:val="TextBody"/>
        <w:bidi w:val="0"/>
        <w:spacing w:before="0" w:after="0"/>
        <w:ind w:left="0" w:right="0" w:firstLine="720"/>
        <w:jc w:val="both"/>
        <w:rPr/>
      </w:pPr>
      <w:r>
        <w:rPr/>
      </w:r>
    </w:p>
    <w:p>
      <w:pPr>
        <w:pStyle w:val="TextBody"/>
        <w:bidi w:val="0"/>
        <w:spacing w:lineRule="auto" w:line="300"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     Executive has been advised in writing to consult with an attorney of his choosing and has consulted with such counsel as he believed was necessary before signing this Agreement. </w:t>
      </w:r>
    </w:p>
    <w:p>
      <w:pPr>
        <w:pStyle w:val="TextBody"/>
        <w:bidi w:val="0"/>
        <w:spacing w:before="0" w:after="0"/>
        <w:ind w:left="0" w:right="0" w:firstLine="720"/>
        <w:jc w:val="both"/>
        <w:rPr/>
      </w:pPr>
      <w:r>
        <w:rPr/>
      </w:r>
    </w:p>
    <w:p>
      <w:pPr>
        <w:pStyle w:val="TextBody"/>
        <w:bidi w:val="0"/>
        <w:spacing w:lineRule="auto" w:line="300"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(vii)     Executive knowingly, freely, and voluntarily agrees to all of the terms and conditions set out in this Agreement including, without limitation, the waiver, First Release, and covenants contained in it. </w:t>
      </w:r>
    </w:p>
    <w:p>
      <w:pPr>
        <w:pStyle w:val="TextBody"/>
        <w:bidi w:val="0"/>
        <w:spacing w:before="0" w:after="0"/>
        <w:ind w:left="0" w:right="0" w:firstLine="720"/>
        <w:jc w:val="both"/>
        <w:rPr/>
      </w:pPr>
      <w:r>
        <w:rPr/>
      </w:r>
    </w:p>
    <w:p>
      <w:pPr>
        <w:pStyle w:val="TextBody"/>
        <w:bidi w:val="0"/>
        <w:spacing w:lineRule="auto" w:line="300"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(viii)     Executive is signing this Agreement, including the waiver and First Release, in exchange for good and valuable consideration in addition to anything of value to which he is otherwise entitled. </w:t>
      </w:r>
    </w:p>
    <w:p>
      <w:pPr>
        <w:pStyle w:val="TextBody"/>
        <w:bidi w:val="0"/>
        <w:spacing w:before="0" w:after="0"/>
        <w:ind w:left="0" w:right="0" w:firstLine="720"/>
        <w:jc w:val="both"/>
        <w:rPr/>
      </w:pPr>
      <w:r>
        <w:rPr/>
      </w:r>
    </w:p>
    <w:p>
      <w:pPr>
        <w:pStyle w:val="TextBody"/>
        <w:bidi w:val="0"/>
        <w:spacing w:lineRule="auto" w:line="300"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(ix)     Executive was given at least twenty-one (21) days to consider the terms of this Agreement and consult with an attorney of his choice, although he may sign it sooner if desired and changes to this Agreement, whether material or immaterial, do not restart the running of the 21-day period. </w:t>
      </w:r>
    </w:p>
    <w:p>
      <w:pPr>
        <w:pStyle w:val="TextBody"/>
        <w:bidi w:val="0"/>
        <w:spacing w:before="0" w:after="0"/>
        <w:ind w:left="0" w:right="0" w:firstLine="720"/>
        <w:jc w:val="both"/>
        <w:rPr/>
      </w:pPr>
      <w:r>
        <w:rPr/>
      </w:r>
    </w:p>
    <w:p>
      <w:pPr>
        <w:pStyle w:val="TextBody"/>
        <w:bidi w:val="0"/>
        <w:spacing w:lineRule="auto" w:line="300"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(x)     Executive understands that he has seven (7) days after signing this Agreement to revoke the First Release by delivering notice of revocation to the Chief Legal Officer at FactSet Research Systems Inc., 45 Glover Avenue, Norwalk, CT 06850, before the end of this seven-day period. </w:t>
      </w:r>
    </w:p>
    <w:p>
      <w:pPr>
        <w:pStyle w:val="TextBody"/>
        <w:bidi w:val="0"/>
        <w:spacing w:before="0" w:after="0"/>
        <w:ind w:left="0" w:right="0" w:firstLine="720"/>
        <w:jc w:val="both"/>
        <w:rPr/>
      </w:pPr>
      <w:r>
        <w:rPr/>
      </w:r>
    </w:p>
    <w:p>
      <w:pPr>
        <w:pStyle w:val="TextBody"/>
        <w:bidi w:val="0"/>
        <w:spacing w:lineRule="auto" w:line="300"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(xi)     If Executive does not revoke this Agreement, it will become enforceable on the eighth day after he signs it. </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(i)     </w:t>
      </w:r>
      <w:r>
        <w:rPr>
          <w:rFonts w:ascii="Times New Roman;serif" w:hAnsi="Times New Roman;serif"/>
          <w:b/>
          <w:color w:val="000000"/>
          <w:sz w:val="22"/>
        </w:rPr>
        <w:t>Post-Termination Restrictions:</w:t>
      </w:r>
      <w:r>
        <w:rPr>
          <w:color w:val="000000"/>
        </w:rPr>
        <w:t xml:space="preserve"> </w:t>
      </w:r>
      <w:r>
        <w:rPr>
          <w:rFonts w:ascii="Times New Roman;serif" w:hAnsi="Times New Roman;serif"/>
          <w:b w:val="false"/>
          <w:color w:val="000000"/>
          <w:sz w:val="22"/>
        </w:rPr>
        <w:t xml:space="preserve">Executive acknowledges and understands that the post-termination restrictions that are contained in Section 13 of the Stock Option and Award Plan, will continue to apply. </w:t>
      </w:r>
    </w:p>
    <w:p>
      <w:pPr>
        <w:pStyle w:val="TextBody"/>
        <w:bidi w:val="0"/>
        <w:spacing w:before="0" w:after="0"/>
        <w:ind w:left="0" w:right="0" w:firstLine="720"/>
        <w:jc w:val="both"/>
        <w:rPr/>
      </w:pPr>
      <w:r>
        <w:rPr/>
      </w:r>
    </w:p>
    <w:p>
      <w:pPr>
        <w:pStyle w:val="TextBody"/>
        <w:bidi w:val="0"/>
        <w:spacing w:lineRule="auto" w:line="300"/>
        <w:ind w:left="0" w:right="0" w:firstLine="720"/>
        <w:jc w:val="both"/>
        <w:rPr/>
      </w:pPr>
      <w:r>
        <w:rPr>
          <w:rFonts w:ascii="Times New Roman;serif" w:hAnsi="Times New Roman;serif"/>
          <w:b w:val="false"/>
          <w:color w:val="000000"/>
          <w:sz w:val="22"/>
        </w:rPr>
        <w:t>(j)     </w:t>
      </w:r>
      <w:r>
        <w:rPr>
          <w:rFonts w:ascii="Times New Roman;serif" w:hAnsi="Times New Roman;serif"/>
          <w:b/>
          <w:color w:val="000000"/>
          <w:sz w:val="22"/>
        </w:rPr>
        <w:t>False Claims Representations and Promises</w:t>
      </w:r>
      <w:r>
        <w:rPr>
          <w:rFonts w:ascii="Times New Roman;serif" w:hAnsi="Times New Roman;serif"/>
          <w:b w:val="false"/>
          <w:color w:val="000000"/>
          <w:sz w:val="22"/>
        </w:rPr>
        <w:t xml:space="preserve">: Executive has disclosed to the Company any information he has concerning any conduct involving the Company or any Affiliate that he has any reason to believe may be unlawful or that involves any false claims to the United States. Executive promises to cooperate fully in any investigation the Company or any Affiliate undertakes into matters occurring during his employment with the Company or any Affiliate. Executive understands that nothing in this Agreement prevents him from cooperating with any U.S. government investigation. In addition, to the fullest extent permitted by law, Executive hereby irrevocably assigns to the U.S. government any right he might have to any proceeds or awards in connection with any false claims proceedings against the Company or any Affiliate.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 10.13</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7</w:t>
                      </w:r>
                    </w:p>
                  </w:txbxContent>
                </v:textbox>
                <w10:wrap type="none"/>
              </v:rect>
            </w:pict>
          </mc:Fallback>
        </mc:AlternateContent>
      </w:r>
    </w:p>
    <w:p>
      <w:pPr>
        <w:pStyle w:val="TextBody"/>
        <w:bidi w:val="0"/>
        <w:spacing w:lineRule="auto" w:line="300" w:before="0" w:after="0"/>
        <w:ind w:left="0" w:right="0" w:firstLine="720"/>
        <w:jc w:val="both"/>
        <w:rPr/>
      </w:pPr>
      <w:r>
        <w:rPr>
          <w:rFonts w:ascii="Times New Roman;serif" w:hAnsi="Times New Roman;serif"/>
          <w:b w:val="false"/>
          <w:color w:val="000000"/>
          <w:sz w:val="22"/>
        </w:rPr>
        <w:t>(k)     </w:t>
      </w:r>
      <w:r>
        <w:rPr>
          <w:rFonts w:ascii="Times New Roman;serif" w:hAnsi="Times New Roman;serif"/>
          <w:b/>
          <w:color w:val="000000"/>
          <w:sz w:val="22"/>
        </w:rPr>
        <w:t>Cooperation Required</w:t>
      </w:r>
      <w:r>
        <w:rPr>
          <w:rFonts w:ascii="Times New Roman;serif" w:hAnsi="Times New Roman;serif"/>
          <w:b w:val="false"/>
          <w:color w:val="000000"/>
          <w:sz w:val="22"/>
        </w:rPr>
        <w:t xml:space="preserve">: Executive agrees that when requested by the Company, he will promptly and fully respond to all inquiries from the Company or any Affiliate and its representatives relating to any lawsuit in which he is identified as having factual information needed by the Company. To the extent Executive incurs reasonable out-of-pocket expenses (such as postage costs or telephone charges) in assisting the Company or any Affiliate at its request, the Company will mail Executive a reimbursement check for those expenses within fifteen (15) days after it receives his request for payment, along with satisfactory written substantiation of the claimed expenses. </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(l)     </w:t>
      </w:r>
      <w:r>
        <w:rPr>
          <w:rFonts w:ascii="Times New Roman;serif" w:hAnsi="Times New Roman;serif"/>
          <w:b/>
          <w:color w:val="000000"/>
          <w:sz w:val="22"/>
        </w:rPr>
        <w:t>Disclosure</w:t>
      </w:r>
      <w:r>
        <w:rPr>
          <w:rFonts w:ascii="Times New Roman;serif" w:hAnsi="Times New Roman;serif"/>
          <w:b w:val="false"/>
          <w:color w:val="000000"/>
          <w:sz w:val="22"/>
        </w:rPr>
        <w:t xml:space="preserve">: Nothing herein shall prevent the Company or Executive from disclosing the terms of this Agreement if required to do so under applicable law or by a court of competent jurisdiction, or otherwise to an advisor, so long as such advisor is instructed and agrees to maintain confidentiality. </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color w:val="000000"/>
          <w:sz w:val="22"/>
        </w:rPr>
        <w:t>Section 7.     </w:t>
      </w:r>
      <w:r>
        <w:rPr>
          <w:rFonts w:ascii="Times New Roman;serif" w:hAnsi="Times New Roman;serif"/>
          <w:b/>
          <w:color w:val="000000"/>
          <w:sz w:val="22"/>
          <w:u w:val="single"/>
        </w:rPr>
        <w:t xml:space="preserve">Consequences of Violating Promises </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 xml:space="preserve">Executive agrees that the Company would be irreparably harmed by any actual or threatened violation of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 xml:space="preserve">that involves disclosure or use of confidential information, proprietary information, trade secrets or the violation of any obligations to the Company or its Affiliates in respect of noncompetition or non-solicitation, and that the Company will be entitled to an injunction prohibiting Executive from committing any such violation. In addition, Executive agrees that, in the event of any actual or threatened violation of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 xml:space="preserve">or any confidentiality, non-solicitation or noncompetition agreement with the Company or any of its Subsidiaries, then the Company shall (a) have no obligation to provide the Equity Award Treatment and (b) will be entitled to recover any amounts previously paid to him with respect to the Equity Award Treatment. </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color w:val="000000"/>
          <w:sz w:val="22"/>
        </w:rPr>
        <w:t>Section 8.     </w:t>
      </w:r>
      <w:r>
        <w:rPr>
          <w:rFonts w:ascii="Times New Roman;serif" w:hAnsi="Times New Roman;serif"/>
          <w:b/>
          <w:color w:val="000000"/>
          <w:sz w:val="22"/>
          <w:u w:val="single"/>
        </w:rPr>
        <w:t xml:space="preserve">Miscellaneous </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(a)     </w:t>
      </w:r>
      <w:r>
        <w:rPr>
          <w:rFonts w:ascii="Times New Roman;serif" w:hAnsi="Times New Roman;serif"/>
          <w:b/>
          <w:color w:val="000000"/>
          <w:sz w:val="22"/>
        </w:rPr>
        <w:t>Entire Agreement:</w:t>
      </w:r>
      <w:r>
        <w:rPr>
          <w:color w:val="000000"/>
        </w:rPr>
        <w:t xml:space="preserve"> </w:t>
      </w:r>
      <w:r>
        <w:rPr>
          <w:rFonts w:ascii="Times New Roman;serif" w:hAnsi="Times New Roman;serif"/>
          <w:b w:val="false"/>
          <w:color w:val="000000"/>
          <w:sz w:val="22"/>
        </w:rPr>
        <w:t xml:space="preserve">In addition to any Company or Affiliate agreement, plan or policy relating to non-solicitation, noncompetition, the confidentiality of proprietary information, inventions, or similar matters referenced in </w:t>
      </w:r>
      <w:r>
        <w:rPr>
          <w:rFonts w:ascii="Times New Roman;serif" w:hAnsi="Times New Roman;serif"/>
          <w:b w:val="false"/>
          <w:color w:val="000000"/>
          <w:sz w:val="22"/>
          <w:u w:val="single"/>
        </w:rPr>
        <w:t xml:space="preserve">Section 6 </w:t>
      </w:r>
      <w:r>
        <w:rPr>
          <w:rFonts w:ascii="Times New Roman;serif" w:hAnsi="Times New Roman;serif"/>
          <w:b w:val="false"/>
          <w:color w:val="000000"/>
          <w:sz w:val="22"/>
        </w:rPr>
        <w:t xml:space="preserve">above, this Agreement, including the Second Release, is the entire agreement between Executive and the Company relating to his termination of employment or the subject matter of this Agreement. This Agreement may not be modified or canceled in any manner, nor may any provision of it or any legal remedy with respect to it be waived, except by a writing signed by both Executive and an authorized Company official. Executive acknowledges that the Company has made no representations or promises to him (such as that his former position will remain vacant), other than those in or referred to by this Agreement. If any provision in this Agreement is found to be unenforceable, all other provisions will remain fully enforceable. </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(b)     </w:t>
      </w:r>
      <w:r>
        <w:rPr>
          <w:rFonts w:ascii="Times New Roman;serif" w:hAnsi="Times New Roman;serif"/>
          <w:b/>
          <w:color w:val="000000"/>
          <w:sz w:val="22"/>
        </w:rPr>
        <w:t>Successors:</w:t>
      </w:r>
      <w:r>
        <w:rPr>
          <w:color w:val="000000"/>
        </w:rPr>
        <w:t xml:space="preserve"> </w:t>
      </w:r>
      <w:r>
        <w:rPr>
          <w:rFonts w:ascii="Times New Roman;serif" w:hAnsi="Times New Roman;serif"/>
          <w:b w:val="false"/>
          <w:color w:val="000000"/>
          <w:sz w:val="22"/>
        </w:rPr>
        <w:t xml:space="preserve">This Agreement binds Executive’s heirs, administrators, representatives, executors, successors, and assigns, and will inure to the benefit of all Released Parties and their respective heirs, administrators, representatives, executors, successors, and assigns. their respective heirs, administrators, representatives, executors, successors, and assigns. </w:t>
      </w:r>
    </w:p>
    <w:p>
      <w:pPr>
        <w:pStyle w:val="TextBody"/>
        <w:bidi w:val="0"/>
        <w:spacing w:before="0" w:after="0"/>
        <w:ind w:left="0" w:right="0" w:firstLine="720"/>
        <w:jc w:val="both"/>
        <w:rPr/>
      </w:pPr>
      <w:r>
        <w:rPr/>
      </w:r>
    </w:p>
    <w:p>
      <w:pPr>
        <w:pStyle w:val="TextBody"/>
        <w:bidi w:val="0"/>
        <w:spacing w:lineRule="auto" w:line="300"/>
        <w:ind w:left="0" w:right="0" w:firstLine="720"/>
        <w:jc w:val="both"/>
        <w:rPr/>
      </w:pPr>
      <w:r>
        <w:rPr>
          <w:rFonts w:ascii="Times New Roman;serif" w:hAnsi="Times New Roman;serif"/>
          <w:b w:val="false"/>
          <w:color w:val="000000"/>
          <w:sz w:val="22"/>
        </w:rPr>
        <w:t>(c)     </w:t>
      </w:r>
      <w:r>
        <w:rPr>
          <w:rFonts w:ascii="Times New Roman;serif" w:hAnsi="Times New Roman;serif"/>
          <w:b/>
          <w:color w:val="000000"/>
          <w:sz w:val="22"/>
        </w:rPr>
        <w:t>Interpretation</w:t>
      </w:r>
      <w:r>
        <w:rPr>
          <w:rFonts w:ascii="Times New Roman;serif" w:hAnsi="Times New Roman;serif"/>
          <w:b w:val="false"/>
          <w:color w:val="000000"/>
          <w:sz w:val="22"/>
        </w:rPr>
        <w:t xml:space="preserve">: This Agreement shall be construed as a whole according to its fair meaning. It shall not be construed strictly for or against Executive or any Released Party. Unless the context indicates otherwise, the term “or” shall be deemed to include the term “and” and the singular or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 10.13</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8</w:t>
                      </w:r>
                    </w:p>
                  </w:txbxContent>
                </v:textbox>
                <w10:wrap type="none"/>
              </v:rect>
            </w:pict>
          </mc:Fallback>
        </mc:AlternateConten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plural number shall be deemed to include the other. Captions are intended solely for convenience of reference and shall not be used in the interpretation of this Agreement. </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color w:val="000000"/>
          <w:sz w:val="22"/>
        </w:rPr>
        <w:t>Section 9.     </w:t>
      </w:r>
      <w:r>
        <w:rPr>
          <w:rFonts w:ascii="Times New Roman;serif" w:hAnsi="Times New Roman;serif"/>
          <w:b/>
          <w:color w:val="000000"/>
          <w:sz w:val="22"/>
          <w:u w:val="single"/>
        </w:rPr>
        <w:t xml:space="preserve">Arbitration </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 xml:space="preserve">Except as otherwise set forth in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 xml:space="preserve">the Company and Executive mutually consent to the resolution by final and binding arbitration of any and all disputes, controversies or claims between them including, without limitation, (a) any dispute, controversy or claim related in any way to Executive’s employment with the Company or any Affiliate or any termination thereof, (b) any dispute, controversy or claim of alleged discrimination, harassment or retaliation (including, but not limited to, claims based on race, sex, sexual preference, religion, national origin, age, marital or family status, medical condition, handicap or disability) and (c) any claim arising out of or relating to this Agreement (including the scope of this </w:t>
      </w:r>
      <w:r>
        <w:rPr>
          <w:rFonts w:ascii="Times New Roman;serif" w:hAnsi="Times New Roman;serif"/>
          <w:b w:val="false"/>
          <w:color w:val="000000"/>
          <w:sz w:val="22"/>
          <w:u w:val="single"/>
        </w:rPr>
        <w:t>Section 9</w:t>
      </w:r>
      <w:r>
        <w:rPr>
          <w:rFonts w:ascii="Times New Roman;serif" w:hAnsi="Times New Roman;serif"/>
          <w:b w:val="false"/>
          <w:color w:val="000000"/>
          <w:sz w:val="22"/>
        </w:rPr>
        <w:t>) or the breach thereof (collectively, “</w:t>
      </w:r>
      <w:r>
        <w:rPr>
          <w:rFonts w:ascii="Times New Roman;serif" w:hAnsi="Times New Roman;serif"/>
          <w:b w:val="false"/>
          <w:color w:val="000000"/>
          <w:sz w:val="22"/>
          <w:u w:val="single"/>
        </w:rPr>
        <w:t>Disputes</w:t>
      </w:r>
      <w:r>
        <w:rPr>
          <w:color w:val="000000"/>
        </w:rPr>
        <w:t>”</w:t>
      </w:r>
      <w:r>
        <w:rPr>
          <w:rFonts w:ascii="Times New Roman;serif" w:hAnsi="Times New Roman;serif"/>
          <w:b w:val="false"/>
          <w:color w:val="000000"/>
          <w:sz w:val="22"/>
        </w:rPr>
        <w:t>); provided, however, that nothing herein will require arbitration of any claim or charge which, by law, cannot be the subject of a compulsory arbitration agreement; provided, further, that notwithstanding anything to the contrary herein, Executive may, but is not required to, arbitrate claims for sexual harassment or assault to the extent applicable law renders a pre-dispute arbitration agreement covering such claims invalid or unenforceable. All Disputes will be resolved exclusively by arbitration administered by the Judicial Arbitration and Mediation Services (“</w:t>
      </w:r>
      <w:r>
        <w:rPr>
          <w:rFonts w:ascii="Times New Roman;serif" w:hAnsi="Times New Roman;serif"/>
          <w:b w:val="false"/>
          <w:color w:val="000000"/>
          <w:sz w:val="22"/>
          <w:u w:val="single"/>
        </w:rPr>
        <w:t>JAMS</w:t>
      </w:r>
      <w:r>
        <w:rPr>
          <w:color w:val="000000"/>
        </w:rPr>
        <w:t>”</w:t>
      </w:r>
      <w:r>
        <w:rPr>
          <w:rFonts w:ascii="Times New Roman;serif" w:hAnsi="Times New Roman;serif"/>
          <w:b w:val="false"/>
          <w:color w:val="000000"/>
          <w:sz w:val="22"/>
        </w:rPr>
        <w:t>) under the JAMS Employment Dispute Resolution Rule then in effect (the “</w:t>
      </w:r>
      <w:r>
        <w:rPr>
          <w:rFonts w:ascii="Times New Roman;serif" w:hAnsi="Times New Roman;serif"/>
          <w:b w:val="false"/>
          <w:color w:val="000000"/>
          <w:sz w:val="22"/>
          <w:u w:val="single"/>
        </w:rPr>
        <w:t>JAMS Rules”</w:t>
      </w:r>
      <w:r>
        <w:rPr>
          <w:rFonts w:ascii="Times New Roman;serif" w:hAnsi="Times New Roman;serif"/>
          <w:b w:val="false"/>
          <w:color w:val="000000"/>
          <w:sz w:val="22"/>
        </w:rPr>
        <w:t>). Any arbitration proceeding brought under this Agreement will be conducted in New York, New York, or another mutually agreed upon location before one arbitrator selected in accordance with the JAMS Rules. Each party to any Dispute will pay its own expenses, including attorneys’ fees. The arbitrator will be empowered to award either party any remedy at law or in equity that the party would otherwise have been entitled to had the matter been litigated in a court of competent jurisdiction; provided, however, that (i) the authority to award any remedy is subject to whatever limitations, if any, exist in the applicable law on such remedies and (ii) the arbitrator is not empowered to award damages in excess of compensatory damages, and each party hereto irrevocably waives any right to recover punitive, exemplary or similar damages with respect to any dispute, controversy or claim. The arbitrator will issue a decision or award in writing, stating the essential findings of fact and conclusions of law. Any judgment on or enforcement of any award, including an award providing for interim or permanent injunctive relief, rendered by the arbitrator may be entered, enforced or appealed from in any court of competent jurisdiction. Any arbitration proceedings, decision or award rendered hereunder, and the validity, effect and interpretation of this arbitration provision, will be governed by the Federal Arbitration Act, 9 U.S.C. §1 et seq. It is part of the essence of this Agreement that any Disputes hereunder will be resolved expeditiously and as confidentially as possible. Accordingly, the Company and Executive agree that all proceedings in any arbitration will be conducted under seal and kept strictly confidential. In that regard, no party will use, disclose or permit the disclosure of any information, evidence or documents produced by any other party in the arbitration proceedings or about the existence, contents or results of the proceedings except as may be required by any legal process, as required in an action in aid of arbitration or for enforcement of or appeal from an arbitral award or as may be permitted by the arbitrator for the preparation and conduct of the arbitration proceedings.</w:t>
      </w:r>
    </w:p>
    <w:p>
      <w:pPr>
        <w:pStyle w:val="TextBody"/>
        <w:bidi w:val="0"/>
        <w:spacing w:before="0" w:after="0"/>
        <w:ind w:left="0" w:right="0" w:firstLine="720"/>
        <w:jc w:val="both"/>
        <w:rPr/>
      </w:pPr>
      <w:r>
        <w:rPr/>
      </w:r>
    </w:p>
    <w:p>
      <w:pPr>
        <w:pStyle w:val="TextBody"/>
        <w:bidi w:val="0"/>
        <w:spacing w:lineRule="auto" w:line="300" w:before="0" w:after="0"/>
        <w:ind w:left="0" w:right="0" w:firstLine="720"/>
        <w:jc w:val="center"/>
        <w:rPr/>
      </w:pPr>
      <w:r>
        <w:rPr>
          <w:rFonts w:ascii="Times New Roman;serif" w:hAnsi="Times New Roman;serif"/>
          <w:b w:val="false"/>
          <w:color w:val="000000"/>
          <w:sz w:val="22"/>
        </w:rPr>
        <w:t>(</w:t>
      </w:r>
      <w:r>
        <w:rPr>
          <w:rFonts w:ascii="Times New Roman;serif" w:hAnsi="Times New Roman;serif"/>
          <w:b w:val="false"/>
          <w:i/>
          <w:color w:val="000000"/>
          <w:sz w:val="22"/>
        </w:rPr>
        <w:t>remainder of page left intentionally blank</w:t>
      </w:r>
      <w:r>
        <w:rPr>
          <w:rFonts w:ascii="Times New Roman;serif" w:hAnsi="Times New Roman;serif"/>
          <w:b w:val="false"/>
          <w:color w:val="000000"/>
          <w:sz w:val="22"/>
        </w:rPr>
        <w:t>)</w:t>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ind w:left="0" w:right="0" w:firstLine="720"/>
        <w:jc w:val="center"/>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 10.13</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9</w:t>
                      </w:r>
                    </w:p>
                  </w:txbxContent>
                </v:textbox>
                <w10:wrap type="none"/>
              </v:rect>
            </w:pict>
          </mc:Fallback>
        </mc:AlternateContent>
      </w:r>
    </w:p>
    <w:p>
      <w:pPr>
        <w:pStyle w:val="TextBody"/>
        <w:bidi w:val="0"/>
        <w:spacing w:before="0" w:after="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752"/>
        <w:gridCol w:w="659"/>
        <w:gridCol w:w="659"/>
        <w:gridCol w:w="659"/>
        <w:gridCol w:w="659"/>
        <w:gridCol w:w="659"/>
        <w:gridCol w:w="659"/>
        <w:gridCol w:w="659"/>
        <w:gridCol w:w="659"/>
        <w:gridCol w:w="659"/>
        <w:gridCol w:w="659"/>
        <w:gridCol w:w="659"/>
        <w:gridCol w:w="659"/>
        <w:gridCol w:w="659"/>
        <w:gridCol w:w="726"/>
        <w:gridCol w:w="160"/>
      </w:tblGrid>
      <w:tr>
        <w:trPr/>
        <w:tc>
          <w:tcPr>
            <w:tcW w:w="75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045" w:type="dxa"/>
            <w:gridSpan w:val="15"/>
            <w:vMerge w:val="restart"/>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48" w:before="0" w:after="0"/>
              <w:jc w:val="both"/>
              <w:rPr>
                <w:rFonts w:ascii="Times New Roman;serif" w:hAnsi="Times New Roman;serif"/>
                <w:b/>
                <w:color w:val="000000"/>
                <w:sz w:val="20"/>
              </w:rPr>
            </w:pPr>
            <w:r>
              <w:rPr>
                <w:rFonts w:ascii="Times New Roman;serif" w:hAnsi="Times New Roman;serif"/>
                <w:b/>
                <w:color w:val="000000"/>
                <w:sz w:val="20"/>
              </w:rPr>
              <w:t xml:space="preserve">BEFORE SIGNING THIS AGREEMENT, EXECUTIVE MAY TAKE IT HOME, READ IT, AND CAREFULLY CONSIDER IT, INCLUDING, IF EXECUTIVE CHOOSES, TO DISCUSS IT WITH HIS ATTORNEY (AT HIS OWN EXPENSE). EXECUTIVE HAS 21 DAYS FOLLOWING THE DATE OF THIS AGREEMENT TO CONSIDER THIS AGREEMENT. IF EXECUTIVE DOES NOT SIGN AND RETURN THIS AGREEMENT WITHIN THIS 21-DAY PERIOD, IT IS AUTOMATICALLY VOIDED. ANY CHANGES TO THIS AGREEMENT, WHETHER MATERIAL OR IMMATERIAL, WILL NOT RESTART THE 21-DAY CONSIDERATION PERIOD. </w:t>
            </w:r>
          </w:p>
          <w:p>
            <w:pPr>
              <w:pStyle w:val="TableContents"/>
              <w:bidi w:val="0"/>
              <w:spacing w:before="0" w:after="0"/>
              <w:jc w:val="both"/>
              <w:rPr/>
            </w:pPr>
            <w:r>
              <w:rPr/>
            </w:r>
          </w:p>
          <w:p>
            <w:pPr>
              <w:pStyle w:val="TableContents"/>
              <w:bidi w:val="0"/>
              <w:spacing w:lineRule="auto" w:line="348" w:before="0" w:after="0"/>
              <w:jc w:val="both"/>
              <w:rPr>
                <w:rFonts w:ascii="Times New Roman;serif" w:hAnsi="Times New Roman;serif"/>
                <w:b/>
                <w:color w:val="000000"/>
                <w:sz w:val="20"/>
              </w:rPr>
            </w:pPr>
            <w:r>
              <w:rPr>
                <w:rFonts w:ascii="Times New Roman;serif" w:hAnsi="Times New Roman;serif"/>
                <w:b/>
                <w:color w:val="000000"/>
                <w:sz w:val="20"/>
              </w:rPr>
              <w:t>ONCE EXECUTIVE SIGNS THIS AGREEMENT, EXECUTIVE WILL HAVE AN ADDITIONAL 7 DAYS TO REVOKE IT. IF EXECUTIVE CHOOSES TO REVOKE THIS AGREEMENT, HE MUST DELIVER A WRITTEN NOTICE OF REVOCATION TO:</w:t>
            </w:r>
          </w:p>
          <w:p>
            <w:pPr>
              <w:pStyle w:val="TableContents"/>
              <w:bidi w:val="0"/>
              <w:spacing w:before="0" w:after="0"/>
              <w:jc w:val="both"/>
              <w:rPr/>
            </w:pPr>
            <w:r>
              <w:rPr/>
            </w:r>
          </w:p>
          <w:p>
            <w:pPr>
              <w:pStyle w:val="TableContents"/>
              <w:bidi w:val="0"/>
              <w:spacing w:lineRule="auto" w:line="348" w:before="0" w:after="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CHIEF LEGAL OFFICER</w:t>
            </w:r>
          </w:p>
          <w:p>
            <w:pPr>
              <w:pStyle w:val="TableContents"/>
              <w:bidi w:val="0"/>
              <w:spacing w:lineRule="auto" w:line="348" w:before="0" w:after="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FACTSET RESEARCH SYSTEMS INC.</w:t>
            </w:r>
          </w:p>
          <w:p>
            <w:pPr>
              <w:pStyle w:val="TableContents"/>
              <w:bidi w:val="0"/>
              <w:spacing w:lineRule="auto" w:line="348" w:before="0" w:after="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45 GLOVER AVENUE, NORWALK, CT 06850</w:t>
            </w:r>
          </w:p>
          <w:p>
            <w:pPr>
              <w:pStyle w:val="TableContents"/>
              <w:bidi w:val="0"/>
              <w:spacing w:before="0" w:after="0"/>
              <w:ind w:left="0" w:right="0" w:firstLine="720"/>
              <w:jc w:val="both"/>
              <w:rPr/>
            </w:pPr>
            <w:r>
              <w:rPr/>
            </w:r>
          </w:p>
          <w:p>
            <w:pPr>
              <w:pStyle w:val="TableContents"/>
              <w:bidi w:val="0"/>
              <w:spacing w:lineRule="auto" w:line="348" w:before="0" w:after="0"/>
              <w:jc w:val="both"/>
              <w:rPr>
                <w:rFonts w:ascii="Times New Roman;serif" w:hAnsi="Times New Roman;serif"/>
                <w:b/>
                <w:color w:val="000000"/>
                <w:sz w:val="22"/>
              </w:rPr>
            </w:pPr>
            <w:r>
              <w:rPr>
                <w:rFonts w:ascii="Times New Roman;serif" w:hAnsi="Times New Roman;serif"/>
                <w:b/>
                <w:color w:val="000000"/>
                <w:sz w:val="22"/>
              </w:rPr>
              <w:t>BY SIGNING THIS AGREEMENT, EXECUTIVE WILL BE WAIVING HIS KNOWN AND UNKNOWN CLAIMS.</w:t>
            </w:r>
          </w:p>
          <w:p>
            <w:pPr>
              <w:pStyle w:val="TableContents"/>
              <w:bidi w:val="0"/>
              <w:spacing w:before="0" w:after="0"/>
              <w:jc w:val="both"/>
              <w:rPr/>
            </w:pPr>
            <w:r>
              <w:rPr/>
            </w:r>
          </w:p>
        </w:tc>
        <w:tc>
          <w:tcPr>
            <w:tcW w:w="160" w:type="dxa"/>
            <w:tcBorders/>
          </w:tcPr>
          <w:p>
            <w:pPr>
              <w:pStyle w:val="TableContents"/>
              <w:bidi w:val="0"/>
              <w:spacing w:before="0" w:after="283"/>
              <w:jc w:val="left"/>
              <w:rPr>
                <w:sz w:val="4"/>
                <w:szCs w:val="4"/>
              </w:rPr>
            </w:pPr>
            <w:r>
              <w:rPr>
                <w:sz w:val="4"/>
                <w:szCs w:val="4"/>
              </w:rPr>
            </w:r>
          </w:p>
        </w:tc>
      </w:tr>
      <w:tr>
        <w:trPr/>
        <w:tc>
          <w:tcPr>
            <w:tcW w:w="10045" w:type="dxa"/>
            <w:gridSpan w:val="15"/>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045" w:type="dxa"/>
            <w:gridSpan w:val="15"/>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045" w:type="dxa"/>
            <w:gridSpan w:val="15"/>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045" w:type="dxa"/>
            <w:gridSpan w:val="15"/>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045" w:type="dxa"/>
            <w:gridSpan w:val="15"/>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045" w:type="dxa"/>
            <w:gridSpan w:val="15"/>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300" w:before="0" w:after="0"/>
        <w:jc w:val="both"/>
        <w:rPr>
          <w:rFonts w:ascii="Times New Roman;serif" w:hAnsi="Times New Roman;serif"/>
          <w:b w:val="false"/>
          <w:color w:val="000000"/>
          <w:sz w:val="24"/>
        </w:rPr>
      </w:pPr>
      <w:r>
        <w:rPr>
          <w:rFonts w:ascii="Times New Roman;serif" w:hAnsi="Times New Roman;serif"/>
          <w:b w:val="false"/>
          <w:color w:val="000000"/>
          <w:sz w:val="24"/>
        </w:rPr>
        <w:t>Executed on this ___12th____day of ____August_______, 2025, and signed under penalty of perjury under the laws of the state of Connecticut.</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/s/ FREDERICK PHILIP SNOW</w:t>
      </w:r>
    </w:p>
    <w:p>
      <w:pPr>
        <w:pStyle w:val="TextBody"/>
        <w:bidi w:val="0"/>
        <w:spacing w:lineRule="auto" w:line="300" w:before="0" w:after="0"/>
        <w:jc w:val="both"/>
        <w:rPr>
          <w:rFonts w:ascii="Times New Roman;serif" w:hAnsi="Times New Roman;serif"/>
          <w:b w:val="false"/>
          <w:color w:val="000000"/>
          <w:sz w:val="24"/>
        </w:rPr>
      </w:pPr>
      <w:r>
        <w:rPr>
          <w:rFonts w:ascii="Times New Roman;serif" w:hAnsi="Times New Roman;serif"/>
          <w:b w:val="false"/>
          <w:color w:val="000000"/>
          <w:sz w:val="24"/>
        </w:rPr>
        <w:t>Signature</w:t>
      </w:r>
    </w:p>
    <w:p>
      <w:pPr>
        <w:pStyle w:val="TextBody"/>
        <w:bidi w:val="0"/>
        <w:spacing w:before="0" w:after="0"/>
        <w:jc w:val="both"/>
        <w:rPr/>
      </w:pPr>
      <w:r>
        <w:rPr/>
      </w:r>
    </w:p>
    <w:p>
      <w:pPr>
        <w:pStyle w:val="TextBody"/>
        <w:bidi w:val="0"/>
        <w:spacing w:lineRule="auto" w:line="300" w:before="0" w:after="0"/>
        <w:ind w:left="0" w:right="0" w:firstLine="72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F. Philip Snow</w:t>
      </w:r>
    </w:p>
    <w:p>
      <w:pPr>
        <w:pStyle w:val="TextBody"/>
        <w:bidi w:val="0"/>
        <w:spacing w:lineRule="auto" w:line="300"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Print Name</w:t>
      </w:r>
    </w:p>
    <w:p>
      <w:pPr>
        <w:pStyle w:val="TextBody"/>
        <w:bidi w:val="0"/>
        <w:spacing w:before="0" w:after="0"/>
        <w:ind w:left="0" w:right="0" w:hanging="90"/>
        <w:jc w:val="both"/>
        <w:rPr/>
      </w:pPr>
      <w:r>
        <w:rPr/>
      </w:r>
    </w:p>
    <w:p>
      <w:pPr>
        <w:pStyle w:val="TextBody"/>
        <w:bidi w:val="0"/>
        <w:spacing w:lineRule="auto" w:line="300"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FactSet Research Systems Inc</w:t>
      </w:r>
    </w:p>
    <w:p>
      <w:pPr>
        <w:pStyle w:val="TextBody"/>
        <w:bidi w:val="0"/>
        <w:spacing w:lineRule="auto" w:line="300" w:before="0" w:after="0"/>
        <w:ind w:left="0" w:right="0" w:firstLine="72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/s/ CHRISTOPHER MCLOUGHLIN</w:t>
      </w:r>
    </w:p>
    <w:p>
      <w:pPr>
        <w:pStyle w:val="TextBody"/>
        <w:bidi w:val="0"/>
        <w:spacing w:lineRule="auto" w:line="300"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Signature</w:t>
      </w:r>
    </w:p>
    <w:p>
      <w:pPr>
        <w:pStyle w:val="TextBody"/>
        <w:bidi w:val="0"/>
        <w:spacing w:before="0" w:after="0"/>
        <w:ind w:left="0" w:right="0" w:hanging="9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Christopher McLoughlin</w:t>
      </w:r>
    </w:p>
    <w:p>
      <w:pPr>
        <w:pStyle w:val="TextBody"/>
        <w:bidi w:val="0"/>
        <w:spacing w:lineRule="auto" w:line="300"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Authorized Individual</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 10.13</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10</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center"/>
        <w:rPr/>
      </w:pPr>
      <w:r>
        <w:rPr>
          <w:rFonts w:ascii="Times New Roman;serif" w:hAnsi="Times New Roman;serif"/>
          <w:b/>
          <w:color w:val="000000"/>
          <w:sz w:val="24"/>
        </w:rPr>
        <w:t>APPENDIX A</w:t>
      </w:r>
      <w:r>
        <w:rPr>
          <w:rFonts w:ascii="Times New Roman;serif" w:hAnsi="Times New Roman;serif"/>
          <w:b/>
          <w:color w:val="000000"/>
          <w:sz w:val="16"/>
        </w:rPr>
        <w:t>1</w:t>
      </w:r>
    </w:p>
    <w:p>
      <w:pPr>
        <w:pStyle w:val="TextBody"/>
        <w:bidi w:val="0"/>
        <w:spacing w:before="0" w:after="0"/>
        <w:jc w:val="left"/>
        <w:rPr/>
      </w:pPr>
      <w:r>
        <w:rPr/>
      </w:r>
    </w:p>
    <w:p>
      <w:pPr>
        <w:pStyle w:val="TextBody"/>
        <w:bidi w:val="0"/>
        <w:spacing w:lineRule="auto" w:line="300" w:before="0" w:after="0"/>
        <w:jc w:val="center"/>
        <w:rPr>
          <w:rFonts w:ascii="Times New Roman;serif" w:hAnsi="Times New Roman;serif"/>
          <w:b/>
          <w:color w:val="000000"/>
          <w:sz w:val="24"/>
          <w:u w:val="single"/>
        </w:rPr>
      </w:pPr>
      <w:r>
        <w:rPr>
          <w:rFonts w:ascii="Times New Roman;serif" w:hAnsi="Times New Roman;serif"/>
          <w:b/>
          <w:color w:val="000000"/>
          <w:sz w:val="24"/>
          <w:u w:val="single"/>
        </w:rPr>
        <w:t>OUTSTANDING EQUITY AWARDS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35"/>
        <w:gridCol w:w="293"/>
        <w:gridCol w:w="296"/>
        <w:gridCol w:w="638"/>
        <w:gridCol w:w="638"/>
        <w:gridCol w:w="640"/>
        <w:gridCol w:w="703"/>
        <w:gridCol w:w="703"/>
        <w:gridCol w:w="706"/>
        <w:gridCol w:w="1535"/>
        <w:gridCol w:w="1535"/>
        <w:gridCol w:w="2183"/>
      </w:tblGrid>
      <w:tr>
        <w:trPr/>
        <w:tc>
          <w:tcPr>
            <w:tcW w:w="33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r>
      <w:tr>
        <w:trPr/>
        <w:tc>
          <w:tcPr>
            <w:tcW w:w="924"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Grant Date</w:t>
            </w:r>
          </w:p>
        </w:tc>
        <w:tc>
          <w:tcPr>
            <w:tcW w:w="1916"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Vested Stock Options (#)</w:t>
            </w:r>
          </w:p>
        </w:tc>
        <w:tc>
          <w:tcPr>
            <w:tcW w:w="2112"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Unvested Stock Options (#)</w:t>
            </w:r>
          </w:p>
        </w:tc>
        <w:tc>
          <w:tcPr>
            <w:tcW w:w="5253" w:type="dxa"/>
            <w:gridSpan w:val="3"/>
            <w:tcBorders>
              <w:top w:val="single" w:sz="8" w:space="0" w:color="000000"/>
              <w:left w:val="single" w:sz="8" w:space="0" w:color="000000"/>
              <w:right w:val="single" w:sz="8" w:space="0" w:color="000000"/>
            </w:tcBorders>
            <w:shd w:fill="DBDBDB"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Unvested Performance Share Units Assuming Maximum Performance (#)</w:t>
            </w:r>
          </w:p>
        </w:tc>
      </w:tr>
      <w:tr>
        <w:trPr/>
        <w:tc>
          <w:tcPr>
            <w:tcW w:w="9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11/1/16</w:t>
            </w:r>
          </w:p>
        </w:tc>
        <w:tc>
          <w:tcPr>
            <w:tcW w:w="1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11,961</w:t>
            </w:r>
          </w:p>
        </w:tc>
        <w:tc>
          <w:tcPr>
            <w:tcW w:w="21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2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92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11/2/17</w:t>
            </w:r>
          </w:p>
        </w:tc>
        <w:tc>
          <w:tcPr>
            <w:tcW w:w="191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31,075</w:t>
            </w:r>
          </w:p>
        </w:tc>
        <w:tc>
          <w:tcPr>
            <w:tcW w:w="211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253"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92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11/1/18</w:t>
            </w:r>
          </w:p>
        </w:tc>
        <w:tc>
          <w:tcPr>
            <w:tcW w:w="191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26,422</w:t>
            </w:r>
          </w:p>
        </w:tc>
        <w:tc>
          <w:tcPr>
            <w:tcW w:w="211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253"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92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11/1/19</w:t>
            </w:r>
          </w:p>
        </w:tc>
        <w:tc>
          <w:tcPr>
            <w:tcW w:w="191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24,922</w:t>
            </w:r>
          </w:p>
        </w:tc>
        <w:tc>
          <w:tcPr>
            <w:tcW w:w="211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253"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92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11/9/20</w:t>
            </w:r>
          </w:p>
        </w:tc>
        <w:tc>
          <w:tcPr>
            <w:tcW w:w="191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17,896</w:t>
            </w:r>
          </w:p>
        </w:tc>
        <w:tc>
          <w:tcPr>
            <w:tcW w:w="211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4,474</w:t>
            </w:r>
          </w:p>
        </w:tc>
        <w:tc>
          <w:tcPr>
            <w:tcW w:w="5253"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92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11/1/21</w:t>
            </w:r>
          </w:p>
        </w:tc>
        <w:tc>
          <w:tcPr>
            <w:tcW w:w="191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13,182</w:t>
            </w:r>
          </w:p>
        </w:tc>
        <w:tc>
          <w:tcPr>
            <w:tcW w:w="211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8,791</w:t>
            </w:r>
          </w:p>
        </w:tc>
        <w:tc>
          <w:tcPr>
            <w:tcW w:w="5253"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92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11/1/22</w:t>
            </w:r>
          </w:p>
        </w:tc>
        <w:tc>
          <w:tcPr>
            <w:tcW w:w="191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7,960</w:t>
            </w:r>
          </w:p>
        </w:tc>
        <w:tc>
          <w:tcPr>
            <w:tcW w:w="211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11,942</w:t>
            </w:r>
          </w:p>
        </w:tc>
        <w:tc>
          <w:tcPr>
            <w:tcW w:w="5253"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9,030</w:t>
            </w:r>
          </w:p>
        </w:tc>
      </w:tr>
      <w:tr>
        <w:trPr/>
        <w:tc>
          <w:tcPr>
            <w:tcW w:w="92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11/1/23</w:t>
            </w:r>
          </w:p>
        </w:tc>
        <w:tc>
          <w:tcPr>
            <w:tcW w:w="191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4,525</w:t>
            </w:r>
          </w:p>
        </w:tc>
        <w:tc>
          <w:tcPr>
            <w:tcW w:w="211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18,100</w:t>
            </w:r>
          </w:p>
        </w:tc>
        <w:tc>
          <w:tcPr>
            <w:tcW w:w="5253"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14,130</w:t>
            </w:r>
          </w:p>
        </w:tc>
      </w:tr>
      <w:tr>
        <w:trPr/>
        <w:tc>
          <w:tcPr>
            <w:tcW w:w="924"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11/1/24</w:t>
            </w:r>
          </w:p>
        </w:tc>
        <w:tc>
          <w:tcPr>
            <w:tcW w:w="1916"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2112"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28,175</w:t>
            </w:r>
          </w:p>
        </w:tc>
        <w:tc>
          <w:tcPr>
            <w:tcW w:w="5253"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16,818</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46"/>
        <w:gridCol w:w="656"/>
        <w:gridCol w:w="656"/>
        <w:gridCol w:w="656"/>
        <w:gridCol w:w="656"/>
        <w:gridCol w:w="656"/>
        <w:gridCol w:w="656"/>
        <w:gridCol w:w="656"/>
        <w:gridCol w:w="656"/>
        <w:gridCol w:w="656"/>
        <w:gridCol w:w="656"/>
        <w:gridCol w:w="656"/>
        <w:gridCol w:w="656"/>
        <w:gridCol w:w="656"/>
        <w:gridCol w:w="931"/>
      </w:tblGrid>
      <w:tr>
        <w:trPr/>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1 The table below is illustrative and reflects Mr. Snow’s outstanding, unexercised awards as of the date of this Agreement and does not reflect the effect of currently scheduled exercises and sales that are expected to occur after the date of this Agreement.</w:t>
            </w:r>
          </w:p>
        </w:tc>
      </w:tr>
    </w:tbl>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 10.13</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center"/>
        <w:rPr>
          <w:rFonts w:ascii="Times New Roman;serif" w:hAnsi="Times New Roman;serif"/>
          <w:b/>
          <w:color w:val="000000"/>
          <w:sz w:val="22"/>
        </w:rPr>
      </w:pPr>
      <w:r>
        <w:rPr>
          <w:rFonts w:ascii="Times New Roman;serif" w:hAnsi="Times New Roman;serif"/>
          <w:b/>
          <w:color w:val="000000"/>
          <w:sz w:val="22"/>
        </w:rPr>
        <w:t>APPENDIX B</w:t>
      </w:r>
    </w:p>
    <w:p>
      <w:pPr>
        <w:pStyle w:val="TextBody"/>
        <w:bidi w:val="0"/>
        <w:spacing w:before="0" w:after="0"/>
        <w:jc w:val="center"/>
        <w:rPr/>
      </w:pPr>
      <w:r>
        <w:rPr/>
      </w:r>
    </w:p>
    <w:p>
      <w:pPr>
        <w:pStyle w:val="TextBody"/>
        <w:bidi w:val="0"/>
        <w:spacing w:lineRule="auto" w:line="300" w:before="0" w:after="0"/>
        <w:jc w:val="center"/>
        <w:rPr>
          <w:rFonts w:ascii="Times New Roman;serif" w:hAnsi="Times New Roman;serif"/>
          <w:b/>
          <w:color w:val="000000"/>
          <w:sz w:val="22"/>
          <w:u w:val="single"/>
        </w:rPr>
      </w:pPr>
      <w:r>
        <w:rPr>
          <w:rFonts w:ascii="Times New Roman;serif" w:hAnsi="Times New Roman;serif"/>
          <w:b/>
          <w:color w:val="000000"/>
          <w:sz w:val="22"/>
          <w:u w:val="single"/>
        </w:rPr>
        <w:t>Second Release</w:t>
      </w:r>
    </w:p>
    <w:p>
      <w:pPr>
        <w:pStyle w:val="TextBody"/>
        <w:bidi w:val="0"/>
        <w:spacing w:before="0" w:after="0"/>
        <w:jc w:val="center"/>
        <w:rPr/>
      </w:pPr>
      <w:r>
        <w:rPr/>
      </w:r>
    </w:p>
    <w:p>
      <w:pPr>
        <w:pStyle w:val="TextBody"/>
        <w:bidi w:val="0"/>
        <w:spacing w:lineRule="auto" w:line="300" w:before="0" w:after="0"/>
        <w:jc w:val="both"/>
        <w:rPr/>
      </w:pPr>
      <w:r>
        <w:rPr>
          <w:rFonts w:ascii="Times New Roman;serif" w:hAnsi="Times New Roman;serif"/>
          <w:b w:val="false"/>
          <w:color w:val="000000"/>
          <w:sz w:val="22"/>
        </w:rPr>
        <w:t>This release (this “</w:t>
      </w:r>
      <w:r>
        <w:rPr>
          <w:rFonts w:ascii="Times New Roman;serif" w:hAnsi="Times New Roman;serif"/>
          <w:b w:val="false"/>
          <w:color w:val="000000"/>
          <w:sz w:val="22"/>
          <w:u w:val="single"/>
        </w:rPr>
        <w:t>Second Release</w:t>
      </w:r>
      <w:r>
        <w:rPr>
          <w:color w:val="000000"/>
        </w:rPr>
        <w:t>”</w:t>
      </w:r>
      <w:r>
        <w:rPr>
          <w:rFonts w:ascii="Times New Roman;serif" w:hAnsi="Times New Roman;serif"/>
          <w:b w:val="false"/>
          <w:color w:val="000000"/>
          <w:sz w:val="22"/>
        </w:rPr>
        <w:t>) is made by F. Philip Snow (“</w:t>
      </w:r>
      <w:r>
        <w:rPr>
          <w:rFonts w:ascii="Times New Roman;serif" w:hAnsi="Times New Roman;serif"/>
          <w:b w:val="false"/>
          <w:color w:val="000000"/>
          <w:sz w:val="22"/>
          <w:u w:val="single"/>
        </w:rPr>
        <w:t>Executive</w:t>
      </w:r>
      <w:r>
        <w:rPr>
          <w:color w:val="000000"/>
        </w:rPr>
        <w:t>”</w:t>
      </w:r>
      <w:r>
        <w:rPr>
          <w:rFonts w:ascii="Times New Roman;serif" w:hAnsi="Times New Roman;serif"/>
          <w:b w:val="false"/>
          <w:color w:val="000000"/>
          <w:sz w:val="22"/>
        </w:rPr>
        <w:t>) as of the date set forth below in connection with the Retirement Agreement and General Release of Claims between Executive and FactSet Research Systems Inc.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made August ________, 2025 (the “</w:t>
      </w:r>
      <w:r>
        <w:rPr>
          <w:rFonts w:ascii="Times New Roman;serif" w:hAnsi="Times New Roman;serif"/>
          <w:b w:val="false"/>
          <w:color w:val="000000"/>
          <w:sz w:val="22"/>
          <w:u w:val="single"/>
        </w:rPr>
        <w:t>Retirement Agreement</w:t>
      </w:r>
      <w:r>
        <w:rPr>
          <w:color w:val="000000"/>
        </w:rPr>
        <w:t>”</w:t>
      </w:r>
      <w:r>
        <w:rPr>
          <w:rFonts w:ascii="Times New Roman;serif" w:hAnsi="Times New Roman;serif"/>
          <w:b w:val="false"/>
          <w:color w:val="000000"/>
          <w:sz w:val="22"/>
        </w:rPr>
        <w:t xml:space="preserve">), and in association with the termination of Executive’s employment with the Company. Capitalized terms used and not defined herein shall have the meaning ascribed to them in the Retirement Agreement. </w:t>
      </w:r>
    </w:p>
    <w:p>
      <w:pPr>
        <w:pStyle w:val="TextBody"/>
        <w:bidi w:val="0"/>
        <w:spacing w:before="0" w:after="0"/>
        <w:jc w:val="both"/>
        <w:rPr/>
      </w:pPr>
      <w:r>
        <w:rPr/>
      </w:r>
    </w:p>
    <w:p>
      <w:pPr>
        <w:pStyle w:val="TextBody"/>
        <w:bidi w:val="0"/>
        <w:spacing w:lineRule="auto" w:line="300" w:before="0" w:after="0"/>
        <w:ind w:left="0" w:right="0" w:hanging="810"/>
        <w:jc w:val="both"/>
        <w:rPr/>
      </w:pPr>
      <w:r>
        <w:rPr>
          <w:rFonts w:ascii="Times New Roman;serif" w:hAnsi="Times New Roman;serif"/>
          <w:b w:val="false"/>
          <w:color w:val="000000"/>
          <w:sz w:val="22"/>
        </w:rPr>
        <w:t>1.In consideration of payments to be made to Executive and other benefits to be received by Executive pursuant to the Retirement Agreement, Executive, being of lawful age, irrevocably and unconditionally releases (i.e., gives up), acquits and forever discharges all known and unknown claims, promises, causes of action, charges, complaints, demands, liabilities, obligations, agreements, controversies, damages, suits, entitlements, costs, losses, debts and expenses (including attorneys’ fees and legal expenses) or similar rights of any type that Executive ever had, now has, or may hereafter claim to have (“</w:t>
      </w:r>
      <w:r>
        <w:rPr>
          <w:rFonts w:ascii="Times New Roman;serif" w:hAnsi="Times New Roman;serif"/>
          <w:b w:val="false"/>
          <w:color w:val="000000"/>
          <w:sz w:val="22"/>
          <w:u w:val="single"/>
        </w:rPr>
        <w:t>Claims</w:t>
      </w:r>
      <w:r>
        <w:rPr>
          <w:color w:val="000000"/>
        </w:rPr>
        <w:t>”</w:t>
      </w:r>
      <w:r>
        <w:rPr>
          <w:rFonts w:ascii="Times New Roman;serif" w:hAnsi="Times New Roman;serif"/>
          <w:b w:val="false"/>
          <w:color w:val="000000"/>
          <w:sz w:val="22"/>
        </w:rPr>
        <w:t>) with respect to the Company and all other Released Parties arising from the beginning of time up to the date Executive executes this Second Release. Executive understands that Executive is not releasing future rights or claims, meaning rights or claims that arise after the date that Executive executes and delivers this Second Release. Executive understands that the Claims Executive is releasing might arise under many different federal, state, local or non-U.S. laws (including statutes, regulations, other administrative guidance, and common law doctrines). Without limiting the generality of the foregoing, Executive acknowledges that Executive knowingly and voluntarily waives and releases any and all Claims under the Age Discrimination in Employment Act (the “</w:t>
      </w:r>
      <w:r>
        <w:rPr>
          <w:rFonts w:ascii="Times New Roman;serif" w:hAnsi="Times New Roman;serif"/>
          <w:b w:val="false"/>
          <w:color w:val="000000"/>
          <w:sz w:val="22"/>
          <w:u w:val="single"/>
        </w:rPr>
        <w:t>ADEA</w:t>
      </w:r>
      <w:r>
        <w:rPr>
          <w:color w:val="000000"/>
        </w:rPr>
        <w:t>”</w:t>
      </w:r>
      <w:r>
        <w:rPr>
          <w:rFonts w:ascii="Times New Roman;serif" w:hAnsi="Times New Roman;serif"/>
          <w:b w:val="false"/>
          <w:color w:val="000000"/>
          <w:sz w:val="22"/>
        </w:rPr>
        <w:t xml:space="preserve">) and Executive Order 11,141, which prohibit age discrimination in employment, as well as all Claims under the following: </w:t>
      </w:r>
    </w:p>
    <w:p>
      <w:pPr>
        <w:pStyle w:val="TextBody"/>
        <w:bidi w:val="0"/>
        <w:spacing w:before="0" w:after="0"/>
        <w:ind w:left="0" w:right="0" w:hanging="45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     Anti-discrimination statutes, such as Title VII of the Civil Rights Act of 1964, Sections 1981 and 1983 of the Civil Rights Act of 1866, and Executive Order 11,246, which prohibit discrimination based on race, color, national origin, religion, or sex; the Equal Pay Act, which prohibits paying men and women unequal pay for equal work; the Americans With Disabilities Act and Sections 503 and 504 of the Rehabilitation Act of 1973, which prohibit discrimination based on disability; the Genetic Information Nondiscrimination Act of 2008, which prohibits discrimination based on genetic information; and any other federal, state, local or non-U.S. laws prohibiting discrimination in employment based on a protected category, such as actual or perceived race, religion, color, national origin, ancestry, physical or mental disability, medical condition, genetic information, marital status, sex, sexual orientation, or association with a person who has, or is perceived to have, any of those characteristics; </w:t>
      </w:r>
    </w:p>
    <w:p>
      <w:pPr>
        <w:pStyle w:val="TextBody"/>
        <w:bidi w:val="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 10.13</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12</w:t>
                      </w:r>
                    </w:p>
                  </w:txbxContent>
                </v:textbox>
                <w10:wrap type="none"/>
              </v:rect>
            </w:pict>
          </mc:Fallback>
        </mc:AlternateConten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    Federal employment statutes, such as the Worker Adjustment and Retraining Notification Act, which requires that advance notice be given of certain work force reductions; the Employee Retirement Income Security Act of 1974, </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which, among other things, protects employee benefits; and any other federal laws relating to employment, such as veterans’ reemployment rights laws; and </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(c)    Other laws, such as any federal, state, local or non-U.S. laws mandating leaves of absence, restricting an employer’s right to terminate employees, or otherwise regulating employment; any federal, state, local or non-U.S. law enforcing express or implied employment contracts or requiring an employer to deal with employees fairly or in good faith; any other federal, state, local or non U.S. laws providing recourse for alleged wrongful discharge, tort, physical or personal injury, emotional distress, fraud, negligent misrepresentation, defamation, and similar or related claims; any other law relating to salary, commission, compensation, benefits, and other matters; and family and medical leave laws. </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Examples of released Claims include, but are not limited to the following (except to the extent explicitly preserved by Section 4(b) of the Retirement Agreement): (i) Claims that in any way relate to or arose during Executive’s employment with the Company, or the termination of that employment, such as Claims for compensation, bonuses, commissions, lost wages, or unused accrued vacation or sick pay; (ii) Claims that in any way relate to the design or administration of any employee benefit program; (iii) Claims that Executive has irrevocable or vested rights to severance or similar benefits or to post-employment health or group insurance benefits; (iv) any Claims to attorneys’ fees or other indemnities (such as under the Civil Rights Attorneys’ Fees Act), with respect to Claims Executive is releasing; or (v) Claims under the Connecticut Human Rights and Opportunities Law, the Connecticut Family and Medical Leave Law, the Connecticut Age Discrimination and Employee Insurance Benefits Law, and the Connecticut Smokers’ Rights Law. </w:t>
      </w:r>
    </w:p>
    <w:p>
      <w:pPr>
        <w:pStyle w:val="TextBody"/>
        <w:bidi w:val="0"/>
        <w:spacing w:before="0" w:after="0"/>
        <w:jc w:val="both"/>
        <w:rPr/>
      </w:pPr>
      <w:r>
        <w:rPr/>
      </w:r>
    </w:p>
    <w:p>
      <w:pPr>
        <w:pStyle w:val="TextBody"/>
        <w:bidi w:val="0"/>
        <w:spacing w:lineRule="auto" w:line="300"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 xml:space="preserve">2.    Notwithstanding anything to the contrary, nothing in this Second Release shall constitute a release of any rights of Executive that are preserved pursuant to Section 4(b) of the Retirement Agreement, and nothing herein shall prohibit or restrict Executive from taking any actions permitted by Section 6(d) of the Retirement Agreement. In addition, nothing in this Second Release shall prohibit or restrict Executive from challenging the knowing and voluntary nature of Executive’s release of claims under the ADEA pursuant to the Older Workers Benefit Protection Act. </w:t>
      </w:r>
    </w:p>
    <w:p>
      <w:pPr>
        <w:pStyle w:val="TextBody"/>
        <w:bidi w:val="0"/>
        <w:spacing w:before="0" w:after="0"/>
        <w:ind w:left="0" w:right="0" w:hanging="630"/>
        <w:jc w:val="both"/>
        <w:rPr/>
      </w:pPr>
      <w:r>
        <w:rPr/>
      </w:r>
    </w:p>
    <w:p>
      <w:pPr>
        <w:pStyle w:val="TextBody"/>
        <w:bidi w:val="0"/>
        <w:spacing w:lineRule="auto" w:line="30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 xml:space="preserve">3.    Executive acknowledges that, before signing this Second Release, Executive was given at least 21 days in which to consider this Second Release. Executive waives any right Executive might have to additional time within which to consider this Second Release. Executive further acknowledges that: (1) Executive took advantage of the time Executive was given to consider this Second Release before signing it; (2) Executive carefully read this Second Release; (3) Executive fully understands it; (4) Executive is entering into it voluntarily; (5) Executive is receiving valuable consideration in exchange for Executive’s execution of this Second Release that Executive would not otherwise be entitled to receive; (6) the Company, by this writing, encouraged Executive to discuss this Second Release with Executive’s attorney (at Executive’s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 10.13</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13</w:t>
                      </w:r>
                    </w:p>
                  </w:txbxContent>
                </v:textbox>
                <w10:wrap type="none"/>
              </v:rect>
            </w:pict>
          </mc:Fallback>
        </mc:AlternateConten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own expense) before signing it, and that Executive did so to the extent Executive deemed appropriate; and (7) any changes made to this Second Release, whether material or immaterial, will not restart the 21-day consideration period. Executive understands that Executive is entitled to revoke this Second Release, in writing, within 7 days once Executive signs it. Such revocation must be delivered to the Company as provided herein within the 7 day period, in which case Executive will not be entitled to receive the Equity Award Treatment. If Executive does not revoke this Second Release, it will become enforceable on the eighth day after Executive signs it. The Company need not sign this Second Release for it to become effective and irrevocable.</w:t>
      </w:r>
    </w:p>
    <w:p>
      <w:pPr>
        <w:pStyle w:val="TextBody"/>
        <w:bidi w:val="0"/>
        <w:spacing w:before="0" w:after="0"/>
        <w:jc w:val="both"/>
        <w:rPr/>
      </w:pPr>
      <w:r>
        <w:rPr/>
      </w:r>
    </w:p>
    <w:p>
      <w:pPr>
        <w:pStyle w:val="TextBody"/>
        <w:bidi w:val="0"/>
        <w:spacing w:lineRule="auto" w:line="300" w:before="0" w:after="0"/>
        <w:jc w:val="center"/>
        <w:rPr>
          <w:rFonts w:ascii="Times New Roman;serif" w:hAnsi="Times New Roman;serif"/>
          <w:b w:val="false"/>
          <w:i/>
          <w:color w:val="000000"/>
          <w:sz w:val="22"/>
        </w:rPr>
      </w:pPr>
      <w:r>
        <w:rPr>
          <w:rFonts w:ascii="Times New Roman;serif" w:hAnsi="Times New Roman;serif"/>
          <w:b w:val="false"/>
          <w:i/>
          <w:color w:val="000000"/>
          <w:sz w:val="22"/>
        </w:rPr>
        <w:t>(remainder of page left intentionally blank)</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 10.13</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14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52"/>
        <w:gridCol w:w="659"/>
        <w:gridCol w:w="659"/>
        <w:gridCol w:w="659"/>
        <w:gridCol w:w="659"/>
        <w:gridCol w:w="659"/>
        <w:gridCol w:w="659"/>
        <w:gridCol w:w="659"/>
        <w:gridCol w:w="659"/>
        <w:gridCol w:w="659"/>
        <w:gridCol w:w="659"/>
        <w:gridCol w:w="659"/>
        <w:gridCol w:w="659"/>
        <w:gridCol w:w="659"/>
        <w:gridCol w:w="726"/>
        <w:gridCol w:w="160"/>
      </w:tblGrid>
      <w:tr>
        <w:trPr/>
        <w:tc>
          <w:tcPr>
            <w:tcW w:w="75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045" w:type="dxa"/>
            <w:gridSpan w:val="15"/>
            <w:vMerge w:val="restart"/>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48" w:before="0" w:after="0"/>
              <w:jc w:val="both"/>
              <w:rPr>
                <w:rFonts w:ascii="Times New Roman;serif" w:hAnsi="Times New Roman;serif"/>
                <w:b/>
                <w:color w:val="000000"/>
                <w:sz w:val="20"/>
              </w:rPr>
            </w:pPr>
            <w:r>
              <w:rPr>
                <w:rFonts w:ascii="Times New Roman;serif" w:hAnsi="Times New Roman;serif"/>
                <w:b/>
                <w:color w:val="000000"/>
                <w:sz w:val="20"/>
              </w:rPr>
              <w:t xml:space="preserve">BEFORE SIGNING THIS SECOND RELEASE, EXECUTIVE MAY TAKE IT HOME, READ IT, AND CAREFULLY CONSIDER IT, INCLUDING, IF EXECUTIVE CHOOSES, TO DISCUSS IT WITH HIS ATTORNEY (AT HIS OWN EXPENSE). EXECUTIVE HAS 21 DAYS FOLLOWING THE RETIREMENT DATE TO CONSIDER THIS SECOND RELEASE. IF EXECUTIVE DOES NOT SIGN AND RETURN THIS SECOND RELEASE WITHIN THIS 21-DAY PERIOD, IT IS AUTOMATICALLY VOID, AND EXECUTIVE IS NOT ENTITLED TO THE EQUITY AWARD TREATMENT. ANY CHANGES TO THIS SECOND RELEASE FOLLOWING THE TERMINATION DATE, WHETHER MATERIAL OR IMMATERIAL, WILL NOT RESTART THE 21-DAY CONSIDERATION PERIOD. </w:t>
            </w:r>
          </w:p>
          <w:p>
            <w:pPr>
              <w:pStyle w:val="TableContents"/>
              <w:bidi w:val="0"/>
              <w:spacing w:before="0" w:after="0"/>
              <w:jc w:val="both"/>
              <w:rPr/>
            </w:pPr>
            <w:r>
              <w:rPr/>
            </w:r>
          </w:p>
          <w:p>
            <w:pPr>
              <w:pStyle w:val="TableContents"/>
              <w:bidi w:val="0"/>
              <w:spacing w:lineRule="auto" w:line="348" w:before="0" w:after="0"/>
              <w:jc w:val="both"/>
              <w:rPr>
                <w:rFonts w:ascii="Times New Roman;serif" w:hAnsi="Times New Roman;serif"/>
                <w:b/>
                <w:color w:val="000000"/>
                <w:sz w:val="20"/>
              </w:rPr>
            </w:pPr>
            <w:r>
              <w:rPr>
                <w:rFonts w:ascii="Times New Roman;serif" w:hAnsi="Times New Roman;serif"/>
                <w:b/>
                <w:color w:val="000000"/>
                <w:sz w:val="20"/>
              </w:rPr>
              <w:t>ONCE EXECUTIVE SIGNS THIS SECOND RELEASE, EXECUTIVE WILL HAVE AN ADDITIONAL 7 DAYS TO REVOKE IT. IF EXECUTIVE CHOOSES TO REVOKE THIS SECOND RELEASE, HE MUST DELIVER A WRITTEN NOTICE OF REVOCATION TO:</w:t>
            </w:r>
          </w:p>
          <w:p>
            <w:pPr>
              <w:pStyle w:val="TableContents"/>
              <w:bidi w:val="0"/>
              <w:spacing w:before="0" w:after="0"/>
              <w:jc w:val="both"/>
              <w:rPr/>
            </w:pPr>
            <w:r>
              <w:rPr/>
            </w:r>
          </w:p>
          <w:p>
            <w:pPr>
              <w:pStyle w:val="TableContents"/>
              <w:bidi w:val="0"/>
              <w:spacing w:lineRule="auto" w:line="348" w:before="0" w:after="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CHIEF LEGAL OFFICER</w:t>
            </w:r>
          </w:p>
          <w:p>
            <w:pPr>
              <w:pStyle w:val="TableContents"/>
              <w:bidi w:val="0"/>
              <w:spacing w:lineRule="auto" w:line="348" w:before="0" w:after="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FACTSET RESEARCH SYSTEMS INC.</w:t>
            </w:r>
          </w:p>
          <w:p>
            <w:pPr>
              <w:pStyle w:val="TableContents"/>
              <w:bidi w:val="0"/>
              <w:spacing w:lineRule="auto" w:line="348" w:before="0" w:after="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45 GLOVER AVENUE, NORWALK, CT 06850</w:t>
            </w:r>
          </w:p>
          <w:p>
            <w:pPr>
              <w:pStyle w:val="TableContents"/>
              <w:bidi w:val="0"/>
              <w:spacing w:before="0" w:after="0"/>
              <w:ind w:left="0" w:right="0" w:firstLine="720"/>
              <w:jc w:val="both"/>
              <w:rPr/>
            </w:pPr>
            <w:r>
              <w:rPr/>
            </w:r>
          </w:p>
          <w:p>
            <w:pPr>
              <w:pStyle w:val="TableContents"/>
              <w:bidi w:val="0"/>
              <w:spacing w:lineRule="auto" w:line="348" w:before="0" w:after="0"/>
              <w:jc w:val="both"/>
              <w:rPr>
                <w:rFonts w:ascii="Times New Roman;serif" w:hAnsi="Times New Roman;serif"/>
                <w:b/>
                <w:color w:val="000000"/>
                <w:sz w:val="22"/>
              </w:rPr>
            </w:pPr>
            <w:r>
              <w:rPr>
                <w:rFonts w:ascii="Times New Roman;serif" w:hAnsi="Times New Roman;serif"/>
                <w:b/>
                <w:color w:val="000000"/>
                <w:sz w:val="22"/>
              </w:rPr>
              <w:t>BY SIGNING THIS SECOND RELEASE, EXECUTIVE WILL BE WAIVING HIS KNOWN AND UNKNOWN CLAIMS.</w:t>
            </w:r>
          </w:p>
          <w:p>
            <w:pPr>
              <w:pStyle w:val="TableContents"/>
              <w:bidi w:val="0"/>
              <w:spacing w:before="0" w:after="0"/>
              <w:jc w:val="both"/>
              <w:rPr/>
            </w:pPr>
            <w:r>
              <w:rPr/>
            </w:r>
          </w:p>
        </w:tc>
        <w:tc>
          <w:tcPr>
            <w:tcW w:w="160" w:type="dxa"/>
            <w:tcBorders/>
          </w:tcPr>
          <w:p>
            <w:pPr>
              <w:pStyle w:val="TableContents"/>
              <w:bidi w:val="0"/>
              <w:spacing w:before="0" w:after="283"/>
              <w:jc w:val="left"/>
              <w:rPr>
                <w:sz w:val="4"/>
                <w:szCs w:val="4"/>
              </w:rPr>
            </w:pPr>
            <w:r>
              <w:rPr>
                <w:sz w:val="4"/>
                <w:szCs w:val="4"/>
              </w:rPr>
            </w:r>
          </w:p>
        </w:tc>
      </w:tr>
      <w:tr>
        <w:trPr/>
        <w:tc>
          <w:tcPr>
            <w:tcW w:w="10045" w:type="dxa"/>
            <w:gridSpan w:val="15"/>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045" w:type="dxa"/>
            <w:gridSpan w:val="15"/>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045" w:type="dxa"/>
            <w:gridSpan w:val="15"/>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045" w:type="dxa"/>
            <w:gridSpan w:val="15"/>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045" w:type="dxa"/>
            <w:gridSpan w:val="15"/>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045" w:type="dxa"/>
            <w:gridSpan w:val="15"/>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300" w:before="0" w:after="0"/>
        <w:jc w:val="both"/>
        <w:rPr>
          <w:rFonts w:ascii="Times New Roman;serif" w:hAnsi="Times New Roman;serif"/>
          <w:b w:val="false"/>
          <w:color w:val="000000"/>
          <w:sz w:val="24"/>
        </w:rPr>
      </w:pPr>
      <w:r>
        <w:rPr>
          <w:rFonts w:ascii="Times New Roman;serif" w:hAnsi="Times New Roman;serif"/>
          <w:b w:val="false"/>
          <w:color w:val="000000"/>
          <w:sz w:val="24"/>
        </w:rPr>
        <w:t>Executed on this _______day of ___________, 20____, and signed under penalty of perjury under the laws of the state of Connecticut.</w:t>
      </w:r>
    </w:p>
    <w:p>
      <w:pPr>
        <w:pStyle w:val="TextBody"/>
        <w:bidi w:val="0"/>
        <w:spacing w:before="0" w:after="0"/>
        <w:jc w:val="both"/>
        <w:rPr/>
      </w:pPr>
      <w:r>
        <w:rPr/>
      </w:r>
    </w:p>
    <w:p>
      <w:pPr>
        <w:pStyle w:val="TextBody"/>
        <w:bidi w:val="0"/>
        <w:spacing w:before="0" w:after="0"/>
        <w:jc w:val="both"/>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Signature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Print Name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15</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w:t>
      </w:r>
    </w:p>
    <w:p>
      <w:pPr>
        <w:pStyle w:val="TextBody"/>
        <w:bidi w:val="0"/>
        <w:spacing w:lineRule="auto" w:line="276" w:before="0" w:after="0"/>
        <w:ind w:left="0" w:right="0" w:firstLine="3150"/>
        <w:jc w:val="left"/>
        <w:rPr>
          <w:rFonts w:ascii="Times New Roman;serif" w:hAnsi="Times New Roman;serif"/>
          <w:b/>
          <w:color w:val="000000"/>
          <w:sz w:val="18"/>
        </w:rPr>
      </w:pPr>
      <w:r>
        <w:rPr>
          <w:rFonts w:ascii="Times New Roman;serif" w:hAnsi="Times New Roman;serif"/>
          <w:b/>
          <w:color w:val="000000"/>
          <w:sz w:val="18"/>
        </w:rPr>
        <w:t>List of FactSet Research Systems, Inc.’s Subsidiaries</w:t>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is a list of subsidiaries of FactSet Research Systems Inc., a Delaware corporation, as of August 31, 2025. This list includes companies owned (directly or indirectly) or controlled by FactSet Research Systems Inc.</w:t>
      </w:r>
    </w:p>
    <w:p>
      <w:pPr>
        <w:pStyle w:val="TextBody"/>
        <w:bidi w:val="0"/>
        <w:spacing w:before="0" w:after="0"/>
        <w:jc w:val="left"/>
        <w:rPr/>
      </w:pPr>
      <w:r>
        <w:rPr/>
      </w:r>
    </w:p>
    <w:tbl>
      <w:tblPr>
        <w:tblW w:w="7961" w:type="dxa"/>
        <w:jc w:val="left"/>
        <w:tblInd w:w="0" w:type="dxa"/>
        <w:tblLayout w:type="fixed"/>
        <w:tblCellMar>
          <w:top w:w="28" w:type="dxa"/>
          <w:left w:w="28" w:type="dxa"/>
          <w:bottom w:w="28" w:type="dxa"/>
          <w:right w:w="28" w:type="dxa"/>
        </w:tblCellMar>
      </w:tblPr>
      <w:tblGrid>
        <w:gridCol w:w="1303"/>
        <w:gridCol w:w="1146"/>
        <w:gridCol w:w="1150"/>
        <w:gridCol w:w="109"/>
        <w:gridCol w:w="109"/>
        <w:gridCol w:w="109"/>
        <w:gridCol w:w="1180"/>
        <w:gridCol w:w="1180"/>
        <w:gridCol w:w="1675"/>
      </w:tblGrid>
      <w:tr>
        <w:trPr/>
        <w:tc>
          <w:tcPr>
            <w:tcW w:w="13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State or Country of Incorporation or Organization</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BI-SAM Inc.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Bravo Consult EOOD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Bulgaria</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Cabot Investment Technology,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Cobalt Software,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Code Red,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Massachusetts</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Benelux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Netherlands</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Brasil Consultoria Ltda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Brazil</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Canada,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China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China</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Charitable Foundation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Digital Solutions,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Europe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England</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Europe S.à.r.l.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Luxembourg</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France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France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France</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GmbH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Germany</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Hong Kong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Hong Kong</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International (UK)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England / Wales</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International (Ireland)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Ireland</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Ireland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Ireland</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Italia S.R.l.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Italy</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Pacific,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Philippines,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Philippines</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Research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England / Wales</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Research Systems South Africa Pty.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South Africa</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Singapore Pte.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Singapore</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Spain SL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Spain</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Sweden 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Sweden</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Switzerland AG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Switzerland</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Systems India Private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(UAE)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Arab Emirates</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UK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England / Wales</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FinAnalytica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Washington</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idaciti,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Liquid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Liquidity Book,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LiquidityBook UK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England / Wales</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Messer Financial Software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Hong Kong</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Messer Financial Software (UK)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England / Wales</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Platform Group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P.A.N. Securities,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Portware International,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Portware,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PTS NET,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SIA FactSet Latvia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Latvia</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TableTop Data,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TruValue Labs,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Vermilion Holdings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Scotland</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Vermilion Software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23</w:t>
      </w:r>
    </w:p>
    <w:p>
      <w:pPr>
        <w:pStyle w:val="TextBody"/>
        <w:bidi w:val="0"/>
        <w:spacing w:before="0" w:after="0"/>
        <w:jc w:val="righ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Registration Statements (Forms S-8 Nos. 333-289143, 333-222532, 333-171667, 333-156649 and 333-134298 and Form S-3 No. 333-284734) of our reports dated October 22, 2025, with respect to the consolidated financial statements of FactSet Research Systems Inc. and the effectiveness of internal control over financial reporting of FactSet Research Systems Inc. included in this Annual Report (Form 10-K) of FactSet Research Systems Inc. for the year ended August 31, 2025.</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Ernst &amp; Young LLP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Stamford, Connecticut</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October 22,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EXCHANGE ACT RULE 13a-14(a)/15d-14(a)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Sanoke Viswanathan, certify that:</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FactSet Research Systems Inc.;</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200" w:after="283"/>
        <w:jc w:val="left"/>
        <w:rPr/>
      </w:pPr>
      <w:r>
        <w:rPr/>
      </w:r>
    </w:p>
    <w:tbl>
      <w:tblPr>
        <w:tblW w:w="2952" w:type="dxa"/>
        <w:jc w:val="left"/>
        <w:tblInd w:w="0" w:type="dxa"/>
        <w:tblLayout w:type="fixed"/>
        <w:tblCellMar>
          <w:top w:w="28" w:type="dxa"/>
          <w:left w:w="28" w:type="dxa"/>
          <w:bottom w:w="28" w:type="dxa"/>
          <w:right w:w="28" w:type="dxa"/>
        </w:tblCellMar>
      </w:tblPr>
      <w:tblGrid>
        <w:gridCol w:w="932"/>
        <w:gridCol w:w="822"/>
        <w:gridCol w:w="826"/>
        <w:gridCol w:w="109"/>
        <w:gridCol w:w="109"/>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22,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SANOKE VISWANATHAN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Sanoke Viswanathan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EXCHANGE ACT RULE 13a-14(a)/15d-14(a)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Helen L. Shan, certify that:</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FactSet Research Systems Inc.;</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controls and procedures, as of the end of the period covered by this report based on such evaluation; and</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782" w:type="dxa"/>
        <w:jc w:val="left"/>
        <w:tblInd w:w="0" w:type="dxa"/>
        <w:tblLayout w:type="fixed"/>
        <w:tblCellMar>
          <w:top w:w="28" w:type="dxa"/>
          <w:left w:w="28" w:type="dxa"/>
          <w:bottom w:w="28" w:type="dxa"/>
          <w:right w:w="28" w:type="dxa"/>
        </w:tblCellMar>
      </w:tblPr>
      <w:tblGrid>
        <w:gridCol w:w="1594"/>
        <w:gridCol w:w="1405"/>
        <w:gridCol w:w="1411"/>
        <w:gridCol w:w="109"/>
        <w:gridCol w:w="109"/>
        <w:gridCol w:w="154"/>
      </w:tblGrid>
      <w:tr>
        <w:trPr/>
        <w:tc>
          <w:tcPr>
            <w:tcW w:w="1594"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22,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HELEN L. SHAN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Helen L. Shan</w:t>
              <w:br/>
              <w:t>Executive Vice President and Chief Financial Officer</w:t>
              <w:b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FactSet Research Systems Inc. (the “Company”) on Form 10-K for the fiscal year ended August 31, 2025, as filed with the Securities and Exchange Commission on the date hereof (the “Report”), I, Sanoke Viswanathan, do hereby certify, pursuant to 18 U.S.C. Section 1350, as adopted pursuant to Section 906 of the Sarbanes-Oxley Act of 2002, that, to my knowledge: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00" w:after="4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2951" w:type="dxa"/>
        <w:jc w:val="left"/>
        <w:tblInd w:w="0" w:type="dxa"/>
        <w:tblLayout w:type="fixed"/>
        <w:tblCellMar>
          <w:top w:w="28" w:type="dxa"/>
          <w:left w:w="28" w:type="dxa"/>
          <w:bottom w:w="28" w:type="dxa"/>
          <w:right w:w="28" w:type="dxa"/>
        </w:tblCellMar>
      </w:tblPr>
      <w:tblGrid>
        <w:gridCol w:w="935"/>
        <w:gridCol w:w="820"/>
        <w:gridCol w:w="824"/>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SANOKE VISWANATHAN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Sanoke Viswanathan</w:t>
              <w:br/>
              <w:t>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22,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FactSet Research Systems Inc. (the “Company”) on Form 10-K for the fiscal year ended August 31, 2025 as filed with the Securities and Exchange Commission on the date hereof (the “Report”), I, Helen L. Shan, do hereby certify, pursuant to 18 U.S.C. Section 1350, as adopted pursuant to Section 906 of the Sarbanes-Oxley Act of 2002, that, to my knowledge:</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00" w:after="4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4781" w:type="dxa"/>
        <w:jc w:val="left"/>
        <w:tblInd w:w="0" w:type="dxa"/>
        <w:tblLayout w:type="fixed"/>
        <w:tblCellMar>
          <w:top w:w="28" w:type="dxa"/>
          <w:left w:w="28" w:type="dxa"/>
          <w:bottom w:w="28" w:type="dxa"/>
          <w:right w:w="28" w:type="dxa"/>
        </w:tblCellMar>
      </w:tblPr>
      <w:tblGrid>
        <w:gridCol w:w="1593"/>
        <w:gridCol w:w="1404"/>
        <w:gridCol w:w="1412"/>
        <w:gridCol w:w="109"/>
        <w:gridCol w:w="109"/>
        <w:gridCol w:w="154"/>
      </w:tblGrid>
      <w:tr>
        <w:trPr/>
        <w:tc>
          <w:tcPr>
            <w:tcW w:w="1593"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HELEN L. SHAN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Helen L. Shan</w:t>
              <w:br/>
              <w:t>Executive Vice President and Chief Financial Officer</w:t>
              <w:b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22,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hanging="36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013237/000101323723000009/factsetsecondamendedandres.htm" TargetMode="External"/><Relationship Id="rId5" Type="http://schemas.openxmlformats.org/officeDocument/2006/relationships/hyperlink" Target="https://www.sec.gov/Archives/edgar/data/1013237/000101323723000009/factsetsecondamendedandres.htm" TargetMode="External"/><Relationship Id="rId6" Type="http://schemas.openxmlformats.org/officeDocument/2006/relationships/hyperlink" Target="https://www.sec.gov/Archives/edgar/data/1013237/000101323725000084/a20250915factset-amendedan.htm" TargetMode="External"/><Relationship Id="rId7" Type="http://schemas.openxmlformats.org/officeDocument/2006/relationships/hyperlink" Target="https://www.sec.gov/Archives/edgar/data/1013237/000101323725000084/a20250915factset-amendedan.htm" TargetMode="External"/><Relationship Id="rId8" Type="http://schemas.openxmlformats.org/officeDocument/2006/relationships/hyperlink" Target="https://www.sec.gov/Archives/edgar/data/1013237/0000950112-96-002160.txt" TargetMode="External"/><Relationship Id="rId9" Type="http://schemas.openxmlformats.org/officeDocument/2006/relationships/hyperlink" Target="https://www.sec.gov/Archives/edgar/data/1013237/0000950112-96-002160.txt" TargetMode="External"/><Relationship Id="rId10" Type="http://schemas.openxmlformats.org/officeDocument/2006/relationships/hyperlink" Target="https://www.sec.gov/Archives/edgar/data/0001013237/000095015722000210/ex4-1.htm" TargetMode="External"/><Relationship Id="rId11" Type="http://schemas.openxmlformats.org/officeDocument/2006/relationships/hyperlink" Target="https://www.sec.gov/Archives/edgar/data/0001013237/000095015722000210/ex4-1.htm" TargetMode="External"/><Relationship Id="rId12" Type="http://schemas.openxmlformats.org/officeDocument/2006/relationships/hyperlink" Target="https://www.sec.gov/Archives/edgar/data/0001013237/000095015722000210/ex4-2.htm" TargetMode="External"/><Relationship Id="rId13" Type="http://schemas.openxmlformats.org/officeDocument/2006/relationships/hyperlink" Target="https://www.sec.gov/Archives/edgar/data/0001013237/000095015722000210/ex4-2.htm" TargetMode="External"/><Relationship Id="rId14" Type="http://schemas.openxmlformats.org/officeDocument/2006/relationships/hyperlink" Target="https://www.sec.gov/Archives/edgar/data/0001013237/000095015722000210/ex4-2.htm" TargetMode="External"/><Relationship Id="rId15" Type="http://schemas.openxmlformats.org/officeDocument/2006/relationships/hyperlink" Target="https://www.sec.gov/Archives/edgar/data/0001013237/000095015722000210/ex4-2.htm" TargetMode="External"/><Relationship Id="rId16" Type="http://schemas.openxmlformats.org/officeDocument/2006/relationships/hyperlink" Target="https://www.sec.gov/Archives/edgar/data/0001013237/000095015722000210/ex4-2.htm" TargetMode="External"/><Relationship Id="rId17" Type="http://schemas.openxmlformats.org/officeDocument/2006/relationships/hyperlink" Target="https://www.sec.gov/Archives/edgar/data/0001013237/000095015722000210/ex4-2.htm" TargetMode="External"/><Relationship Id="rId18" Type="http://schemas.openxmlformats.org/officeDocument/2006/relationships/hyperlink" Target="https://www.sec.gov/Archives/edgar/data/1013237/000119312504192500/ddef14a.htm" TargetMode="External"/><Relationship Id="rId19" Type="http://schemas.openxmlformats.org/officeDocument/2006/relationships/hyperlink" Target="https://www.sec.gov/Archives/edgar/data/1013237/000119312504192500/ddef14a.htm" TargetMode="External"/><Relationship Id="rId20" Type="http://schemas.openxmlformats.org/officeDocument/2006/relationships/hyperlink" Target="https://www.sec.gov/Archives/edgar/data/1013237/000119312504192500/ddef14a.htm" TargetMode="External"/><Relationship Id="rId21" Type="http://schemas.openxmlformats.org/officeDocument/2006/relationships/hyperlink" Target="https://www.sec.gov/Archives/edgar/data/1013237/000143774917021030/ex_102391.htm" TargetMode="External"/><Relationship Id="rId22" Type="http://schemas.openxmlformats.org/officeDocument/2006/relationships/hyperlink" Target="https://www.sec.gov/Archives/edgar/data/1013237/000143774917021030/ex_102391.htm" TargetMode="External"/><Relationship Id="rId23" Type="http://schemas.openxmlformats.org/officeDocument/2006/relationships/hyperlink" Target="https://www.sec.gov/Archives/edgar/data/1013237/000143774917021030/ex_102391.htm" TargetMode="External"/><Relationship Id="rId24" Type="http://schemas.openxmlformats.org/officeDocument/2006/relationships/hyperlink" Target="https://www.sec.gov/Archives/edgar/data/1013237/000143774917021030/ex_102392.htm" TargetMode="External"/><Relationship Id="rId25" Type="http://schemas.openxmlformats.org/officeDocument/2006/relationships/hyperlink" Target="https://www.sec.gov/Archives/edgar/data/1013237/000143774917021030/ex_102392.htm" TargetMode="External"/><Relationship Id="rId26" Type="http://schemas.openxmlformats.org/officeDocument/2006/relationships/hyperlink" Target="https://www.sec.gov/Archives/edgar/data/1013237/000143774917021030/ex_102392.htm" TargetMode="External"/><Relationship Id="rId27" Type="http://schemas.openxmlformats.org/officeDocument/2006/relationships/hyperlink" Target="https://www.sec.gov/Archives/edgar/data/1013237/000143774918006528/ex_109818.htm" TargetMode="External"/><Relationship Id="rId28" Type="http://schemas.openxmlformats.org/officeDocument/2006/relationships/hyperlink" Target="https://www.sec.gov/Archives/edgar/data/1013237/000143774918006528/ex_109818.htm" TargetMode="External"/><Relationship Id="rId29" Type="http://schemas.openxmlformats.org/officeDocument/2006/relationships/hyperlink" Target="https://www.sec.gov/Archives/edgar/data/1013237/000143774918006528/ex_109818.htm" TargetMode="External"/><Relationship Id="rId30" Type="http://schemas.openxmlformats.org/officeDocument/2006/relationships/hyperlink" Target="https://www.sec.gov/Archives/edgar/data/1013237/000101323724000084/factsetresearchsystemsince.htm" TargetMode="External"/><Relationship Id="rId31" Type="http://schemas.openxmlformats.org/officeDocument/2006/relationships/hyperlink" Target="https://www.sec.gov/Archives/edgar/data/1013237/000101323724000084/factsetresearchsystemsince.htm" TargetMode="External"/><Relationship Id="rId32" Type="http://schemas.openxmlformats.org/officeDocument/2006/relationships/hyperlink" Target="https://www.sec.gov/Archives/edgar/data/1013237/000101323724000084/factsetresearchsystemsince.htm" TargetMode="External"/><Relationship Id="rId33" Type="http://schemas.openxmlformats.org/officeDocument/2006/relationships/hyperlink" Target="https://www.sec.gov/Archives/edgar/data/1013237/000101323720000045/a102formoffactsetresea.htm" TargetMode="External"/><Relationship Id="rId34" Type="http://schemas.openxmlformats.org/officeDocument/2006/relationships/hyperlink" Target="https://www.sec.gov/Archives/edgar/data/1013237/000101323720000045/a102formoffactsetresea.htm" TargetMode="External"/><Relationship Id="rId35" Type="http://schemas.openxmlformats.org/officeDocument/2006/relationships/hyperlink" Target="https://www.sec.gov/Archives/edgar/data/1013237/000101323720000045/a102formoffactsetresea.htm" TargetMode="External"/><Relationship Id="rId36" Type="http://schemas.openxmlformats.org/officeDocument/2006/relationships/hyperlink" Target="https://www.sec.gov/Archives/edgar/data/1013237/000101323725000054/factsetcreditagreement20.htm" TargetMode="External"/><Relationship Id="rId37" Type="http://schemas.openxmlformats.org/officeDocument/2006/relationships/hyperlink" Target="https://www.sec.gov/Archives/edgar/data/1013237/000101323725000054/factsetcreditagreement20.htm" TargetMode="External"/><Relationship Id="rId38" Type="http://schemas.openxmlformats.org/officeDocument/2006/relationships/hyperlink" Target="https://www.sec.gov/Archives/edgar/data/1013237/000101323725000054/factsetcreditagreement20.htm" TargetMode="External"/><Relationship Id="rId39" Type="http://schemas.openxmlformats.org/officeDocument/2006/relationships/hyperlink" Target="https://www.sec.gov/Archives/edgar/data/1013237/000101323725000054/factsetcreditagreement20.htm" TargetMode="External"/><Relationship Id="rId40" Type="http://schemas.openxmlformats.org/officeDocument/2006/relationships/hyperlink" Target="https://www.sec.gov/Archives/edgar/data/1013237/000101323725000054/factsetcreditagreement20.htm" TargetMode="External"/><Relationship Id="rId41" Type="http://schemas.openxmlformats.org/officeDocument/2006/relationships/hyperlink" Target="https://www.sec.gov/Archives/edgar/data/1013237/000101323725000054/factsetcreditagreement20.htm" TargetMode="External"/><Relationship Id="rId42" Type="http://schemas.openxmlformats.org/officeDocument/2006/relationships/hyperlink" Target="https://www.sec.gov/Archives/edgar/data/1013237/000101323725000054/factsetcreditagreement20.htm" TargetMode="External"/><Relationship Id="rId43" Type="http://schemas.openxmlformats.org/officeDocument/2006/relationships/hyperlink" Target="https://www.sec.gov/Archives/edgar/data/1013237/000101323725000054/factsetcreditagreement20.htm" TargetMode="External"/><Relationship Id="rId44" Type="http://schemas.openxmlformats.org/officeDocument/2006/relationships/hyperlink" Target="https://www.sec.gov/Archives/edgar/data/1013237/000101323725000054/factsetcreditagreement20.htm" TargetMode="External"/><Relationship Id="rId45" Type="http://schemas.openxmlformats.org/officeDocument/2006/relationships/hyperlink" Target="https://www.sec.gov/Archives/edgar/data/1013237/000101323725000054/factsetcreditagreement20.htm" TargetMode="External"/><Relationship Id="rId46" Type="http://schemas.openxmlformats.org/officeDocument/2006/relationships/hyperlink" Target="https://www.sec.gov/Archives/edgar/data/1013237/000101323725000054/factsetcreditagreement20.htm" TargetMode="External"/><Relationship Id="rId47" Type="http://schemas.openxmlformats.org/officeDocument/2006/relationships/hyperlink" Target="https://www.sec.gov/Archives/edgar/data/1013237/000101323725000054/factsetcreditagreement20.htm" TargetMode="External"/><Relationship Id="rId48" Type="http://schemas.openxmlformats.org/officeDocument/2006/relationships/hyperlink" Target="https://www.sec.gov/Archives/edgar/data/1013237/000101323725000054/factsetcreditagreement20.htm" TargetMode="External"/><Relationship Id="rId49" Type="http://schemas.openxmlformats.org/officeDocument/2006/relationships/hyperlink" Target="https://www.sec.gov/Archives/edgar/data/1013237/000101323725000054/factsetcreditagreement20.htm" TargetMode="External"/><Relationship Id="rId50" Type="http://schemas.openxmlformats.org/officeDocument/2006/relationships/hyperlink" Target="https://www.sec.gov/Archives/edgar/data/1013237/000101323725000054/factsetcreditagreement20.htm" TargetMode="External"/><Relationship Id="rId51" Type="http://schemas.openxmlformats.org/officeDocument/2006/relationships/hyperlink" Target="https://www.sec.gov/Archives/edgar/data/1013237/000101323725000054/factsetcreditagreement20.htm" TargetMode="External"/><Relationship Id="rId52" Type="http://schemas.openxmlformats.org/officeDocument/2006/relationships/hyperlink" Target="https://www.sec.gov/Archives/edgar/data/1013237/000101323725000054/factsetcreditagreement20.htm" TargetMode="External"/><Relationship Id="rId53" Type="http://schemas.openxmlformats.org/officeDocument/2006/relationships/hyperlink" Target="https://www.sec.gov/Archives/edgar/data/1013237/000101323725000054/factsetcreditagreement20.htm" TargetMode="External"/><Relationship Id="rId54" Type="http://schemas.openxmlformats.org/officeDocument/2006/relationships/hyperlink" Target="https://www.sec.gov/Archives/edgar/data/1013237/000101323725000054/factsetcreditagreement20.htm" TargetMode="External"/><Relationship Id="rId55" Type="http://schemas.openxmlformats.org/officeDocument/2006/relationships/hyperlink" Target="https://www.sec.gov/Archives/edgar/data/1013237/000101323724000089/cfoseparationagreementjuly.htm" TargetMode="External"/><Relationship Id="rId56" Type="http://schemas.openxmlformats.org/officeDocument/2006/relationships/hyperlink" Target="https://www.sec.gov/Archives/edgar/data/1013237/000101323724000089/cfoseparationagreementjuly.htm" TargetMode="External"/><Relationship Id="rId57" Type="http://schemas.openxmlformats.org/officeDocument/2006/relationships/hyperlink" Target="https://www.sec.gov/Archives/edgar/data/1013237/000101323724000089/cfoseparationagreementjuly.htm" TargetMode="External"/><Relationship Id="rId58" Type="http://schemas.openxmlformats.org/officeDocument/2006/relationships/hyperlink" Target="https://www.sec.gov/Archives/edgar/data/1013237/000101323725000070/fdsceoemploymentagreement2.htm" TargetMode="External"/><Relationship Id="rId59" Type="http://schemas.openxmlformats.org/officeDocument/2006/relationships/hyperlink" Target="https://www.sec.gov/Archives/edgar/data/1013237/000101323725000070/fdsceoemploymentagreement2.htm" TargetMode="External"/><Relationship Id="rId60" Type="http://schemas.openxmlformats.org/officeDocument/2006/relationships/hyperlink" Target="https://www.sec.gov/Archives/edgar/data/1013237/000101323725000070/fdsceoemploymentagreement2.htm" TargetMode="External"/><Relationship Id="rId61" Type="http://schemas.openxmlformats.org/officeDocument/2006/relationships/hyperlink" Target="https://www.sec.gov/Archives/edgar/data/1013237/000101323725000070/fdsceoemploymentagreement2.htm" TargetMode="External"/><Relationship Id="rId62" Type="http://schemas.openxmlformats.org/officeDocument/2006/relationships/hyperlink" Target="https://www.sec.gov/Archives/edgar/data/1013237/000101323725000070/fdsceoemploymentagreement2.htm" TargetMode="External"/><Relationship Id="rId63" Type="http://schemas.openxmlformats.org/officeDocument/2006/relationships/hyperlink" Target="https://www.sec.gov/Archives/edgar/data/1013237/000101323725000070/fdsceoemploymentagreement2.htm" TargetMode="External"/><Relationship Id="rId64" Type="http://schemas.openxmlformats.org/officeDocument/2006/relationships/hyperlink" Target="https://www.sec.gov/Archives/edgar/data/1013237/000101323725000070/fdsceoemploymentagreement2.htm" TargetMode="External"/><Relationship Id="rId65" Type="http://schemas.openxmlformats.org/officeDocument/2006/relationships/hyperlink" Target="https://www.sec.gov/Archives/edgar/data/1013237/000095015725000604/ex99-1.htm" TargetMode="External"/><Relationship Id="rId66" Type="http://schemas.openxmlformats.org/officeDocument/2006/relationships/hyperlink" Target="https://www.sec.gov/Archives/edgar/data/1013237/000095015725000604/ex99-1.htm" TargetMode="External"/><Relationship Id="rId67" Type="http://schemas.openxmlformats.org/officeDocument/2006/relationships/hyperlink" Target="https://www.sec.gov/Archives/edgar/data/1013237/000095015725000604/ex99-1.htm" TargetMode="External"/><Relationship Id="rId68" Type="http://schemas.openxmlformats.org/officeDocument/2006/relationships/hyperlink" Target="https://www.sec.gov/Archives/edgar/data/1013237/000095015725000604/ex99-1.htm" TargetMode="External"/><Relationship Id="rId69" Type="http://schemas.openxmlformats.org/officeDocument/2006/relationships/hyperlink" Target="https://www.sec.gov/Archives/edgar/data/1013237/000095015725000604/ex99-1.htm" TargetMode="External"/><Relationship Id="rId70" Type="http://schemas.openxmlformats.org/officeDocument/2006/relationships/hyperlink" Target="https://www.sec.gov/Archives/edgar/data/1013237/000095015725000604/ex99-1.htm" TargetMode="External"/><Relationship Id="rId71" Type="http://schemas.openxmlformats.org/officeDocument/2006/relationships/hyperlink" Target="https://www.sec.gov/Archives/edgar/data/1013237/000101323724000141/fds-20240831xexx19.htm" TargetMode="External"/><Relationship Id="rId72" Type="http://schemas.openxmlformats.org/officeDocument/2006/relationships/hyperlink" Target="https://www.sec.gov/Archives/edgar/data/1013237/000101323724000141/fds-20240831xexx19.htm" TargetMode="External"/><Relationship Id="rId73" Type="http://schemas.openxmlformats.org/officeDocument/2006/relationships/hyperlink" Target="https://www.sec.gov/Archives/edgar/data/1013237/000101323723000128/exhibit97.htm" TargetMode="External"/><Relationship Id="rId74" Type="http://schemas.openxmlformats.org/officeDocument/2006/relationships/hyperlink" Target="https://www.sec.gov/Archives/edgar/data/1013237/000101323723000128/exhibit97.htm" TargetMode="External"/><Relationship Id="rId75" Type="http://schemas.openxmlformats.org/officeDocument/2006/relationships/fontTable" Target="fontTable.xml"/><Relationship Id="rId7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59711</Words>
  <Characters>336862</Characters>
  <CharactersWithSpaces>393672</CharactersWithSpaces>
  <Paragraphs>5047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