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29, 2024</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March 27, 2024 was 38,115,834.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9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February 29, 2024</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29"/>
        </w:trPr>
        <w:tc>
          <w:tcPr>
            <w:tcW w:w="880" w:type="dxa"/>
            <w:vAlign w:val="bottom"/>
            <w:vMerge w:val="continue"/>
          </w:tcPr>
          <w:p>
            <w:pPr>
              <w:spacing w:after="0"/>
              <w:rPr>
                <w:sz w:val="19"/>
                <w:szCs w:val="19"/>
                <w:color w:val="auto"/>
              </w:rPr>
            </w:pPr>
          </w:p>
        </w:tc>
        <w:tc>
          <w:tcPr>
            <w:tcW w:w="97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Income for the three and six months ended February 29, 2024 and February 28, 2023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and six months ended February 29, 2024 and February 28, 2023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Balance Sheets at February 29, 2024 and August 31, 2023</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Statements of Cash Flows for the six months ended February 29, 2024 and February 28, 2023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976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Consolidated Statements of Changes in Stockholders’ Equity for the three and six months ended February 29, 2024 and February 28,</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40"/>
        </w:trPr>
        <w:tc>
          <w:tcPr>
            <w:tcW w:w="880" w:type="dxa"/>
            <w:vAlign w:val="bottom"/>
          </w:tcPr>
          <w:p>
            <w:pPr>
              <w:spacing w:after="0"/>
              <w:rPr>
                <w:sz w:val="12"/>
                <w:szCs w:val="12"/>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4"/>
              </w:rPr>
              <w:t>2023</w:t>
            </w:r>
          </w:p>
        </w:tc>
        <w:tc>
          <w:tcPr>
            <w:tcW w:w="93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9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9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29, 2024,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2023, that should be specifically considered.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8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20"/>
                <w:szCs w:val="20"/>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r>
      <w:tr>
        <w:trPr>
          <w:trHeight w:val="270"/>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240,806</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506,763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467,848</w:t>
            </w:r>
          </w:p>
        </w:tc>
      </w:tr>
      <w:tr>
        <w:trPr>
          <w:trHeight w:val="229"/>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108,807</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209,518</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210,178</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364,003</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345,835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717,179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678,755</w:t>
            </w:r>
          </w:p>
        </w:tc>
      </w:tr>
      <w:tr>
        <w:trPr>
          <w:trHeight w:val="270"/>
        </w:trPr>
        <w:tc>
          <w:tcPr>
            <w:tcW w:w="5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341,145</w:t>
            </w:r>
          </w:p>
        </w:tc>
      </w:tr>
      <w:tr>
        <w:trPr>
          <w:trHeight w:val="270"/>
        </w:trPr>
        <w:tc>
          <w:tcPr>
            <w:tcW w:w="5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(33,274)</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3"/>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(12,488)</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(26,498)</w:t>
            </w:r>
          </w:p>
        </w:tc>
      </w:tr>
      <w:tr>
        <w:trPr>
          <w:trHeight w:val="270"/>
        </w:trPr>
        <w:tc>
          <w:tcPr>
            <w:tcW w:w="5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168,645</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156,762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314,647</w:t>
            </w:r>
          </w:p>
        </w:tc>
      </w:tr>
      <w:tr>
        <w:trPr>
          <w:trHeight w:val="270"/>
        </w:trPr>
        <w:tc>
          <w:tcPr>
            <w:tcW w:w="5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46,256</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38,201</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6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2"/>
        </w:trPr>
        <w:tc>
          <w:tcPr>
            <w:tcW w:w="12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26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1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r>
      <w:tr>
        <w:trPr>
          <w:trHeight w:val="27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68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9"/>
        </w:trPr>
        <w:tc>
          <w:tcPr>
            <w:tcW w:w="5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11,839</w:t>
            </w:r>
          </w:p>
        </w:tc>
      </w:tr>
      <w:tr>
        <w:trPr>
          <w:trHeight w:val="223"/>
        </w:trPr>
        <w:tc>
          <w:tcPr>
            <w:tcW w:w="5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16,140</w:t>
            </w:r>
          </w:p>
        </w:tc>
      </w:tr>
      <w:tr>
        <w:trPr>
          <w:trHeight w:val="223"/>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284,531</w:t>
            </w:r>
          </w:p>
        </w:tc>
      </w:tr>
      <w:tr>
        <w:trPr>
          <w:trHeight w:val="21"/>
        </w:trPr>
        <w:tc>
          <w:tcPr>
            <w:tcW w:w="1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line="280" w:lineRule="auto"/>
        <w:tabs>
          <w:tab w:leader="none" w:pos="24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$419 thousand and $779 thousand for the three months ended February 29, 2024 and February 28, 2023, respectively. Presented net of a tax benefit of $1,007 thousand and a tax expense of $1,485 thousand for the six months ended February 29, 2024 and February 28, 2023,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29, 2024</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0" w:type="dxa"/>
            <w:vAlign w:val="bottom"/>
          </w:tcPr>
          <w:p>
            <w:pPr>
              <w:spacing w:after="0"/>
              <w:rPr>
                <w:sz w:val="1"/>
                <w:szCs w:val="1"/>
                <w:color w:val="auto"/>
              </w:rPr>
            </w:pP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$10,787 at February 29, 2024 and $7,769 at August 31, 2023</w:t>
            </w:r>
          </w:p>
        </w:tc>
        <w:tc>
          <w:tcPr>
            <w:tcW w:w="2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272,177</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58,047</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823,021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770,135</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1,003,883</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1,004,736</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1,860,609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133,917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64,120</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0" w:type="dxa"/>
            <w:vAlign w:val="bottom"/>
          </w:tcPr>
          <w:p>
            <w:pPr>
              <w:spacing w:after="0"/>
              <w:rPr>
                <w:sz w:val="1"/>
                <w:szCs w:val="1"/>
                <w:color w:val="auto"/>
              </w:rPr>
            </w:pP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3,990,866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28,965</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72,319</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0" w:type="dxa"/>
            <w:vAlign w:val="bottom"/>
          </w:tcPr>
          <w:p>
            <w:pPr>
              <w:spacing w:after="0"/>
              <w:rPr>
                <w:sz w:val="1"/>
                <w:szCs w:val="1"/>
                <w:color w:val="auto"/>
              </w:rPr>
            </w:pP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175,121</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152,430</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37,360</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459,752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484,251</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1,489,488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2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35,734</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185,759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198,382</w:t>
            </w:r>
          </w:p>
        </w:tc>
        <w:tc>
          <w:tcPr>
            <w:tcW w:w="0" w:type="dxa"/>
            <w:vAlign w:val="bottom"/>
          </w:tcPr>
          <w:p>
            <w:pPr>
              <w:spacing w:after="0"/>
              <w:rPr>
                <w:sz w:val="1"/>
                <w:szCs w:val="1"/>
                <w:color w:val="auto"/>
              </w:rPr>
            </w:pPr>
          </w:p>
        </w:tc>
      </w:tr>
      <w:tr>
        <w:trPr>
          <w:trHeight w:val="27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2,189,112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2,342,992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42,475,726 and 42,096,628 shares</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38,123,087 and 38,025,372 shares outstanding at February 29, 2024 and August 31, 2023,</w:t>
            </w: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1,421,133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1,323,631</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4,352,639 and 4,071,256 shares at February 29, 2024 and August 31, 2023,</w:t>
            </w:r>
          </w:p>
        </w:tc>
        <w:tc>
          <w:tcPr>
            <w:tcW w:w="2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(1,248,707)</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(1,122,077)</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1,719,932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1,505,096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1,801,754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1,619,930</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3,990,866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February 29,</w:t>
            </w:r>
          </w:p>
        </w:tc>
        <w:tc>
          <w:tcPr>
            <w:tcW w:w="1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52,208</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(54,294)</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298,942</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271,314</w:t>
            </w:r>
          </w:p>
        </w:tc>
        <w:tc>
          <w:tcPr>
            <w:tcW w:w="0" w:type="dxa"/>
            <w:vAlign w:val="bottom"/>
          </w:tcPr>
          <w:p>
            <w:pPr>
              <w:spacing w:after="0"/>
              <w:rPr>
                <w:sz w:val="1"/>
                <w:szCs w:val="1"/>
                <w:color w:val="auto"/>
              </w:rPr>
            </w:pPr>
          </w:p>
        </w:tc>
      </w:tr>
      <w:tr>
        <w:trPr>
          <w:trHeight w:val="270"/>
        </w:trPr>
        <w:tc>
          <w:tcPr>
            <w:tcW w:w="86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(46,305)</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(285,654)</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503,273</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445,326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29,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27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42,297,330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1,366,343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4,237,590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(1,195,491)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1,616,352</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1,700,740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140,940</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140,940</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172,244</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38,138</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38,052</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113,050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(52,255)</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16,652</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(37,360)</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(37,360)</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42,475,726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1,421,133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4,352,639</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(1,248,707)</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1,719,932</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29,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7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restart"/>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Additional</w:t>
            </w:r>
          </w:p>
        </w:tc>
        <w:tc>
          <w:tcPr>
            <w:tcW w:w="20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8"/>
                <w:szCs w:val="8"/>
                <w:color w:val="auto"/>
              </w:rPr>
            </w:pPr>
          </w:p>
        </w:tc>
        <w:tc>
          <w:tcPr>
            <w:tcW w:w="980" w:type="dxa"/>
            <w:vAlign w:val="bottom"/>
            <w:vMerge w:val="restart"/>
          </w:tcPr>
          <w:p>
            <w:pPr>
              <w:jc w:val="center"/>
              <w:ind w:right="48"/>
              <w:spacing w:after="0" w:line="129"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27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12"/>
                <w:szCs w:val="12"/>
                <w:color w:val="auto"/>
              </w:rPr>
            </w:pPr>
          </w:p>
        </w:tc>
        <w:tc>
          <w:tcPr>
            <w:tcW w:w="980" w:type="dxa"/>
            <w:vAlign w:val="bottom"/>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8"/>
        </w:trPr>
        <w:tc>
          <w:tcPr>
            <w:tcW w:w="27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42,096,628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1,323,631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4,071,256</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289,495</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289,495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0" w:type="dxa"/>
            <w:vAlign w:val="bottom"/>
          </w:tcPr>
          <w:p>
            <w:pPr>
              <w:spacing w:after="0"/>
              <w:rPr>
                <w:sz w:val="1"/>
                <w:szCs w:val="1"/>
                <w:color w:val="auto"/>
              </w:rPr>
            </w:pPr>
          </w:p>
        </w:tc>
      </w:tr>
      <w:tr>
        <w:trPr>
          <w:trHeight w:val="139"/>
        </w:trPr>
        <w:tc>
          <w:tcPr>
            <w:tcW w:w="27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stock issued for employee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297,348</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66,541</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2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66,391</w:t>
            </w:r>
          </w:p>
        </w:tc>
        <w:tc>
          <w:tcPr>
            <w:tcW w:w="0" w:type="dxa"/>
            <w:vAlign w:val="bottom"/>
          </w:tcPr>
          <w:p>
            <w:pPr>
              <w:spacing w:after="0"/>
              <w:rPr>
                <w:sz w:val="1"/>
                <w:szCs w:val="1"/>
                <w:color w:val="auto"/>
              </w:rPr>
            </w:pPr>
          </w:p>
        </w:tc>
      </w:tr>
      <w:tr>
        <w:trPr>
          <w:trHeight w:val="107"/>
        </w:trPr>
        <w:tc>
          <w:tcPr>
            <w:tcW w:w="2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plans</w:t>
            </w:r>
          </w:p>
        </w:tc>
        <w:tc>
          <w:tcPr>
            <w:tcW w:w="9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78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32,040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0" w:type="dxa"/>
            <w:vAlign w:val="bottom"/>
          </w:tcPr>
          <w:p>
            <w:pPr>
              <w:spacing w:after="0"/>
              <w:rPr>
                <w:sz w:val="1"/>
                <w:szCs w:val="1"/>
                <w:color w:val="auto"/>
              </w:rPr>
            </w:pPr>
          </w:p>
        </w:tc>
      </w:tr>
      <w:tr>
        <w:trPr>
          <w:trHeight w:val="195"/>
        </w:trPr>
        <w:tc>
          <w:tcPr>
            <w:tcW w:w="2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249,000</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(112,165)</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(112,165)</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30,962</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30,962</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(74,659)</w:t>
            </w:r>
          </w:p>
        </w:tc>
        <w:tc>
          <w:tcPr>
            <w:tcW w:w="0" w:type="dxa"/>
            <w:vAlign w:val="bottom"/>
          </w:tcPr>
          <w:p>
            <w:pPr>
              <w:spacing w:after="0"/>
              <w:rPr>
                <w:sz w:val="1"/>
                <w:szCs w:val="1"/>
                <w:color w:val="auto"/>
              </w:rPr>
            </w:pPr>
          </w:p>
        </w:tc>
      </w:tr>
      <w:tr>
        <w:trPr>
          <w:trHeight w:val="221"/>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February 29,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42,475,726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1,421,133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4,352,639</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(1,248,707)</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1,719,932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1,801,754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February 28,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194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2"/>
                <w:szCs w:val="2"/>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2"/>
                <w:szCs w:val="2"/>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306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8"/>
                <w:szCs w:val="8"/>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41,848,430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1,225,947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3,634,322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(941,705)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1,282,527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1,474,128</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131,593</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95,543</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20,180</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15,325</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15,325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(34,099)</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(34,099)</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41,949,883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1,261,452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3,636,175</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(942,496)</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1,607,154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For the Six Months Ended February 28, 2023</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194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restart"/>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4"/>
                <w:szCs w:val="4"/>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rPr>
                <w:sz w:val="4"/>
                <w:szCs w:val="4"/>
                <w:color w:val="auto"/>
              </w:rPr>
            </w:pPr>
          </w:p>
        </w:tc>
        <w:tc>
          <w:tcPr>
            <w:tcW w:w="980" w:type="dxa"/>
            <w:vAlign w:val="bottom"/>
            <w:vMerge w:val="restart"/>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75"/>
        </w:trPr>
        <w:tc>
          <w:tcPr>
            <w:tcW w:w="306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6"/>
                <w:szCs w:val="6"/>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6"/>
                <w:szCs w:val="6"/>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41,653,218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3,608,462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1,179,739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1,331,408</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268,391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268,391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16,140</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226,966</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43,438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27,303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(68,109)</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(68,109)</w:t>
            </w:r>
          </w:p>
        </w:tc>
        <w:tc>
          <w:tcPr>
            <w:tcW w:w="0" w:type="dxa"/>
            <w:vAlign w:val="bottom"/>
          </w:tcPr>
          <w:p>
            <w:pPr>
              <w:spacing w:after="0"/>
              <w:rPr>
                <w:sz w:val="1"/>
                <w:szCs w:val="1"/>
                <w:color w:val="auto"/>
              </w:rPr>
            </w:pPr>
          </w:p>
        </w:tc>
      </w:tr>
      <w:tr>
        <w:trPr>
          <w:trHeight w:val="19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February 28, 2023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41,949,883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1,261,452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3,636,175</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(942,496)</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1,607,154</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9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9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9"/>
          </w:tcPr>
          <w:p>
            <w:pPr>
              <w:spacing w:after="0"/>
              <w:rPr>
                <w:sz w:val="24"/>
                <w:szCs w:val="24"/>
                <w:color w:val="auto"/>
              </w:rPr>
            </w:pPr>
          </w:p>
        </w:tc>
        <w:tc>
          <w:tcPr>
            <w:tcW w:w="1680" w:type="dxa"/>
            <w:vAlign w:val="bottom"/>
            <w:tcBorders>
              <w:top w:val="single" w:sz="8" w:color="CCEEFF"/>
            </w:tcBorders>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47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February 29, 2024, we had more than 8,000 clients comprised of over 206,000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asset managers, asset owners, and hedge fund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banking and sell-side research, corporate, and private equity and venture capital workflows,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workflows,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our chief operating decision maker ("CODM") continues to review our business and operating results based on our three segments, the Americas, EMEA and Asia Pacific, the realignment of our internal organization by firm type will not impact our segments for fiscal 2024. Refer to Note 15,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further discussion on our segments and CODM.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2023.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presented the components of Interest expense, net separately as Interest income and Interest expense in the Consolidated Statements of Income for the three and six months ended February 29, 2024. We conformed the comparative figures for the three and six months ended February 28, 2023 to the current period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and cash equivalents, accounts receivable, investments in mutual funds and derivative instruments. The maximum credit exposure of our cash and cash equivalents,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and investments in mutual funds in the event of default by the governmental and financial institutions with which we transact. We invest in a manner that aligns with our restrictive cash investment practices, preserves capital and provides liquidity, while minimizing our exposure to credit risk. We limit our exposure to credit loss by investing with multiple governmental and financial institutions that we believe are high-quality and credit-worthy. We have not experienced any credit losses relating to our cash, cash equivalents and investments in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As of February 29, 2024 and August 31, 2023, our accounts receivable reserve was $10.8 million and $7.8 million, respectively. We do not require collateral from our clients; however, no single client represented more than 3.5% of our total revenues in any period presented. Our concentration of credit risk related to our accounts receivable is generally limited, due to our large and geographically dispersed client base.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six months ended February 29,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six months ended February 29, 2024. We maintain back-up facilities and other redundancies at our data centers, take security measures and have emergency planning procedures to minimize the risk that an event will disrupt our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 and six months ended February 29, 2024 that had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 Improvements to Income Tax Disclosures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enhances annual income tax disclosures primarily related to our effective tax rate reconciliation and income taxes paid. The amendments in this ASU are to be applied prospectively, although retrospective application is permitted, and are effective for our annual financial statements starting in fiscal 2026. Early adoption is permitted. This ASU is not expected to have a material impact on our Consolidated Financial Statements. We are currently assessing the impact of the new requirements on our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related to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1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Securities and Exchange Commission's ("SEC") Disclosure Update and Simplification Initiative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February 29, 2024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multi-asset class solutions powered by our content refinery (referred to as the "Hosted Platform"). The Hosted Platform is a subscription-based service that provides client access to various combinations of products and services including workstations, portfolio analytics and enterprise solutions. We also derive revenues through our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each of our contracts with clients, whether for our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 There are no significant judgments that would impact the timing of revenue recognition.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our clients' respective geographic locations. Our business segmentation by geography is aligned with the operational and economic characteristics of our business.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24"/>
                <w:szCs w:val="24"/>
                <w:color w:val="auto"/>
              </w:rPr>
            </w:pPr>
          </w:p>
        </w:tc>
        <w:tc>
          <w:tcPr>
            <w:tcW w:w="27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22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2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29,</w:t>
            </w:r>
          </w:p>
        </w:tc>
        <w:tc>
          <w:tcPr>
            <w:tcW w:w="240" w:type="dxa"/>
            <w:vAlign w:val="bottom"/>
          </w:tcPr>
          <w:p>
            <w:pPr>
              <w:spacing w:after="0"/>
              <w:rPr>
                <w:sz w:val="19"/>
                <w:szCs w:val="19"/>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700,985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654,488</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132,508</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278,737</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54,151</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102,166</w:t>
            </w:r>
          </w:p>
        </w:tc>
        <w:tc>
          <w:tcPr>
            <w:tcW w:w="0" w:type="dxa"/>
            <w:vAlign w:val="bottom"/>
          </w:tcPr>
          <w:p>
            <w:pPr>
              <w:spacing w:after="0"/>
              <w:rPr>
                <w:sz w:val="1"/>
                <w:szCs w:val="1"/>
                <w:color w:val="auto"/>
              </w:rPr>
            </w:pPr>
          </w:p>
        </w:tc>
      </w:tr>
      <w:tr>
        <w:trPr>
          <w:trHeight w:val="22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The inputs to these methodologies consider market comparable information, taking into account the principal or most advantageous market in which we would transact,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3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February 29, 2024, and August 31, 2023. We did not have any transfers between levels of fair value measurements during the six months ended February 29, 2024 and the fiscal year ended August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Fair Value Measurements as of February 29, 2024</w:t>
            </w:r>
          </w:p>
        </w:tc>
        <w:tc>
          <w:tcPr>
            <w:tcW w:w="110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Level 3</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60" w:type="dxa"/>
            <w:vAlign w:val="bottom"/>
            <w:gridSpan w:val="2"/>
          </w:tcPr>
          <w:p>
            <w:pPr>
              <w:jc w:val="right"/>
              <w:ind w:right="23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103,333</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68,519</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172,270</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3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4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Fair Value Measurements as of August 31, 2023</w:t>
            </w:r>
          </w:p>
        </w:tc>
        <w:tc>
          <w:tcPr>
            <w:tcW w:w="110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Level 3</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w:t>
            </w:r>
          </w:p>
        </w:tc>
        <w:tc>
          <w:tcPr>
            <w:tcW w:w="1660" w:type="dxa"/>
            <w:vAlign w:val="bottom"/>
            <w:gridSpan w:val="2"/>
          </w:tcPr>
          <w:p>
            <w:pPr>
              <w:jc w:val="right"/>
              <w:ind w:right="23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173,718</w:t>
            </w: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3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4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r>
    </w:tbl>
    <w:p>
      <w:pPr>
        <w:spacing w:after="0" w:line="184" w:lineRule="exact"/>
        <w:rPr>
          <w:sz w:val="20"/>
          <w:szCs w:val="20"/>
          <w:color w:val="auto"/>
        </w:rPr>
      </w:pPr>
    </w:p>
    <w:p>
      <w:pPr>
        <w:ind w:left="260" w:hanging="252"/>
        <w:spacing w:after="0" w:line="280" w:lineRule="auto"/>
        <w:tabs>
          <w:tab w:leader="none" w:pos="2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The net asset value of each fund on the last day of the reporting period is used to determine its fair value. Our money market funds are included in Cash and cash equivalents within the Consolidated Balance Sheets.</w:t>
      </w:r>
    </w:p>
    <w:p>
      <w:pPr>
        <w:spacing w:after="0" w:line="56"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76"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5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derivative instruments as of February 29, 2024 included our foreign exchange forward contracts and, as of August 31, 2023, included our foreign exchange forward contracts and our 2022 Swap Agreement.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 a present value of future cash flows, leveraging a model-derived valuation that uses observable inputs such as interest rate yield curves. Refer to Note 5, </w:t>
      </w:r>
      <w:r>
        <w:rPr>
          <w:rFonts w:ascii="Times New Roman" w:cs="Times New Roman" w:eastAsia="Times New Roman" w:hAnsi="Times New Roman"/>
          <w:sz w:val="16"/>
          <w:szCs w:val="16"/>
          <w:i w:val="1"/>
          <w:iCs w:val="1"/>
          <w:color w:val="auto"/>
        </w:rPr>
        <w:t>Derivative Instruments</w:t>
      </w:r>
      <w:r>
        <w:rPr>
          <w:rFonts w:ascii="Times New Roman" w:cs="Times New Roman" w:eastAsia="Times New Roman" w:hAnsi="Times New Roman"/>
          <w:sz w:val="16"/>
          <w:szCs w:val="16"/>
          <w:color w:val="auto"/>
        </w:rPr>
        <w:t>, for more information on our derivative instruments and their classification within the Consolidated Balance Sheets.</w:t>
      </w:r>
    </w:p>
    <w:p>
      <w:pPr>
        <w:spacing w:after="0" w:line="87" w:lineRule="exact"/>
        <w:rPr>
          <w:rFonts w:ascii="Times New Roman" w:cs="Times New Roman" w:eastAsia="Times New Roman" w:hAnsi="Times New Roman"/>
          <w:sz w:val="16"/>
          <w:szCs w:val="16"/>
          <w:color w:val="auto"/>
        </w:rPr>
      </w:pPr>
    </w:p>
    <w:p>
      <w:pPr>
        <w:jc w:val="both"/>
        <w:ind w:left="260" w:hanging="252"/>
        <w:spacing w:after="0" w:line="258" w:lineRule="auto"/>
        <w:tabs>
          <w:tab w:leader="none" w:pos="2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contingent liability resulted from the acquisition of a business during fiscal 2023. This liability reflects the present value of potential future payments that are contingent upon the achievement of certain specified milestones. The acquisition date fair value of the contingent liability was $7.9 million and was valued using a scenario-based method. This method incorporates unobservable inputs and assumptions made by management, including the probability of achieving specified milestones, expected time until payment and the discount rate. The fair value of the contingent liability is remeasured each reporting period until the contingency is resolved, with any changes in fair value recorded in Selling, general and administrative ("SG&amp;A") within the Consolidated Statements of Income. The change in the fair value of the contingent liability from the acquisition date through February 29, 2024 was driven by the passage of time, with no changes made to key assumptions used in our fair value estimates.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property, equipment and leasehold improvements ("PPE"),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on the Consolidated Balance Sheets at fair value. The carrying value of our Long-term debt is net of related unamortized discounts and debt issuance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Long-term debt is comprised of our Senior Notes and 2022 Credit Facilities. 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and 2022 Credit Facilities.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February 29, 2024 and August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February 29, 2024</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gridSpan w:val="2"/>
            <w:vMerge w:val="continue"/>
          </w:tcPr>
          <w:p>
            <w:pPr>
              <w:spacing w:after="0"/>
              <w:rPr>
                <w:sz w:val="20"/>
                <w:szCs w:val="20"/>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460,890</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434,735</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423,700</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376,406</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82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247,813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246,875</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1,489,488</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 Derivative instruments are only utilized for risk management purposes and are not used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floating interest rate exposure, respectively. For a derivative that was designated and qualified as a cash flow hedge, the effective portion of the change in fair value of the derivative is recorded in Accumulated Other Comprehensive Loss ("AOCL"), net of tax, in the Consolidated Balance Sheets. Realized gains or losses resulting from settlement of our foreign currency forward contracts and interest rate swap agreements are subsequently reclassified into SG&amp;A and Interest expense, respectively, in the Consolidated Statements of Income when the hedges are settled. All of our derivatives qualified and were designated as cash flow hedges, and none of our derivatives were deemed ineffective, during the six months ended February 29, 2024 and February 28, 2023. There was no discontinuance of our cash flow hedges during the six months ended February 29, 2024 and February 28, 2023, and as such, no corresponding gains or losses related to changes in the value of our contracts were reclassified into earnings prior to settlement.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February 29,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 periods range from the third quarter of fiscal 2024 through the second quarter of fiscal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February 29, 2024</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4,391,942</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1,890,330</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187,391</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further discussion of our exposure to foreign exchange rate fluctuations.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7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Secured Overnight Financing Rate ("SOFR") debt with a fixed interest rate of 1.162%. The notional amount of the 2022 Swap Agreement declined by $100.0 million on a quarterly basis beginning May 31, 2022. Effective December 30, 2022, we partially novated our 2022 Swap Agreement to equally apportion the then outstanding notional amount of the interest rate swap between two counterparties. No other terms of the 2022 Swap Agreement were amended, terminated, or otherwise modified prior to its maturity. The 2022 Swap Agreement matured on February 28,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2024, we entered into an interest rate swap agreement ("2024 Swap Agreement") with a notional amount of $200.0 million to hedge a portion of our outstanding floating SOFR debt with a fixed interest rate of 5.145%. The notional amount of the 2024 Swap Agreement declines by $50.0 million on a quarterly basis beginning May 31, 2024 and matures on February 28, 2025.</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SOFR debt and refer to Part I, Item 3. </w:t>
      </w:r>
      <w:r>
        <w:rPr>
          <w:rFonts w:ascii="Times New Roman" w:cs="Times New Roman" w:eastAsia="Times New Roman" w:hAnsi="Times New Roman"/>
          <w:sz w:val="18"/>
          <w:szCs w:val="18"/>
          <w:i w:val="1"/>
          <w:iCs w:val="1"/>
          <w:color w:val="auto"/>
        </w:rPr>
        <w:t>Quantitative and Qualitative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About Market Risk </w:t>
      </w:r>
      <w:r>
        <w:rPr>
          <w:rFonts w:ascii="Times New Roman" w:cs="Times New Roman" w:eastAsia="Times New Roman" w:hAnsi="Times New Roman"/>
          <w:sz w:val="18"/>
          <w:szCs w:val="18"/>
          <w:color w:val="auto"/>
        </w:rPr>
        <w:t>of this Quarterly Report on Form 10-Q for further discussion of our exposure to interest rate risk on our long-term debt outstanding.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Gross Notional Value</w:t>
            </w:r>
          </w:p>
        </w:tc>
      </w:tr>
      <w:tr>
        <w:trPr>
          <w:trHeight w:val="304"/>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February 29, 2024</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7"/>
        </w:trPr>
        <w:tc>
          <w:tcPr>
            <w:tcW w:w="7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372,644</w:t>
            </w:r>
          </w:p>
        </w:tc>
      </w:tr>
      <w:tr>
        <w:trPr>
          <w:trHeight w:val="22"/>
        </w:trPr>
        <w:tc>
          <w:tcPr>
            <w:tcW w:w="7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966"/>
        </w:trPr>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1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r>
      <w:tr>
        <w:trPr>
          <w:trHeight w:val="22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Derivative Assets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24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Derivatives designated as</w:t>
            </w:r>
          </w:p>
        </w:tc>
        <w:tc>
          <w:tcPr>
            <w:tcW w:w="1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Balance Sheet</w:t>
            </w:r>
          </w:p>
        </w:tc>
        <w:tc>
          <w:tcPr>
            <w:tcW w:w="140" w:type="dxa"/>
            <w:vAlign w:val="bottom"/>
          </w:tcPr>
          <w:p>
            <w:pPr>
              <w:spacing w:after="0"/>
              <w:rPr>
                <w:sz w:val="15"/>
                <w:szCs w:val="15"/>
                <w:color w:val="auto"/>
              </w:rPr>
            </w:pPr>
          </w:p>
        </w:tc>
        <w:tc>
          <w:tcPr>
            <w:tcW w:w="110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February 29,</w:t>
            </w:r>
          </w:p>
        </w:tc>
        <w:tc>
          <w:tcPr>
            <w:tcW w:w="160" w:type="dxa"/>
            <w:vAlign w:val="bottom"/>
          </w:tcPr>
          <w:p>
            <w:pPr>
              <w:spacing w:after="0"/>
              <w:rPr>
                <w:sz w:val="15"/>
                <w:szCs w:val="15"/>
                <w:color w:val="auto"/>
              </w:rPr>
            </w:pPr>
          </w:p>
        </w:tc>
        <w:tc>
          <w:tcPr>
            <w:tcW w:w="98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August 31,</w:t>
            </w:r>
          </w:p>
        </w:tc>
      </w:tr>
      <w:tr>
        <w:trPr>
          <w:trHeight w:val="234"/>
        </w:trPr>
        <w:tc>
          <w:tcPr>
            <w:tcW w:w="2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Classification</w:t>
            </w: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2023</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Classification</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178"/>
        </w:trPr>
        <w:tc>
          <w:tcPr>
            <w:tcW w:w="24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currency forward</w:t>
            </w:r>
          </w:p>
        </w:tc>
        <w:tc>
          <w:tcPr>
            <w:tcW w:w="17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Prepaid expenses and</w:t>
            </w: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Accounts payable and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4"/>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184"/>
        </w:trPr>
        <w:tc>
          <w:tcPr>
            <w:tcW w:w="1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Accounts payable and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7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February 29, 2024 and February 28,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Gain (Loss) Recognized in AOCL</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AOCL into Income</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40" w:type="dxa"/>
            <w:vAlign w:val="bottom"/>
          </w:tcPr>
          <w:p>
            <w:pPr>
              <w:spacing w:after="0"/>
              <w:rPr>
                <w:sz w:val="24"/>
                <w:szCs w:val="24"/>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4"/>
                <w:szCs w:val="24"/>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14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175"/>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Reclassified from AOCL into</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7"/>
              </w:rPr>
              <w:t>(215)</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848</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633</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0" w:right="300"/>
        <w:spacing w:after="0" w:line="237"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six months ended February 29, 2024 and February 28,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Gain (Loss) Reclassified in</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AOCL on Derivatives</w:t>
            </w: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AOCL into Income</w:t>
            </w:r>
          </w:p>
        </w:tc>
        <w:tc>
          <w:tcPr>
            <w:tcW w:w="0" w:type="dxa"/>
            <w:vAlign w:val="bottom"/>
          </w:tcPr>
          <w:p>
            <w:pPr>
              <w:spacing w:after="0"/>
              <w:rPr>
                <w:sz w:val="1"/>
                <w:szCs w:val="1"/>
                <w:color w:val="auto"/>
              </w:rPr>
            </w:pPr>
          </w:p>
        </w:tc>
      </w:tr>
      <w:tr>
        <w:trPr>
          <w:trHeight w:val="27"/>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40" w:type="dxa"/>
            <w:vAlign w:val="bottom"/>
          </w:tcPr>
          <w:p>
            <w:pPr>
              <w:spacing w:after="0"/>
              <w:rPr>
                <w:sz w:val="22"/>
                <w:szCs w:val="22"/>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14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Reclassified from AOCL into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(5,244)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2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we estimate that net pre-tax derivative losses of $0.1 million included in AOCL will be reclassified into earnings within the next 12 months. As of February 29, 2024, our cash flow hedges were highly effective with no amount of ineffectiveness recorded in the Consolidated Statements of Income. All components of each derivative’s gain or loss were included in the assessment of hedge effectiveness.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February 29, 2024 and August 31, 2023, there were no material amounts recorded net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six months ended February 29, 2024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1,004,736</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February 29, 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1,003,883</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reportable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2023 utilizing a quantitative analysis. We elected to bypass the optional qualitative assessment and concluded there was no impairment as the fair value of each of our reporting units exceeded its carrying value. Our goodwill impairment test performed during the fourth quarter of fiscal 2022 utilized a qualitative analysis and concluded there was no impairment as it was more likely than not that the fair value of each of our reporting units was not less than its respective carrying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INTANGIBLE ASSETS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following table presents the estimated useful life, gross carrying amounts and accumulated amortization totals related to our identifiable intangible assets as of February 29, 2024 and August 31, 2023:</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2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29, 2024</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2023</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260" w:type="dxa"/>
            <w:vAlign w:val="bottom"/>
            <w:vMerge w:val="continue"/>
          </w:tcPr>
          <w:p>
            <w:pPr>
              <w:spacing w:after="0"/>
              <w:rPr>
                <w:sz w:val="13"/>
                <w:szCs w:val="13"/>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3"/>
                <w:szCs w:val="13"/>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13"/>
                <w:szCs w:val="13"/>
                <w:color w:val="auto"/>
              </w:rPr>
            </w:pPr>
          </w:p>
        </w:tc>
        <w:tc>
          <w:tcPr>
            <w:tcW w:w="116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Net Carrying</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60" w:type="dxa"/>
            <w:vAlign w:val="bottom"/>
          </w:tcPr>
          <w:p>
            <w:pPr>
              <w:spacing w:after="0"/>
              <w:rPr>
                <w:sz w:val="13"/>
                <w:szCs w:val="13"/>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280" w:type="dxa"/>
            <w:vAlign w:val="bottom"/>
            <w:vMerge w:val="continue"/>
          </w:tcPr>
          <w:p>
            <w:pPr>
              <w:spacing w:after="0"/>
              <w:rPr>
                <w:sz w:val="15"/>
                <w:szCs w:val="15"/>
                <w:color w:val="auto"/>
              </w:rPr>
            </w:pPr>
          </w:p>
        </w:tc>
        <w:tc>
          <w:tcPr>
            <w:tcW w:w="126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rPr>
              <w:t>Useful Life</w:t>
            </w: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1,495,056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1,517,042</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74,416</w:t>
            </w:r>
          </w:p>
        </w:tc>
        <w:tc>
          <w:tcPr>
            <w:tcW w:w="12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190,713</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265,315</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196,614</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3 to 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145,213</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45,901</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99,312</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63,662</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w:t>
            </w:r>
          </w:p>
        </w:tc>
        <w:tc>
          <w:tcPr>
            <w:tcW w:w="12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39,867</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to 10</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142,368</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112,798</w:t>
            </w:r>
          </w:p>
        </w:tc>
        <w:tc>
          <w:tcPr>
            <w:tcW w:w="120" w:type="dxa"/>
            <w:vAlign w:val="bottom"/>
            <w:shd w:val="clear" w:color="auto" w:fill="CCEEFF"/>
          </w:tcPr>
          <w:p>
            <w:pPr>
              <w:spacing w:after="0"/>
              <w:rPr>
                <w:sz w:val="19"/>
                <w:szCs w:val="19"/>
                <w:color w:val="auto"/>
              </w:rPr>
            </w:pPr>
          </w:p>
        </w:tc>
        <w:tc>
          <w:tcPr>
            <w:tcW w:w="11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29,570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0" w:type="dxa"/>
            <w:vAlign w:val="bottom"/>
          </w:tcPr>
          <w:p>
            <w:pPr>
              <w:spacing w:after="0"/>
              <w:rPr>
                <w:sz w:val="1"/>
                <w:szCs w:val="1"/>
                <w:color w:val="auto"/>
              </w:rPr>
            </w:pPr>
          </w:p>
        </w:tc>
      </w:tr>
      <w:tr>
        <w:trPr>
          <w:trHeight w:val="230"/>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35,169</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29,320</w:t>
            </w:r>
          </w:p>
        </w:tc>
        <w:tc>
          <w:tcPr>
            <w:tcW w:w="120" w:type="dxa"/>
            <w:vAlign w:val="bottom"/>
          </w:tcPr>
          <w:p>
            <w:pPr>
              <w:spacing w:after="0"/>
              <w:rPr>
                <w:sz w:val="19"/>
                <w:szCs w:val="19"/>
                <w:color w:val="auto"/>
              </w:rPr>
            </w:pP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5,849</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2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3"/>
        </w:trPr>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2,217,169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1,860,609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as of February 29, 2024 was 32.1 years. Intangible assets are tested for impairment qualitatively on a quarterly basis or whenever events or changes in circumstances indicate that the carrying amount of an asset group is not recoverable. If indicators of impairment are present, our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six months ended February 29, 2024 and February 28, 2023. Our intangible assets have no assigned residual values.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6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2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200" w:type="dxa"/>
            <w:vAlign w:val="bottom"/>
          </w:tcPr>
          <w:p>
            <w:pPr>
              <w:spacing w:after="0"/>
              <w:rPr>
                <w:sz w:val="19"/>
                <w:szCs w:val="19"/>
                <w:color w:val="auto"/>
              </w:rPr>
            </w:pPr>
          </w:p>
        </w:tc>
        <w:tc>
          <w:tcPr>
            <w:tcW w:w="12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220" w:type="dxa"/>
            <w:vAlign w:val="bottom"/>
          </w:tcPr>
          <w:p>
            <w:pPr>
              <w:spacing w:after="0"/>
              <w:rPr>
                <w:sz w:val="19"/>
                <w:szCs w:val="19"/>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43,436</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estimated intangible asset amortization expense for each of the next five years and thereafter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1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53,369</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102,958</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95,323</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63,279</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1,472,901</w:t>
            </w: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1,860,609</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INCOME TAXES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 Provision and Effective Tax Rate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0" w:type="dxa"/>
            <w:vAlign w:val="bottom"/>
            <w:gridSpan w:val="3"/>
          </w:tcPr>
          <w:p>
            <w:pPr>
              <w:jc w:val="right"/>
              <w:ind w:right="111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21"/>
                <w:szCs w:val="21"/>
                <w:color w:val="auto"/>
              </w:rPr>
            </w:pPr>
          </w:p>
        </w:tc>
        <w:tc>
          <w:tcPr>
            <w:tcW w:w="36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80" w:type="dxa"/>
            <w:vAlign w:val="bottom"/>
          </w:tcPr>
          <w:p>
            <w:pPr>
              <w:spacing w:after="0"/>
              <w:rPr>
                <w:sz w:val="19"/>
                <w:szCs w:val="19"/>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February 29,</w:t>
            </w:r>
          </w:p>
        </w:tc>
        <w:tc>
          <w:tcPr>
            <w:tcW w:w="300" w:type="dxa"/>
            <w:vAlign w:val="bottom"/>
          </w:tcPr>
          <w:p>
            <w:pPr>
              <w:spacing w:after="0"/>
              <w:rPr>
                <w:sz w:val="19"/>
                <w:szCs w:val="19"/>
                <w:color w:val="auto"/>
              </w:rPr>
            </w:pPr>
          </w:p>
        </w:tc>
        <w:tc>
          <w:tcPr>
            <w:tcW w:w="16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February 28,</w:t>
            </w:r>
          </w:p>
        </w:tc>
        <w:tc>
          <w:tcPr>
            <w:tcW w:w="320" w:type="dxa"/>
            <w:vAlign w:val="bottom"/>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February 29,</w:t>
            </w:r>
          </w:p>
        </w:tc>
        <w:tc>
          <w:tcPr>
            <w:tcW w:w="300" w:type="dxa"/>
            <w:vAlign w:val="bottom"/>
          </w:tcPr>
          <w:p>
            <w:pPr>
              <w:spacing w:after="0"/>
              <w:rPr>
                <w:sz w:val="19"/>
                <w:szCs w:val="19"/>
                <w:color w:val="auto"/>
              </w:rPr>
            </w:pP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168,645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343,841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314,647</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27,705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25,169</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54,346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46,256</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February 29, 2024 was lower than the applicable U.S. corporate income tax rate mainly due to a net tax benefit from the employee exercise of stock options, research and development ("R&amp;D") tax credits and utilization of foreign tax credits, partially offset by our state taxes. For the three and six months ended February 28, 2023, our effective tax rate was lower than the applicable U.S. corporate income tax rate mainly due to R&amp;D tax credits, a foreign derived intangible income ("FDII") deduction and a net tax benefit from the employee exercise of stock options.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29, 2024 was higher than for the three months ended February 28, 2023, mainly driven by higher pretax income at applicable statutory tax rates and a higher overall foreign tax rate, partially offset by an increase in the exercise of stock options and increased utilization of foreign tax credits.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six months ended February 29, 2024 was higher than for the six months ended February 28, 2023, mainly driven by higher pretax income at applicable statutory tax rates and a higher overall foreign tax rate, partially offset by increased utilization of foreign tax credits.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Foreign Earnings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permanently reinvest all foreign undistributed earnings, except in jurisdictions where earnings can be repatriated substantially free of tax. It is not practicable to determine the deferred tax liability that would be payable if these earnings were repatriated to the 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contains several revisions to the Internal Revenue Code effective for taxable years beginning after December 31, 2022, including a 15% minimum income tax on certain large corporations. We do not expect this revision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w:t>
      </w:r>
      <w:r>
        <w:rPr>
          <w:rFonts w:ascii="Times New Roman" w:cs="Times New Roman" w:eastAsia="Times New Roman" w:hAnsi="Times New Roman"/>
          <w:sz w:val="18"/>
          <w:szCs w:val="18"/>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February 29, 2024, we recognized $133.9 million of Lease ROU assets, net and $214.7 million of combined Current lease liabilities and Long-term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lease liabilities in the Consolidated Balance Sheets. Our leases </w:t>
      </w:r>
      <w:r>
        <w:rPr>
          <w:rFonts w:ascii="Times New Roman" w:cs="Times New Roman" w:eastAsia="Times New Roman" w:hAnsi="Times New Roman"/>
          <w:sz w:val="18"/>
          <w:szCs w:val="18"/>
          <w:color w:val="212529"/>
        </w:rPr>
        <w:t>have a remaining lease term ranging from</w:t>
      </w:r>
      <w:r>
        <w:rPr>
          <w:rFonts w:ascii="Times New Roman" w:cs="Times New Roman" w:eastAsia="Times New Roman" w:hAnsi="Times New Roman"/>
          <w:sz w:val="18"/>
          <w:szCs w:val="18"/>
          <w:color w:val="000000"/>
        </w:rPr>
        <w:t xml:space="preserve"> less than one year to just under 12 years and do not include any renewal or termination options that were not reasonably certain to be exercised.</w:t>
      </w:r>
    </w:p>
    <w:p>
      <w:pPr>
        <w:spacing w:after="0" w:line="13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presents our future minimum lease payments and a reconciliation to the combined </w:t>
      </w:r>
      <w:r>
        <w:rPr>
          <w:rFonts w:ascii="Times New Roman" w:cs="Times New Roman" w:eastAsia="Times New Roman" w:hAnsi="Times New Roman"/>
          <w:sz w:val="18"/>
          <w:szCs w:val="18"/>
          <w:color w:val="000000"/>
        </w:rPr>
        <w:t>Current lease liabilities and Long-term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February 29, 2024</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Minimum Lease</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4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4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38,022</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31,771</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88,843</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251,670</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36,946</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214,724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1"/>
                <w:szCs w:val="21"/>
                <w:color w:val="auto"/>
              </w:rPr>
            </w:pPr>
          </w:p>
        </w:tc>
        <w:tc>
          <w:tcPr>
            <w:tcW w:w="25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5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74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auto"/>
            </w:tcBorders>
            <w:gridSpan w:val="2"/>
            <w:vMerge w:val="continue"/>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0" w:type="dxa"/>
            <w:vAlign w:val="bottom"/>
          </w:tcPr>
          <w:p>
            <w:pPr>
              <w:spacing w:after="0"/>
              <w:rPr>
                <w:sz w:val="1"/>
                <w:szCs w:val="1"/>
                <w:color w:val="auto"/>
              </w:rPr>
            </w:pPr>
          </w:p>
        </w:tc>
      </w:tr>
      <w:tr>
        <w:trPr>
          <w:trHeight w:val="3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283" w:lineRule="auto"/>
        <w:tabs>
          <w:tab w:leader="none" w:pos="2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67" w:lineRule="exact"/>
        <w:rPr>
          <w:rFonts w:ascii="Times New Roman" w:cs="Times New Roman" w:eastAsia="Times New Roman" w:hAnsi="Times New Roman"/>
          <w:sz w:val="16"/>
          <w:szCs w:val="16"/>
          <w:color w:val="auto"/>
        </w:rPr>
      </w:pPr>
    </w:p>
    <w:p>
      <w:pPr>
        <w:jc w:val="both"/>
        <w:ind w:left="260" w:right="20" w:hanging="252"/>
        <w:spacing w:after="0" w:line="272" w:lineRule="auto"/>
        <w:tabs>
          <w:tab w:leader="none" w:pos="2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As of February 29, 2024</w:t>
            </w:r>
          </w:p>
        </w:tc>
        <w:tc>
          <w:tcPr>
            <w:tcW w:w="2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August 31, 2023</w:t>
            </w: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68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20" w:type="dxa"/>
            <w:vAlign w:val="bottom"/>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February 29,</w:t>
            </w:r>
          </w:p>
        </w:tc>
        <w:tc>
          <w:tcPr>
            <w:tcW w:w="340" w:type="dxa"/>
            <w:vAlign w:val="bottom"/>
          </w:tcPr>
          <w:p>
            <w:pPr>
              <w:spacing w:after="0"/>
              <w:rPr>
                <w:sz w:val="19"/>
                <w:szCs w:val="19"/>
                <w:color w:val="auto"/>
              </w:rPr>
            </w:pPr>
          </w:p>
        </w:tc>
        <w:tc>
          <w:tcPr>
            <w:tcW w:w="1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auto"/>
            </w:tcBorders>
            <w:vMerge w:val="continue"/>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19,596</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Reductions to ROU assets resulting from reductions to lease liabilities</w:t>
            </w:r>
            <w:r>
              <w:rPr>
                <w:rFonts w:ascii="Times New Roman" w:cs="Times New Roman" w:eastAsia="Times New Roman" w:hAnsi="Times New Roman"/>
                <w:sz w:val="23"/>
                <w:szCs w:val="23"/>
                <w:color w:val="auto"/>
                <w:vertAlign w:val="superscript"/>
              </w:rPr>
              <w:t>(2)</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right="20" w:hanging="252"/>
        <w:spacing w:after="0" w:line="280"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70" w:lineRule="exact"/>
        <w:rPr>
          <w:rFonts w:ascii="Times New Roman" w:cs="Times New Roman" w:eastAsia="Times New Roman" w:hAnsi="Times New Roman"/>
          <w:sz w:val="16"/>
          <w:szCs w:val="16"/>
          <w:color w:val="auto"/>
        </w:rPr>
      </w:pPr>
    </w:p>
    <w:p>
      <w:pPr>
        <w:ind w:left="260" w:hanging="252"/>
        <w:spacing w:after="0" w:line="280"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lease term reassessments based on contractual options to early terminate, resulting in a reduction to the lease liability and the corresponding lease ROU asset.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DEBT</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discounts and debt issuance costs. Our total debt obligations as of February 29, 2024 and August 31, 2023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1"/>
        </w:trPr>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Issuance Date</w:t>
            </w: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Maturity Date</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February 29, 2024</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Credit Agreement</w:t>
            </w:r>
          </w:p>
        </w:tc>
        <w:tc>
          <w:tcPr>
            <w:tcW w:w="1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3/1/2022</w:t>
            </w: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3/1/2025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29"/>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3/1/2022</w:t>
            </w:r>
          </w:p>
        </w:tc>
        <w:tc>
          <w:tcPr>
            <w:tcW w:w="15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3/1/2027</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3"/>
        </w:trPr>
        <w:tc>
          <w:tcPr>
            <w:tcW w:w="512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2027</w:t>
            </w: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3/1/2022</w:t>
            </w:r>
          </w:p>
        </w:tc>
        <w:tc>
          <w:tcPr>
            <w:tcW w:w="1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3/1/2027</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2032</w:t>
            </w:r>
          </w:p>
        </w:tc>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6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3/1/2022</w:t>
            </w:r>
          </w:p>
        </w:tc>
        <w:tc>
          <w:tcPr>
            <w:tcW w:w="15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3/1/2032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2"/>
        </w:trPr>
        <w:tc>
          <w:tcPr>
            <w:tcW w:w="5120" w:type="dxa"/>
            <w:vAlign w:val="bottom"/>
            <w:gridSpan w:val="2"/>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70"/>
        </w:trPr>
        <w:tc>
          <w:tcPr>
            <w:tcW w:w="5120" w:type="dxa"/>
            <w:vAlign w:val="bottom"/>
            <w:tcBorders>
              <w:bottom w:val="single" w:sz="8" w:color="CCEEFF"/>
            </w:tcBorders>
            <w:gridSpan w:val="2"/>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15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annual maturities on our total debt obligations, based on contractual maturity date,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February 29, 2024.</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29, 2024, we repaid $62.5 million and $125.0 million, respectively, under the 2022 Term Facility, inclusive of voluntary prepayments of $50.0 million and $100.0 million, respectively. Since loan inception on March 1, 2022, we have repaid $750.0 million under the 2022 Term Facility, inclusive of voluntary prepayments of $662.5 million.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February 29,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February 29, 2024. We were in compliance with all covenants and requirements of the 2022 Credit Agreement as of February 29,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2022, we entered into the 2022 Swap Agreement to hedge a portion of our outstanding floating SOFR debt with a fixed interest rate of 1.162%. Effective December 30, 2022, we apportioned the then outstanding notional amount of the 2022 Swap Agreement between two counterparties. The 2022 Swap Agreement matured on February 28,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Swap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2024, we entered into the 2024 Swap Agreement to hedge a portion of our outstanding floating SOFR debt with a fixed interest rate of 5.145%.</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2022 Swap Agreement and the 2024 Swap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5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8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19"/>
                <w:szCs w:val="19"/>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auto"/>
            </w:tcBorders>
            <w:vMerge w:val="continue"/>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16,589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33,256</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Interest expense on our outstanding debt includes the related amortization of debt issuance costs and debt discounts, net of the effects of the 2022 Swap Agreement.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(i.e.,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non-income-tax liabilities for contingencies when we believe that a loss is probable, and the amount can be reasonably estimated. Judgment is required to determine both the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2023 for further details.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 For the six months ended February 29, 2024, there were no material changes to our purchase obligations.</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29, 2024 and August 31, 2023, we had outstanding capital commitments related to an investment of $0.6 million and $0.7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February 29, 2024 and August 31, 2023, we had $0.5 million and $0.6 million of standby letters of credit outstanding, respectively. No liabilities related to these arrangements are reflected in the Consolidated Balance Sheets.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2022 Revolving Facility allows for the availability of up to $100.0 million in the form of letters of credit. We have not obtained any letters of credit under the 2022 Revolving Facility since its inception.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2022 Revolving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February 29, 2024,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 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On February 20, 2024, we received a “Notice of Selection for Audit” for sales tax for the period from July 1, 2021 through December 31, 2023. We have filed petitions with the Appellate Tax Board to appeal all amounts assessed by the Commonwealth and believe that we will ultimately prevail; however, if we do not prevail, the amount of these assessments could have a material impact on our consolidated financial position, results of operations and cash flows.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concluded that some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Three Months Ended</w:t>
            </w:r>
          </w:p>
        </w:tc>
        <w:tc>
          <w:tcPr>
            <w:tcW w:w="24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February 28,</w:t>
            </w: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r>
      <w:tr>
        <w:trPr>
          <w:trHeight w:val="27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6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Repurchases of common stock under the share repurchase program</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113,050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249,000</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r>
              <w:rPr>
                <w:rFonts w:ascii="Times New Roman" w:cs="Times New Roman" w:eastAsia="Times New Roman" w:hAnsi="Times New Roman"/>
                <w:sz w:val="23"/>
                <w:szCs w:val="23"/>
                <w:color w:val="auto"/>
                <w:vertAlign w:val="superscript"/>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112,165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98" w:lineRule="exact"/>
        <w:rPr>
          <w:sz w:val="20"/>
          <w:szCs w:val="20"/>
          <w:color w:val="auto"/>
        </w:rPr>
      </w:pPr>
    </w:p>
    <w:p>
      <w:pPr>
        <w:jc w:val="both"/>
        <w:ind w:left="260" w:hanging="252"/>
        <w:spacing w:after="0" w:line="272" w:lineRule="auto"/>
        <w:tabs>
          <w:tab w:leader="none" w:pos="2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do not include repurchases of common stock primarily to satisfy tax withholding obligations due upon vesting of stock-based awards of 1,999 shares ($1.0 million) and 1,853 shares ($0.8 million) during the three months ended February 29, 2024 and February 28, 2023, respectively, and 32,383 shares ($14.5 million) and 27,713 shares ($11.8 million) during the six months ended February 29, 2024 and February 28, 2023,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through the second quarter of fiscal 2023 to prioritize the repayment of debt under the 2022 Credit Facilities. As such, we did not repurchase any shares of our common stock under the share repurchase program during the three and six months ended February 28,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As of February 29, 2024, we had $187.8 million authorized under our share repurchase program for future share repurchases. Refer to Part II, Item 2. </w:t>
      </w:r>
      <w:r>
        <w:rPr>
          <w:rFonts w:ascii="Times New Roman" w:cs="Times New Roman" w:eastAsia="Times New Roman" w:hAnsi="Times New Roman"/>
          <w:sz w:val="18"/>
          <w:szCs w:val="18"/>
          <w:i w:val="1"/>
          <w:iCs w:val="1"/>
          <w:color w:val="auto"/>
        </w:rPr>
        <w:t>Unregistered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and six months ended February 29, 2024 and February 28,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Dividends per</w:t>
            </w: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Total Amount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560" w:type="dxa"/>
            <w:vAlign w:val="bottom"/>
          </w:tcPr>
          <w:p>
            <w:pPr>
              <w:spacing w:after="0"/>
              <w:rPr>
                <w:sz w:val="15"/>
                <w:szCs w:val="15"/>
                <w:color w:val="auto"/>
              </w:rPr>
            </w:pPr>
          </w:p>
        </w:tc>
        <w:tc>
          <w:tcPr>
            <w:tcW w:w="146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w w:val="99"/>
              </w:rPr>
              <w:t>Share of</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Record Date</w:t>
            </w:r>
          </w:p>
        </w:tc>
        <w:tc>
          <w:tcPr>
            <w:tcW w:w="3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9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w:t>
            </w:r>
          </w:p>
        </w:tc>
        <w:tc>
          <w:tcPr>
            <w:tcW w:w="1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37,299</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December 21, 2023</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0.98</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29, 2024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37,360</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21, 2024</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34,010</w:t>
            </w:r>
          </w:p>
        </w:tc>
        <w:tc>
          <w:tcPr>
            <w:tcW w:w="19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December 15, 2022</w:t>
            </w:r>
          </w:p>
        </w:tc>
        <w:tc>
          <w:tcPr>
            <w:tcW w:w="0" w:type="dxa"/>
            <w:vAlign w:val="bottom"/>
          </w:tcPr>
          <w:p>
            <w:pPr>
              <w:spacing w:after="0"/>
              <w:rPr>
                <w:sz w:val="1"/>
                <w:szCs w:val="1"/>
                <w:color w:val="auto"/>
              </w:rPr>
            </w:pPr>
          </w:p>
        </w:tc>
      </w:tr>
      <w:tr>
        <w:trPr>
          <w:trHeight w:val="234"/>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Quarter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28,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34,099</w:t>
            </w:r>
          </w:p>
        </w:tc>
        <w:tc>
          <w:tcPr>
            <w:tcW w:w="1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March 16, 2023</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as of February 29, 2024 and August 31, 2023 were as follows:</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February 29, 2024</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(91,069)</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EARNINGS PER SHARE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computed using the treasury stock method, by dividing net income by the cumulative weighted average common shares that are outstanding or are issuable upon the exercise of outstanding stock-based compensation awards during the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EPS and Diluted EPS computation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6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Pr>
          <w:p>
            <w:pPr>
              <w:spacing w:after="0"/>
              <w:rPr>
                <w:sz w:val="19"/>
                <w:szCs w:val="19"/>
                <w:color w:val="auto"/>
              </w:rPr>
            </w:pPr>
          </w:p>
        </w:tc>
        <w:tc>
          <w:tcPr>
            <w:tcW w:w="31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00" w:type="dxa"/>
            <w:vAlign w:val="bottom"/>
          </w:tcPr>
          <w:p>
            <w:pPr>
              <w:spacing w:after="0"/>
              <w:rPr>
                <w:sz w:val="19"/>
                <w:szCs w:val="19"/>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February 29,</w:t>
            </w:r>
          </w:p>
        </w:tc>
        <w:tc>
          <w:tcPr>
            <w:tcW w:w="320" w:type="dxa"/>
            <w:vAlign w:val="bottom"/>
          </w:tcPr>
          <w:p>
            <w:pPr>
              <w:spacing w:after="0"/>
              <w:rPr>
                <w:sz w:val="19"/>
                <w:szCs w:val="19"/>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February 28,</w:t>
            </w:r>
          </w:p>
        </w:tc>
        <w:tc>
          <w:tcPr>
            <w:tcW w:w="260" w:type="dxa"/>
            <w:vAlign w:val="bottom"/>
          </w:tcPr>
          <w:p>
            <w:pPr>
              <w:spacing w:after="0"/>
              <w:rPr>
                <w:sz w:val="19"/>
                <w:szCs w:val="19"/>
                <w:color w:val="auto"/>
              </w:rPr>
            </w:pP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29,</w:t>
            </w:r>
          </w:p>
        </w:tc>
        <w:tc>
          <w:tcPr>
            <w:tcW w:w="260" w:type="dxa"/>
            <w:vAlign w:val="bottom"/>
          </w:tcPr>
          <w:p>
            <w:pPr>
              <w:spacing w:after="0"/>
              <w:rPr>
                <w:sz w:val="19"/>
                <w:szCs w:val="19"/>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406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used for calculating Basic EPS and Diluted</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the</w:t>
            </w:r>
          </w:p>
        </w:tc>
        <w:tc>
          <w:tcPr>
            <w:tcW w:w="3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calculation of Basic EPS</w:t>
            </w: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38,103</w:t>
            </w:r>
          </w:p>
        </w:tc>
        <w:tc>
          <w:tcPr>
            <w:tcW w:w="3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38,281</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38,059</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38,201</w:t>
            </w: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equivalents associated with stock-based</w:t>
            </w:r>
          </w:p>
        </w:tc>
        <w:tc>
          <w:tcPr>
            <w:tcW w:w="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plan</w:t>
            </w:r>
          </w:p>
        </w:tc>
        <w:tc>
          <w:tcPr>
            <w:tcW w:w="3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2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w:t>
            </w:r>
          </w:p>
        </w:tc>
        <w:tc>
          <w:tcPr>
            <w:tcW w:w="32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7.49</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that were out-of-the-money and performance share units ("PSUs") in which the performance criteria have not been met as of the end of the respective reporting period are omitted from the calculation of Diluted EPS as their impact was antidilutive. The following table presents those awards that were excluded from Diluted EPS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80" w:type="dxa"/>
            <w:vAlign w:val="bottom"/>
          </w:tcPr>
          <w:p>
            <w:pPr>
              <w:jc w:val="center"/>
              <w:ind w:left="2230"/>
              <w:spacing w:after="0"/>
              <w:rPr>
                <w:sz w:val="20"/>
                <w:szCs w:val="20"/>
                <w:color w:val="auto"/>
              </w:rPr>
            </w:pPr>
            <w:r>
              <w:rPr>
                <w:rFonts w:ascii="Times New Roman" w:cs="Times New Roman" w:eastAsia="Times New Roman" w:hAnsi="Times New Roman"/>
                <w:sz w:val="18"/>
                <w:szCs w:val="18"/>
                <w:color w:val="auto"/>
                <w:w w:val="99"/>
              </w:rPr>
              <w:t>As of February 29,</w:t>
            </w:r>
          </w:p>
        </w:tc>
        <w:tc>
          <w:tcPr>
            <w:tcW w:w="560" w:type="dxa"/>
            <w:vAlign w:val="bottom"/>
          </w:tcPr>
          <w:p>
            <w:pPr>
              <w:spacing w:after="0"/>
              <w:rPr>
                <w:sz w:val="19"/>
                <w:szCs w:val="19"/>
                <w:color w:val="auto"/>
              </w:rPr>
            </w:pPr>
          </w:p>
        </w:tc>
        <w:tc>
          <w:tcPr>
            <w:tcW w:w="20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As of February 28,</w:t>
            </w:r>
          </w:p>
        </w:tc>
        <w:tc>
          <w:tcPr>
            <w:tcW w:w="0" w:type="dxa"/>
            <w:vAlign w:val="bottom"/>
          </w:tcPr>
          <w:p>
            <w:pPr>
              <w:spacing w:after="0"/>
              <w:rPr>
                <w:sz w:val="1"/>
                <w:szCs w:val="1"/>
                <w:color w:val="auto"/>
              </w:rPr>
            </w:pPr>
          </w:p>
        </w:tc>
      </w:tr>
      <w:tr>
        <w:trPr>
          <w:trHeight w:val="234"/>
        </w:trPr>
        <w:tc>
          <w:tcPr>
            <w:tcW w:w="4760" w:type="dxa"/>
            <w:vAlign w:val="bottom"/>
            <w:tcBorders>
              <w:bottom w:val="single" w:sz="8" w:color="auto"/>
            </w:tcBorders>
            <w:vMerge w:val="continue"/>
          </w:tcPr>
          <w:p>
            <w:pPr>
              <w:spacing w:after="0"/>
              <w:rPr>
                <w:sz w:val="20"/>
                <w:szCs w:val="20"/>
                <w:color w:val="auto"/>
              </w:rPr>
            </w:pPr>
          </w:p>
        </w:tc>
        <w:tc>
          <w:tcPr>
            <w:tcW w:w="38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Out-of-the-money stock options</w:t>
            </w:r>
          </w:p>
        </w:tc>
        <w:tc>
          <w:tcPr>
            <w:tcW w:w="3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880" w:type="dxa"/>
            <w:vAlign w:val="bottom"/>
          </w:tcPr>
          <w:p>
            <w:pPr>
              <w:spacing w:after="0"/>
              <w:rPr>
                <w:sz w:val="20"/>
                <w:szCs w:val="20"/>
                <w:color w:val="auto"/>
              </w:rPr>
            </w:pP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STOCK-BASED COMPENSATION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stock-based awards include stock options, restricted stock units ("RSUs"), PSUs and common stock purchased by eligible employees under our employee stock purchase plan ("ESPP"). We measure and recognize stock-based compensation for all stock-based awards granted to our employees and our non-employee members of the Board of Directors ("non-employee directors") based on their estimated grant date fair value. To estimate the grant date fair value, we utilize a lattice-binomial option-pricing model ("binomial model") for our employee stock options and the Black-Scholes model for non-employee director stock options and common stock purchased by eligible employees under our ESPP.</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future dividend payments on the underlying stock during the requisite service period. The number of PSUs granted assumes target-level achievement of the specified performance levels within the payout range. The ultimate number of common shares that may be earned from a PSU is determined based on the actual achievement of the specified performance levels within the payout range.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granted stock options and RSUs, the amount of stock-based compensation expense recognized on any date is at least equal to the vested portion of the award on that date.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and we recognize stock-based compensation expense using the straight-line method over the requisite service period. The probability of achieving the specified performance levels is reviewed on a quarterly basis to ensure the amount of stock-based compensation expense appropriately reflects the expected achievement. The ultimate number of common shares that may be earned pursuant to these PSU awards range from 0% to 150% of the number of target shares for the November 2022 annual grant and 0% to 200% of the number of target shares for the November 2023 annual grant, depending on the level of our achievement of stated financial performance objectives.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awards are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for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9"/>
                <w:szCs w:val="19"/>
                <w:color w:val="auto"/>
              </w:rPr>
            </w:pPr>
          </w:p>
        </w:tc>
        <w:tc>
          <w:tcPr>
            <w:tcW w:w="24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February 29,</w:t>
            </w:r>
          </w:p>
        </w:tc>
        <w:tc>
          <w:tcPr>
            <w:tcW w:w="20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28,</w:t>
            </w:r>
          </w:p>
        </w:tc>
        <w:tc>
          <w:tcPr>
            <w:tcW w:w="18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16,652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stock-based compensation costs capitalized in any periods presented. As of February 29, 2024, $151.8 million of total unrecognized compensation expense related to non-vested stock-based awards is expected to be recognized over a weighted average vesting period of 3.1 years.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29, 2024, we had 3.7 million employee stock-based awards available for grant under the FactSet Research Systems Inc. Stock Option and Award Plan, as Amended and Restated (the "LTIP").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annual employee stock option grant, made during the first quarter of each fiscal year, makes up the majority of our stock options granted under the LTIP in each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under the LTIP for the six months ended February 29, 2024 and February 28,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48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29"/>
        </w:trPr>
        <w:tc>
          <w:tcPr>
            <w:tcW w:w="51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February 29,</w:t>
            </w:r>
          </w:p>
        </w:tc>
        <w:tc>
          <w:tcPr>
            <w:tcW w:w="320" w:type="dxa"/>
            <w:vAlign w:val="bottom"/>
          </w:tcPr>
          <w:p>
            <w:pPr>
              <w:spacing w:after="0"/>
              <w:rPr>
                <w:sz w:val="19"/>
                <w:szCs w:val="19"/>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February 28,</w:t>
            </w:r>
          </w:p>
        </w:tc>
      </w:tr>
      <w:tr>
        <w:trPr>
          <w:trHeight w:val="234"/>
        </w:trPr>
        <w:tc>
          <w:tcPr>
            <w:tcW w:w="5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243,125</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267,641</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26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125.58</w:t>
            </w:r>
          </w:p>
        </w:tc>
      </w:tr>
    </w:tbl>
    <w:p>
      <w:pPr>
        <w:spacing w:after="0" w:line="202" w:lineRule="exact"/>
        <w:rPr>
          <w:sz w:val="20"/>
          <w:szCs w:val="20"/>
          <w:color w:val="auto"/>
        </w:rPr>
      </w:pPr>
    </w:p>
    <w:p>
      <w:pPr>
        <w:ind w:left="260" w:hanging="252"/>
        <w:spacing w:after="0" w:line="298" w:lineRule="auto"/>
        <w:tabs>
          <w:tab w:leader="none" w:pos="24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2023 and November 1, 2022 of 242,371 and 266,051 stock options, respectively. These annual employee grants both vest 20% annually on the anniversary date of the grant and are fully vested after five years, expiring ten years from the date of grant.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the November 1, 2023 annual employee grant, the estimated grant date fair value, using the binomial model, leveraged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2023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- 5.53%</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Stock Awards are granted to our employees under the LTIP. These awards entitle the holders to shares of common stock as the Restricted Stock Awards vest, but not to dividends declared on the underlying shares while the stock subject to the Restricted Stock Awards is unvested.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Restricted Stock Awards granted during the six months ended February 29, 2024 and February 28, 2023, primarily related to our annual grants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2023 and November 1, 2022, respectively, and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3160" w:type="dxa"/>
            <w:vAlign w:val="bottom"/>
            <w:gridSpan w:val="3"/>
          </w:tcPr>
          <w:p>
            <w:pPr>
              <w:jc w:val="right"/>
              <w:ind w:right="1030"/>
              <w:spacing w:after="0"/>
              <w:rPr>
                <w:sz w:val="20"/>
                <w:szCs w:val="20"/>
                <w:color w:val="auto"/>
              </w:rPr>
            </w:pPr>
            <w:r>
              <w:rPr>
                <w:rFonts w:ascii="Times New Roman" w:cs="Times New Roman" w:eastAsia="Times New Roman" w:hAnsi="Times New Roman"/>
                <w:sz w:val="18"/>
                <w:szCs w:val="18"/>
                <w:color w:val="auto"/>
              </w:rPr>
              <w:t>February 29,</w:t>
            </w:r>
          </w:p>
        </w:tc>
        <w:tc>
          <w:tcPr>
            <w:tcW w:w="310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February 28,</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4"/>
                <w:szCs w:val="14"/>
                <w:color w:val="auto"/>
              </w:rPr>
            </w:pPr>
          </w:p>
        </w:tc>
        <w:tc>
          <w:tcPr>
            <w:tcW w:w="17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4"/>
                <w:szCs w:val="14"/>
                <w:color w:val="auto"/>
              </w:rPr>
            </w:pPr>
          </w:p>
        </w:tc>
        <w:tc>
          <w:tcPr>
            <w:tcW w:w="18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 Award</w:t>
            </w: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Per Award</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415.33</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116,307</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90,395</w:t>
            </w: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RSUs granted vest 20% annually on the anniversary date of the grant and are fully vested after five years.</w:t>
      </w:r>
    </w:p>
    <w:p>
      <w:pPr>
        <w:spacing w:after="0" w:line="72" w:lineRule="exact"/>
        <w:rPr>
          <w:rFonts w:ascii="Times New Roman" w:cs="Times New Roman" w:eastAsia="Times New Roman" w:hAnsi="Times New Roman"/>
          <w:sz w:val="16"/>
          <w:szCs w:val="16"/>
          <w:color w:val="auto"/>
        </w:rPr>
      </w:pPr>
    </w:p>
    <w:p>
      <w:pPr>
        <w:jc w:val="both"/>
        <w:ind w:left="260" w:hanging="252"/>
        <w:spacing w:after="0" w:line="263" w:lineRule="auto"/>
        <w:tabs>
          <w:tab w:leader="none" w:pos="24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PSUs granted cliff vest on the third anniversary of the grant date, subject to the achievement of certain performance metrics. The ultimate number of common shares that may be earned pursuant to these PSU awards range from 0% to 150% of the number of target shares for the November 2022 annual grant and 0% to 200% of the number of target shares for the November 2023 annual grant, depending on the level of our achievement of stated financial performance objectives.</w:t>
      </w:r>
    </w:p>
    <w:p>
      <w:pPr>
        <w:spacing w:after="0" w:line="29" w:lineRule="exact"/>
        <w:rPr>
          <w:rFonts w:ascii="Times New Roman" w:cs="Times New Roman" w:eastAsia="Times New Roman" w:hAnsi="Times New Roman"/>
          <w:sz w:val="16"/>
          <w:szCs w:val="16"/>
          <w:color w:val="auto"/>
        </w:rPr>
      </w:pPr>
    </w:p>
    <w:p>
      <w:pPr>
        <w:ind w:left="260" w:right="20" w:hanging="252"/>
        <w:spacing w:after="0" w:line="280" w:lineRule="auto"/>
        <w:tabs>
          <w:tab w:leader="none" w:pos="27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February 29, 2024 and February 28, 2023, additional PSUs were granted based on performance above the specified target level of achievement for PSUs granted on November 9, 2020 and November 1, 2019,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 three-month offering period. Employee purchases may not exceed 10% of their gross compensation, and there is a $25,000 contribution limit per employee for each calendar year. Shares purchased through our ESPP cannot be sold or otherwise transferred for 18 months after purchase. Dividends paid on shares held in our ESPP are used to purchase additional ESPP shares at the market price on the dividend payment date.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our ESPP was $0.6 million for both the three months ended February 29, 2024 and February 28, 2023. Stock-based compensation expense related to our ESPP was $1.2 million for the six months ended February 29, 2024 and $1.3 million for the six months ended February 28,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our ESPP had 45,503 shares reserved for future issuance.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SEGMENT INFORMATION</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CODM for resource allocation decisions and performance assessment, and (iii) their discrete financial information is available. Our Chief Executive Officer functions as our CODM.</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our CODM manages our business and the geographic markets in which we operate. These operating segments are consistent with our reportable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Australasia. Segment revenues reflect sales to our clients based on their respective geographic locations.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6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29, 2024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352,618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54,151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545,945</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181,942</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w:t>
            </w:r>
          </w:p>
        </w:tc>
      </w:tr>
      <w:tr>
        <w:trPr>
          <w:trHeight w:val="423"/>
        </w:trPr>
        <w:tc>
          <w:tcPr>
            <w:tcW w:w="5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February 28, 2023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331,121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515,085</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169,250</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17,456</w:t>
            </w:r>
          </w:p>
        </w:tc>
      </w:tr>
      <w:tr>
        <w:trPr>
          <w:trHeight w:val="423"/>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29, 2024</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700,985</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108,439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1,088,161</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370,982</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w:t>
            </w:r>
          </w:p>
        </w:tc>
      </w:tr>
      <w:tr>
        <w:trPr>
          <w:trHeight w:val="423"/>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0"/>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six months ended February 28, 2023</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654,488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1,019,900</w:t>
            </w:r>
          </w:p>
        </w:tc>
      </w:tr>
      <w:tr>
        <w:trPr>
          <w:trHeight w:val="230"/>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341,145</w:t>
            </w:r>
          </w:p>
        </w:tc>
      </w:tr>
      <w:tr>
        <w:trPr>
          <w:trHeight w:val="306"/>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35,416</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Capital expenditures includes purchases of property, equipment and leasehold improvements and capitalized internal-use software.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2"/>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February 29, 2024</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23"/>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3,121,172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3,148,192</w:t>
            </w:r>
          </w:p>
        </w:tc>
      </w:tr>
      <w:tr>
        <w:trPr>
          <w:trHeight w:val="229"/>
        </w:trPr>
        <w:tc>
          <w:tcPr>
            <w:tcW w:w="7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605,954</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558,393</w:t>
            </w:r>
          </w:p>
        </w:tc>
      </w:tr>
      <w:tr>
        <w:trPr>
          <w:trHeight w:val="230"/>
        </w:trPr>
        <w:tc>
          <w:tcPr>
            <w:tcW w:w="7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263,740</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256,337</w:t>
            </w:r>
          </w:p>
        </w:tc>
      </w:tr>
      <w:tr>
        <w:trPr>
          <w:trHeight w:val="223"/>
        </w:trPr>
        <w:tc>
          <w:tcPr>
            <w:tcW w:w="7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3,990,866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2023,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2023.</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February 29, 2024, we had more than 8,000 clients comprised of over 206,000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asset managers, asset owners, and hedge fund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banking and sell-side research, corporate, and private equity and venture capital workflows,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workflows,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our chief operating decision maker ("CODM") continues to review our business and operating results based on our three segments, the Americas, EMEA and Asia Pacific, the realignment of our internal organization by firm type will not impact our segments for fiscal 2024. Refer to Note 15,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in the Notes to the Consolidated Financial Statements included in Part I, Item 1. of this Quarterly Report on Form 10-Q 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segments and CODM.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and powerful enterprise solutions that deliver a differentiated advantage for our clients’ success. By offering personalized digital products, we strive to be a trusted partner and service provider, delivering relevant insights and research ideas tailored to our clients' specific business models.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 To execute our strategy, we have outlined the following key initiatives:</w:t>
      </w:r>
    </w:p>
    <w:p>
      <w:pPr>
        <w:spacing w:after="0" w:line="145" w:lineRule="exact"/>
        <w:rPr>
          <w:sz w:val="20"/>
          <w:szCs w:val="20"/>
          <w:color w:val="auto"/>
        </w:rPr>
      </w:pPr>
    </w:p>
    <w:p>
      <w:pPr>
        <w:jc w:val="both"/>
        <w:ind w:left="660" w:hanging="328"/>
        <w:spacing w:after="0" w:line="25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our Digital Platform</w:t>
      </w:r>
      <w:r>
        <w:rPr>
          <w:rFonts w:ascii="Times New Roman" w:cs="Times New Roman" w:eastAsia="Times New Roman" w:hAnsi="Times New Roman"/>
          <w:sz w:val="18"/>
          <w:szCs w:val="18"/>
          <w:color w:val="auto"/>
        </w:rPr>
        <w:t>: We are scaling up our content refinery to provide a comprehensive inventory of industry, proprietary and third-party data. This includes granular data for key industry verticals, real-time data, fund data and sustainable finance. Through an open ecosystem of cloud-based data and analytics, we aim to offer flexible solutions and content accessible through various delivery methods. In addition, we are working to expand our use of artificial intelligence to drive efficiencies for our clients, with anticipated initiatives including automation of tasks and integration of natural language queries. We believe that our breadth of high-quality, connected content will be a critical raw material for large language models.</w:t>
      </w:r>
    </w:p>
    <w:p>
      <w:pPr>
        <w:spacing w:after="0" w:line="14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Ensuring Execution Excellence</w:t>
      </w:r>
      <w:r>
        <w:rPr>
          <w:rFonts w:ascii="Times New Roman" w:cs="Times New Roman" w:eastAsia="Times New Roman" w:hAnsi="Times New Roman"/>
          <w:sz w:val="18"/>
          <w:szCs w:val="18"/>
          <w:color w:val="auto"/>
        </w:rPr>
        <w:t>: Innovation and collaboration are at the core of our approach. We employ technology to accelerate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data connectivity and the development of summaries and themes. Our sales force is committed to enhancing price realization, productivity, efficiency and improved client outcomes. We are also optimizing operations and managing expenses to improve returns on our investments.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Fostering a Growth Mindset</w:t>
      </w:r>
      <w:r>
        <w:rPr>
          <w:rFonts w:ascii="Times New Roman" w:cs="Times New Roman" w:eastAsia="Times New Roman" w:hAnsi="Times New Roman"/>
          <w:sz w:val="18"/>
          <w:szCs w:val="18"/>
          <w:color w:val="auto"/>
        </w:rPr>
        <w:t>: We prioritize recruiting, training and empowering a diverse and efficient workforce. We are driving sustainable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by investing in talent that can create leading technological solutions and efficiently execute our strategy. Additionally, strategic partnerships and acquisitions help to accelerate our expansion in key areas.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Second Quarter in Review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Revenues in the second quarter of fiscal 2024 were $545.9 million, an increase of 6.0% from the comparable prior year period, reflective of organic revenues growth of 6.0%. Revenues increased in all our segments, primarily in the Americas and, to a lesser extent, EMEA and Asia Pacific. Revenues increased due to higher demand for our workstations, data solutions, CGS subscriptions and middle office solutions. Refer to Part I, Item 2.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Non-GAAP Financial Measures, </w:t>
      </w:r>
      <w:r>
        <w:rPr>
          <w:rFonts w:ascii="Times New Roman" w:cs="Times New Roman" w:eastAsia="Times New Roman" w:hAnsi="Times New Roman"/>
          <w:sz w:val="18"/>
          <w:szCs w:val="18"/>
          <w:color w:val="auto"/>
        </w:rPr>
        <w:t>of this Quarterly Report on Form 10-Q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organic revenues and a reconciliation between revenues and organic revenues.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29, 2024, organic annual subscription value ("Organic ASV") plus Professional Services totaled $2,209.5 million, an increase of 5.4% over the prior year. Organic ASV increased in all our segments, with the majority of the increase in the Americas and, to a lesser extent, EMEA and Asia Pacific. The Organic ASV increase was primarily driven by higher demand for our workstations, data solutions and middle office solutions.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of this Quarterly Report on Form 10-Q for the definitions of Organic ASV and Organic ASV plus Professional Services.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increased to 33.3% during the three months ended February 29, 2024, compared with 32.9% in the prior year period. This increase was mainly due to growth in revenues and, when expressed as a percentage of revenues, a decrease in computer-related expenses, partially offset by an increase in amortization of intangible assets and bad debt expense. Diluted earnings per common share ("Diluted EPS") for the three months ended February 29, 2024 was $3.65, an increase of 8.0% compared with the prior 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generate positive cash flows and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annualized over the past 12 months.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66" w:lineRule="exact"/>
        <w:rPr>
          <w:sz w:val="20"/>
          <w:szCs w:val="20"/>
          <w:color w:val="auto"/>
        </w:rPr>
      </w:pPr>
    </w:p>
    <w:p>
      <w:pPr>
        <w:ind w:right="1240"/>
        <w:spacing w:after="0" w:line="485" w:lineRule="auto"/>
        <w:rPr>
          <w:sz w:val="20"/>
          <w:szCs w:val="20"/>
          <w:color w:val="auto"/>
        </w:rPr>
      </w:pPr>
      <w:r>
        <w:rPr>
          <w:rFonts w:ascii="Times New Roman" w:cs="Times New Roman" w:eastAsia="Times New Roman" w:hAnsi="Times New Roman"/>
          <w:sz w:val="18"/>
          <w:szCs w:val="18"/>
          <w:color w:val="auto"/>
        </w:rPr>
        <w:t xml:space="preserve">Prior year ASV has been revised to include certain CGS revenues not previously reflected as ASV to better align with our legacy business. </w:t>
      </w:r>
      <w:r>
        <w:rPr>
          <w:rFonts w:ascii="Times New Roman" w:cs="Times New Roman" w:eastAsia="Times New Roman" w:hAnsi="Times New Roman"/>
          <w:sz w:val="18"/>
          <w:szCs w:val="18"/>
          <w:b w:val="1"/>
          <w:bCs w:val="1"/>
          <w:color w:val="auto"/>
        </w:rPr>
        <w:t>Organic ASV plus Professional Services</w:t>
      </w:r>
    </w:p>
    <w:p>
      <w:pPr>
        <w:spacing w:after="0" w:line="21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February 29, 2024. With proper notice provided as contractually required, our clients can add to, delete portions of, or terminate service, subject to certain limitations.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As of February 29, 2024</w:t>
            </w:r>
          </w:p>
        </w:tc>
      </w:tr>
      <w:tr>
        <w:trPr>
          <w:trHeight w:val="223"/>
        </w:trPr>
        <w:tc>
          <w:tcPr>
            <w:tcW w:w="88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2,208.8</w:t>
            </w:r>
          </w:p>
        </w:tc>
      </w:tr>
      <w:tr>
        <w:trPr>
          <w:trHeight w:val="229"/>
        </w:trPr>
        <w:tc>
          <w:tcPr>
            <w:tcW w:w="880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2,209.5</w:t>
            </w:r>
          </w:p>
        </w:tc>
      </w:tr>
      <w:tr>
        <w:trPr>
          <w:trHeight w:val="236"/>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annual growth rate</w:t>
            </w:r>
          </w:p>
        </w:tc>
        <w:tc>
          <w:tcPr>
            <w:tcW w:w="22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5.4 %</w:t>
            </w:r>
          </w:p>
        </w:tc>
      </w:tr>
    </w:tbl>
    <w:p>
      <w:pPr>
        <w:spacing w:after="0" w:line="182"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$20.3 million in Professional Services as of February 29, 2024.</w:t>
      </w:r>
    </w:p>
    <w:p>
      <w:pPr>
        <w:spacing w:after="0" w:line="113"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29, 2024, Organic ASV plus Professional Services was $2,209.5 million, an increase of 5.4% compared with February 28, 2023. Organic ASV increased in all our segments, with the majority of the increase related to the Americas, and, to a lesser extent, EMEA and Asia Pacific. This increase in Organic ASV was primarily driven by higher sales to existing clients and, to a lesser extent, price increases to existing clients and sales to new clients, partially offset by existing client cancellations. These higher sales mainly related to increased demand for our workstations, data solutions and middle office solutions.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ASV from the Americas represented 65% of total ASV and was $1,415.4 million, an increase from $1,336.6 million as of February 28, 2023. Americas Organic ASV was $1,415.4 million as of February 29, 2024, a 5.9% increase from the prior year period. The Organic ASV increase in the Americas was primarily driven by higher demand for our workstations and, to a lesser extent, CGS subscriptions.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ASV from EMEA represented 25% of total ASV and was $557.2 million, an increase from $529.3 million as of February 28, 2023. EMEA Organic ASV was $557.5 million as of February 29, 2024, a 5.0% increase from the prior year period. The EMEA Organic ASV increase was primarily driven by higher demand for our data solutions, middle office solutions and workstations.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ASV from Asia Pacific represented 10% of total ASV and was $215.9 million, an increase from $207.1 million as of February 28, 2023. Asia Pacific Organic ASV was $216.3 million as of February 29, 2024, a 5.6% increase from the prior year period. The Asia Pacific Organic ASV increase was primarily driven by higher demand for our data solutions, middle office solutions and workstations.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February 29, 2024 were 5.6% and 5.5%, respectively. Buy-side clients account for approximately 82% of our Organic ASV, compared to 83% in the prior year, and primarily include institutional asset managers, wealth managers, asset owners, partners, hedge funds and corporate firms. The remainder of our Organic ASV is derived from sell-side firms and primarily include broker-dealers, banking and advisory, and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62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February 29, 2024</w:t>
            </w:r>
          </w:p>
        </w:tc>
        <w:tc>
          <w:tcPr>
            <w:tcW w:w="24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As of February 28, 2023</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8,020</w:t>
            </w:r>
          </w:p>
        </w:tc>
        <w:tc>
          <w:tcPr>
            <w:tcW w:w="2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7,730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3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206,478</w:t>
            </w:r>
          </w:p>
        </w:tc>
        <w:tc>
          <w:tcPr>
            <w:tcW w:w="2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186,463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8,020 as of February 29, 2024, a net increase of 3.8% or 290 clients in the last 12 months, mainly due to an increase in corporate clients and, to a lesser extent, wealth management clients and partners.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29, 2024, there were 206,478 professionals using FactSet, representing a net increase of 10.7% or 20,015 users in the last 12 months, primarily driven by an increase in wealth users and, to a lesser extent, banking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ASV retention was greater than 95% of ASV for the period ended February 29, 2024 and February 28, 2023. When expressed as a percentage of clients, annual retention was approximately 90% for the period ended February 29, 2024, compared with approximately 92% for the period ended February 28,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our employee headcount increased by 3.2% to 12,279, compared with 11,896 employees as of February 28, 2023. This headcount growth was primarily due to our continued investment in our centers of excellence ("COEs"), particularly through expanding our talent pool in our India and Philippines locations. Our COEs account for approximately 68% of our employees.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compared to February 28, 2023, our net headcount growth in Asia Pacific was 8.0%, while the Americas and EMEA experienced a net headcount decrease of 7.0% and 4.6%, respectively. As of February 29, 2024, we had 8,519 employees located in Asia Pacific, 2,362 in the Americas and 1,398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and six months ended February 29, 2024 and February 28, 2023, the following discussion should be read in conjunction with the Consolidated Financial Statements and related Notes presented in Part I, Item 1.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and per</w:t>
            </w:r>
          </w:p>
        </w:tc>
        <w:tc>
          <w:tcPr>
            <w:tcW w:w="16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6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 data)</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255,142</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240,806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506,763</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467,848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209,518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210,178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169,250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for the three months ended February 29, 2024 were $545.9 million, an increase of 6.0%. This growth in revenues was reflective of organic revenues growth of 6.0%, with organic revenues increasing to $546.1 million for the three months ended February 29, 2024. Revenues increased in all our segments, primarily in the Americas and, to a lesser extent, EMEA and Asia Pacific.</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revenues was driven by increased sales to existing clients and, to a lesser extent, price increases to existing clients and sales to new clients, partially offset by existing client cancellations. Revenues increased due to higher demand for our workstations, data solutions, CGS subscriptions and middle office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the six months ended February 29, 2024 were $1,088.2 million, an increase of 6.7%. This growth in revenues of 6.7% was reflective of a 6.6% increase in organic revenues and a 0.1% benefit due to the effects of foreign currency exchange rate fluctuations. Organic revenues increased to $1,087.5 million for the six months ended February 29, 2024. Revenues increased in all our geographic segments, primarily in the Americas and, to a lesser extent, EMEA and Asia Pacific.</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revenues was mainly due to increased sales to existing clients and, to a lesser extent, price increases to existing clients and new client sales, partially offset by existing client cancellations. Revenues increased due to higher demand for our workstations, data solutions, middle office solutions and CGS subscriptions.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Three Months Ended</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c>
          <w:tcPr>
            <w:tcW w:w="1120" w:type="dxa"/>
            <w:vAlign w:val="bottom"/>
          </w:tcPr>
          <w:p>
            <w:pPr>
              <w:spacing w:after="0"/>
              <w:rPr>
                <w:sz w:val="20"/>
                <w:szCs w:val="20"/>
                <w:color w:val="auto"/>
              </w:rPr>
            </w:pPr>
          </w:p>
        </w:tc>
      </w:tr>
      <w:tr>
        <w:trPr>
          <w:trHeight w:val="270"/>
        </w:trPr>
        <w:tc>
          <w:tcPr>
            <w:tcW w:w="3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23"/>
                <w:szCs w:val="23"/>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28,</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3"/>
                <w:szCs w:val="23"/>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February 28,</w:t>
            </w:r>
          </w:p>
        </w:tc>
        <w:tc>
          <w:tcPr>
            <w:tcW w:w="1120" w:type="dxa"/>
            <w:vAlign w:val="bottom"/>
          </w:tcPr>
          <w:p>
            <w:pPr>
              <w:spacing w:after="0"/>
              <w:rPr>
                <w:sz w:val="23"/>
                <w:szCs w:val="23"/>
                <w:color w:val="auto"/>
              </w:rPr>
            </w:pPr>
          </w:p>
        </w:tc>
      </w:tr>
      <w:tr>
        <w:trPr>
          <w:trHeight w:val="27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352,618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331,121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700,985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654,488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31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64.6 %</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64.3 %</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64.4 %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64.2 %</w:t>
            </w:r>
          </w:p>
        </w:tc>
        <w:tc>
          <w:tcPr>
            <w:tcW w:w="1120" w:type="dxa"/>
            <w:vAlign w:val="bottom"/>
          </w:tcPr>
          <w:p>
            <w:pPr>
              <w:spacing w:after="0"/>
              <w:rPr>
                <w:sz w:val="19"/>
                <w:szCs w:val="19"/>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132,508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278,737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263,246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0"/>
        </w:trPr>
        <w:tc>
          <w:tcPr>
            <w:tcW w:w="312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25.5 %</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25.6 %</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25.8 %</w:t>
            </w:r>
          </w:p>
        </w:tc>
        <w:tc>
          <w:tcPr>
            <w:tcW w:w="1120" w:type="dxa"/>
            <w:vAlign w:val="bottom"/>
          </w:tcPr>
          <w:p>
            <w:pPr>
              <w:spacing w:after="0"/>
              <w:rPr>
                <w:sz w:val="19"/>
                <w:szCs w:val="19"/>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54,151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51,456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 $</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108,439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102,166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0"/>
        </w:trPr>
        <w:tc>
          <w:tcPr>
            <w:tcW w:w="31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9.9 %</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20" w:type="dxa"/>
            <w:vAlign w:val="bottom"/>
            <w:tcBorders>
              <w:bottom w:val="single" w:sz="8" w:color="CCEEFF"/>
            </w:tcBorders>
          </w:tcPr>
          <w:p>
            <w:pPr>
              <w:spacing w:after="0"/>
              <w:rPr>
                <w:sz w:val="19"/>
                <w:szCs w:val="19"/>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545,945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515,085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1,088,161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1,019,900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Americas revenues increased 6.5% to $352.6 million during the three months ended February 29, 2024, compared with $331.1 million from the same period a year ago. This growth in revenues was reflective of organic revenues growth of 6.5%. The increase in revenues was primarily driven by higher demand for our workstations and, to a lesser extent, sales of our CGS subscriptions, data solutions and middle office solutions, as well as our annual price increase.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revenues increased 5.0% to $139.2 million during the three months ended February 29, 2024, compared with $132.5 million from the same period a year ago. This growth in revenues of 5.0% was reflective of a 4.8% increase in organic revenues and a 0.2% benefit due to the effects of foreign currency exchange rate fluctuations. The increase in revenues was primarily driven by an increase in sales of our data solutions and middle office solutions.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revenues increased 5.2% to $54.1 million during the three months ended February 29, 2024, compared with $51.5 million from the same period a year ago. This growth in revenues of 5.2% was reflective of a 6.4% increase in organic revenues, partially offset by a decrease of 1.2% due to the effects of foreign currency exchange rate fluctuations. The increase in revenues was primarily driven by higher demand for our data solutions and workstations.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Americas increased 7.1% to $701.0 million during the six months ended February 29, 2024, compared with $654.5 million from the same period a year ago. This growth in revenues was reflective of organic revenues growth of 7.1%. The increase in revenues was driven by higher demand for our workstations and, to a lesser extent, sales of our middle office solutions, data solutions and CGS subscriptions, as well as our annual price increase.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EMEA increased 5.9% to $278.7 million during the six months ended February 29, 2024, compared with $263.2 million from the same period a year ago. This growth in revenues of 5.9% was reflective of a 5.4% increase in organic revenues and a 0.5% benefit due to the effects of foreign currency exchange rate fluctuations. The increase in revenues was primarily driven by higher demand for our data solutions and middle office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Revenues from Asia Pacific increased 6.1% to $108.4 million during the six months ended February 29, 2024, compared with $102.2 million from the same period a year ago. This growth in revenues of 6.1% was reflective of a 7.0% increase in organic revenues, partially offset by a 0.9% decrease due to the effects of foreign currency exchange rate fluctuations. The increase in revenues was driven by higher demand for our workstations and data solutions.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intangible assets, royalty fees, client-related communication costs and computer depreciation.</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and bad debt expense.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value of an asset exceeds its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Six Months Ended</w:t>
            </w:r>
          </w:p>
        </w:tc>
        <w:tc>
          <w:tcPr>
            <w:tcW w:w="1140" w:type="dxa"/>
            <w:vAlign w:val="bottom"/>
          </w:tcPr>
          <w:p>
            <w:pPr>
              <w:spacing w:after="0"/>
              <w:rPr>
                <w:sz w:val="20"/>
                <w:szCs w:val="20"/>
                <w:color w:val="auto"/>
              </w:rPr>
            </w:pPr>
          </w:p>
        </w:tc>
      </w:tr>
      <w:tr>
        <w:trPr>
          <w:trHeight w:val="270"/>
        </w:trPr>
        <w:tc>
          <w:tcPr>
            <w:tcW w:w="3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February 28,</w:t>
            </w: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3"/>
                <w:szCs w:val="23"/>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February 28,</w:t>
            </w:r>
          </w:p>
        </w:tc>
        <w:tc>
          <w:tcPr>
            <w:tcW w:w="1140" w:type="dxa"/>
            <w:vAlign w:val="bottom"/>
          </w:tcPr>
          <w:p>
            <w:pPr>
              <w:spacing w:after="0"/>
              <w:rPr>
                <w:sz w:val="23"/>
                <w:szCs w:val="23"/>
                <w:color w:val="auto"/>
              </w:rPr>
            </w:pPr>
          </w:p>
        </w:tc>
      </w:tr>
      <w:tr>
        <w:trPr>
          <w:trHeight w:val="270"/>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 Change</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255,142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240,806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506,763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467,848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108,807</w:t>
            </w:r>
          </w:p>
        </w:tc>
        <w:tc>
          <w:tcPr>
            <w:tcW w:w="1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104,582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209,518</w:t>
            </w:r>
          </w:p>
        </w:tc>
        <w:tc>
          <w:tcPr>
            <w:tcW w:w="18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210,178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364,003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345,835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717,179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678,755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70"/>
        </w:trPr>
        <w:tc>
          <w:tcPr>
            <w:tcW w:w="3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181,942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169,250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 $</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370,982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341,145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33.3 %</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32.9 %</w:t>
            </w:r>
          </w:p>
        </w:tc>
        <w:tc>
          <w:tcPr>
            <w:tcW w:w="1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34.1 %</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33.4 %</w:t>
            </w:r>
          </w:p>
        </w:tc>
        <w:tc>
          <w:tcPr>
            <w:tcW w:w="114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services increased 6.0% to $255.1 million for the three months ended February 29, 2024, compared with $240.8 million for the same period a year ago, primarily due to an increase in employee compensation costs and, to a lesser extent, amortization of intangible assets, partially offset by a decrease in computer-related expenses.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46.7% for the three months ended February 29, 2024, relatively consistent with 46.8% for the three months ended February 28, 2023. This change was primarily due to revenues outpacing the increase in Cost of services and, when expressed as a percentage of revenues, lower computer-related expenses, partially offset by an increase in amortization of intangible assets and higher employee compensation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decreased 80 basis points primarily due to lower spending related to cloud-based hosting services and a reduction in third-party vendor costs as projects are leveraging internal resources, partially offset by an increase in costs related to licensed software arrangements.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increased 70 basis points mainly from higher capitalized costs related to the development of our internal-use software.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30 basis points primarily due to a restructuring charge and higher annual base salaries, net of capitalization of compensation costs related to the development of our internal-use software, partially offset by a decrease in variable compensation costs. The increase in annual base salaries was primarily driven by annual merit increases and a net headcount increase in Cost of services of 459 employees, primarily located in our COEs.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increased 8.3% to $506.8 million for the six months ended February 29, 2024, compared with $467.8 million in the same period a year ago, primarily due to an increase in employee compensation costs and, to a lesser extent, amortization of intangible assets, computer-related expenses and royalty fees.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46.6% for the six months ended February 29, 2024, an increase of 70 basis points compared with the same period a year ago. This increase was primarily due to higher employee compensation costs and royalty fees, partially offset by lower contractor fees.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252" w:lineRule="exact"/>
        <w:rPr>
          <w:sz w:val="20"/>
          <w:szCs w:val="20"/>
          <w:color w:val="auto"/>
        </w:rPr>
      </w:pPr>
    </w:p>
    <w:p>
      <w:pPr>
        <w:jc w:val="both"/>
        <w:ind w:left="660" w:hanging="328"/>
        <w:spacing w:after="0" w:line="25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40 basis points primarily due to higher annual base salaries, net of capitalization of compensation costs related to the development of our internal-use software, a restructuring charge and an increase in payroll taxes. The increase in annual base salaries was primarily driven by annual merit increases and a net headcount increase in Cost of services of 459, primarily located in our COEs.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i w:val="1"/>
          <w:iCs w:val="1"/>
          <w:color w:val="212529"/>
        </w:rPr>
      </w:pPr>
      <w:r>
        <w:rPr>
          <w:rFonts w:ascii="Times New Roman" w:cs="Times New Roman" w:eastAsia="Times New Roman" w:hAnsi="Times New Roman"/>
          <w:sz w:val="18"/>
          <w:szCs w:val="18"/>
          <w:color w:val="auto"/>
        </w:rPr>
        <w:t>Royalty fees increased 30 basis points due to an increase in both CGS sales and the applicable royalty rate.</w:t>
      </w:r>
    </w:p>
    <w:p>
      <w:pPr>
        <w:spacing w:after="0" w:line="9" w:lineRule="exact"/>
        <w:rPr>
          <w:rFonts w:ascii="Times New Roman" w:cs="Times New Roman" w:eastAsia="Times New Roman" w:hAnsi="Times New Roman"/>
          <w:sz w:val="18"/>
          <w:szCs w:val="18"/>
          <w:i w:val="1"/>
          <w:iCs w:val="1"/>
          <w:color w:val="212529"/>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 fees decreased 30 basis points primarily due to a reduction in data and technology consulting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increased 4.0% to $108.8 million for the three months ended February 29, 2024, compared with $104.6 million from the same period a year ago, primarily driven by higher bad debt expense and employee compensation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when expressed as a percentage of revenues, was 19.9% for the three months ended February 29, 2024, a decrease of 40 basis points compared with the same period a year ago. This decrease was primarily driven by revenues outpacing the increase in SG&amp;A and, when expressed as a percentage of revenues, lower employee compensation costs, partially offset by higher bad debt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57"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by 30 basis points primarily due to growth of our revenues outpacing the increase in employee compensation costs and lower variable compensation. This decrease was partially offset by higher payroll taxes, a restructuring charge and an increase in benefit-related expenses.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increased by 50 basis points primarily due to the aging of accounts receivable.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decreased 0.3% to $209.5 million for the six months ended February 29, 2024, compared with $210.2 million for the same period a year ago, primarily driven by a benefit from the net settlement of our foreign currency forward contracts, partially offset by higher bad debt expense and employee compensation costs.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19.3% for the six months ended February 29, 2024, a decrease of 140 basis points compared with the same period a year ago. This decrease was primarily due to lower employee compensation costs, a benefit from the net settlement of our foreign currency forward contracts and a decrease in professional fees, partially offset by an increase in bad debt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expressed as a percentage of revenues:</w:t>
      </w:r>
    </w:p>
    <w:p>
      <w:pPr>
        <w:spacing w:after="0" w:line="198" w:lineRule="exact"/>
        <w:rPr>
          <w:sz w:val="20"/>
          <w:szCs w:val="20"/>
          <w:color w:val="auto"/>
        </w:rPr>
      </w:pPr>
    </w:p>
    <w:p>
      <w:pPr>
        <w:jc w:val="both"/>
        <w:ind w:left="66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by 50 basis points, primarily due to growth of our revenues outpacing the increase in employee compensation costs, partially offset by higher annual base salaries and stock-based compensation expense. The increase in annual base salaries was primarily driven by annual merit increases, partially offset by a net headcount decrease in SG&amp;A of 76 employees.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settlement of foreign currency forward contracts decreased SG&amp;A by 50 basis points.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30 basis points primarily due to transition costs related to the CGS acquisition incurred during the prior year period.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increased by 40 basis points primarily due to the aging of accounts receivable.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increased 7.5% to $181.9 million for the three months ended February 29, 2024, compared with $169.3 million in the prior year period. This increase was primarily driven by growth in revenues and a decrease in computer-related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expenses, partially offset by higher employee compensation costs, amortization of intangible assets and bad debt expense. Foreign currency exchange rate fluctuations, net of hedge activity, decreased operating income by $2.3 million for the three months ended February 29, 2024 compared with the three months ended February 28, 2023.</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to 33.3% during the three months ended February 29, 2024, compared with 32.9% in the prior year period. This increase was mainly due to growth in revenues and, when expressed as a percentage of revenues, a decrease in computer-related expenses, partially offset by an increase in amortization of intangible assets and bad debt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8.7% to $371.0 million for the six months ended February 29, 2024, compared with $341.1 million in the prior year period. This increase was primarily due to growth in revenues, partially offset by higher employee compensation costs and amortization of intangible assets. Foreign currency exchange rate fluctuations, net of hedge activity, decreased operating income by $0.4 million for the six months ended February 29, 2024 compared with the six months ended February 28, 2023.</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to 34.1% for the six months ended February 29, 2024, compared with 33.4% in the prior year period. This increase was primarily due to growth in revenues and, when expressed as a percentage of revenue, a benefit from the net settlement of our foreign currency forward contracts, a decrease in contractor related fees and professional fees, partially offset by higher bad debt expense and royalty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180" w:type="dxa"/>
            <w:vAlign w:val="bottom"/>
          </w:tcPr>
          <w:p>
            <w:pPr>
              <w:spacing w:after="0"/>
              <w:rPr>
                <w:sz w:val="20"/>
                <w:szCs w:val="20"/>
                <w:color w:val="auto"/>
              </w:rPr>
            </w:pPr>
          </w:p>
        </w:tc>
      </w:tr>
      <w:tr>
        <w:trPr>
          <w:trHeight w:val="270"/>
        </w:trPr>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29,</w:t>
            </w:r>
          </w:p>
        </w:tc>
        <w:tc>
          <w:tcPr>
            <w:tcW w:w="2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February 28,</w:t>
            </w: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23"/>
                <w:szCs w:val="23"/>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180" w:type="dxa"/>
            <w:vAlign w:val="bottom"/>
          </w:tcPr>
          <w:p>
            <w:pPr>
              <w:spacing w:after="0"/>
              <w:rPr>
                <w:sz w:val="23"/>
                <w:szCs w:val="23"/>
                <w:color w:val="auto"/>
              </w:rPr>
            </w:pPr>
          </w:p>
        </w:tc>
      </w:tr>
      <w:tr>
        <w:trPr>
          <w:trHeight w:val="27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62,839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131,704</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37,392</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181,942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169,250</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February 29, 2024 compared with three months ended February 28,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increased 33.6% to $81.7 million during the three months ended February 29, 2024, compared with $61.2 million in the same period a year ago. This increase was primarily due to growth in revenues of 6.5%, partially offset by higher amortization of intangible assets and, to a lesser extent, an increase in bad debt expense.</w:t>
      </w:r>
    </w:p>
    <w:p>
      <w:pPr>
        <w:spacing w:after="0" w:line="13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4"/>
          <w:szCs w:val="14"/>
          <w:b w:val="1"/>
          <w:bCs w:val="1"/>
          <w:i w:val="1"/>
          <w:iCs w:val="1"/>
          <w:color w:val="212529"/>
        </w:rPr>
      </w:pPr>
      <w:r>
        <w:rPr>
          <w:rFonts w:ascii="Times New Roman" w:cs="Times New Roman" w:eastAsia="Times New Roman" w:hAnsi="Times New Roman"/>
          <w:sz w:val="18"/>
          <w:szCs w:val="18"/>
          <w:color w:val="auto"/>
        </w:rPr>
        <w:t>Amortization of intangible assets increased mainly from higher capitalized costs related to the development of our internal-use software.</w:t>
      </w:r>
    </w:p>
    <w:p>
      <w:pPr>
        <w:spacing w:after="0" w:line="27" w:lineRule="exact"/>
        <w:rPr>
          <w:rFonts w:ascii="Times New Roman" w:cs="Times New Roman" w:eastAsia="Times New Roman" w:hAnsi="Times New Roman"/>
          <w:sz w:val="14"/>
          <w:szCs w:val="14"/>
          <w:b w:val="1"/>
          <w:bCs w:val="1"/>
          <w:i w:val="1"/>
          <w:iCs w:val="1"/>
          <w:color w:val="212529"/>
        </w:rPr>
      </w:pPr>
    </w:p>
    <w:p>
      <w:pPr>
        <w:ind w:left="660" w:hanging="328"/>
        <w:spacing w:after="0"/>
        <w:tabs>
          <w:tab w:leader="none" w:pos="660" w:val="left"/>
        </w:tabs>
        <w:numPr>
          <w:ilvl w:val="0"/>
          <w:numId w:val="21"/>
        </w:numPr>
        <w:rPr>
          <w:rFonts w:ascii="Times New Roman" w:cs="Times New Roman" w:eastAsia="Times New Roman" w:hAnsi="Times New Roman"/>
          <w:sz w:val="14"/>
          <w:szCs w:val="14"/>
          <w:b w:val="1"/>
          <w:bCs w:val="1"/>
          <w:i w:val="1"/>
          <w:iCs w:val="1"/>
          <w:color w:val="212529"/>
        </w:rPr>
      </w:pPr>
      <w:r>
        <w:rPr>
          <w:rFonts w:ascii="Times New Roman" w:cs="Times New Roman" w:eastAsia="Times New Roman" w:hAnsi="Times New Roman"/>
          <w:sz w:val="18"/>
          <w:szCs w:val="18"/>
          <w:color w:val="auto"/>
        </w:rPr>
        <w:t>Bad debt expense increased primarily due to the aging of accounts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operating income decreased 8.9% to $62.8 million during the three months ended February 29, 2024, compared with $68.9 million in the same period a year ago. This decrease was primarily due to higher employee compensation costs, partially offset by growth in revenues of 5.0%. Employee compensation costs increased mainly due to an increase in payroll taxes, a restructuring charge, higher annual base salaries and increased variable compensation. The increase in annual base salaries was mainly driven by annual merit increases, partially offset by a net headcount decrease of 67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Asia Pacific operating income decreased 4.4% to $37.4 million during the three months ended February 29, 2024, compared with $39.1 million in the same period a year ago. This decrease was mainly due to higher employee compensation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partially offset by growth in revenues of 5.2%. Employee compensation costs increased primarily due to higher annual base salaries. The increase in annual base salaries was mainly driven by annual merit increases and a net headcount increase of 628 employees.</w:t>
      </w:r>
    </w:p>
    <w:p>
      <w:pPr>
        <w:spacing w:after="0" w:line="133" w:lineRule="exact"/>
        <w:rPr>
          <w:sz w:val="20"/>
          <w:szCs w:val="20"/>
          <w:color w:val="auto"/>
        </w:rPr>
      </w:pPr>
    </w:p>
    <w:p>
      <w:pPr>
        <w:ind w:right="4780"/>
        <w:spacing w:after="0" w:line="455" w:lineRule="auto"/>
        <w:rPr>
          <w:sz w:val="20"/>
          <w:szCs w:val="20"/>
          <w:color w:val="auto"/>
        </w:rPr>
      </w:pPr>
      <w:r>
        <w:rPr>
          <w:rFonts w:ascii="Times New Roman" w:cs="Times New Roman" w:eastAsia="Times New Roman" w:hAnsi="Times New Roman"/>
          <w:sz w:val="18"/>
          <w:szCs w:val="18"/>
          <w:i w:val="1"/>
          <w:iCs w:val="1"/>
          <w:color w:val="auto"/>
        </w:rPr>
        <w:t>Six months ended February 29, 2024 compared with six months ended February 28, 2023 Americas</w:t>
      </w:r>
    </w:p>
    <w:p>
      <w:pPr>
        <w:jc w:val="both"/>
        <w:spacing w:after="0" w:line="257" w:lineRule="auto"/>
        <w:rPr>
          <w:sz w:val="20"/>
          <w:szCs w:val="20"/>
          <w:color w:val="auto"/>
        </w:rPr>
      </w:pPr>
      <w:r>
        <w:rPr>
          <w:rFonts w:ascii="Times New Roman" w:cs="Times New Roman" w:eastAsia="Times New Roman" w:hAnsi="Times New Roman"/>
          <w:sz w:val="18"/>
          <w:szCs w:val="18"/>
          <w:color w:val="auto"/>
        </w:rPr>
        <w:t>Americas operating income increased 26.3% to $162.6 million during the six months ended February 29, 2024, compared with $128.7 million in the same period a year ago. This increase was primarily due to growth in revenues of 7.1%, partially offset by higher amortization of intangible assets, computer-related expenses, bad debt expense, royalty fees and employee compensation costs.</w:t>
      </w:r>
    </w:p>
    <w:p>
      <w:pPr>
        <w:spacing w:after="0" w:line="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4"/>
          <w:szCs w:val="14"/>
          <w:b w:val="1"/>
          <w:bCs w:val="1"/>
          <w:i w:val="1"/>
          <w:iCs w:val="1"/>
          <w:color w:val="212529"/>
        </w:rPr>
      </w:pPr>
      <w:r>
        <w:rPr>
          <w:rFonts w:ascii="Times New Roman" w:cs="Times New Roman" w:eastAsia="Times New Roman" w:hAnsi="Times New Roman"/>
          <w:sz w:val="18"/>
          <w:szCs w:val="18"/>
          <w:color w:val="auto"/>
        </w:rPr>
        <w:t>Amortization of intangible assets increased mainly from higher capitalized costs related to the development of our internal-use software.</w:t>
      </w:r>
    </w:p>
    <w:p>
      <w:pPr>
        <w:spacing w:after="0" w:line="9" w:lineRule="exact"/>
        <w:rPr>
          <w:rFonts w:ascii="Times New Roman" w:cs="Times New Roman" w:eastAsia="Times New Roman" w:hAnsi="Times New Roman"/>
          <w:sz w:val="14"/>
          <w:szCs w:val="14"/>
          <w:b w:val="1"/>
          <w:bCs w:val="1"/>
          <w:i w:val="1"/>
          <w:iCs w:val="1"/>
          <w:color w:val="212529"/>
        </w:rPr>
      </w:pPr>
    </w:p>
    <w:p>
      <w:pPr>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primarily due to higher spending related to licensed software arrangements and our cloud-based hosting services.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debt expense increased primarily due to the aging of accounts receivable.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primarily due to an increase in both CGS sales and the applicable royalty rate.</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a restructuring charge and an increase in stock-based compensation, partially offset by a decrease in variable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operating income decreased 3.3% to $131.7 million during the six months ended February 29, 2024, compared with $136.3 million in the same period a year ago. This decrease was primarily due to higher employee compensation costs and, to a lesser extent, an increase in data costs, partially offset by growth in revenues of 5.9%.</w:t>
      </w:r>
    </w:p>
    <w:p>
      <w:pPr>
        <w:spacing w:after="0" w:line="203" w:lineRule="exact"/>
        <w:rPr>
          <w:sz w:val="20"/>
          <w:szCs w:val="20"/>
          <w:color w:val="auto"/>
        </w:rPr>
      </w:pPr>
    </w:p>
    <w:p>
      <w:pPr>
        <w:ind w:left="660" w:right="2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primarily due to higher annual base salaries and payroll taxes. The increase in annual base salaries was mainly driven by annual merit increases, partially offset by a net headcount decrease of 67 employees.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costs increased as the prior year period included the release of certain accruals related to the successful resolution of exchange audits.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0.7% to $76.7 million during the six months ended February 29, 2024, compared with $76.2 million in the same period a year ago. This increase was mainly due to growth in revenues of 6.1%, partially offset by higher employee compensation costs. Employee compensation costs increased primarily due to higher annual base salaries, driven mainly by annual merit increases and a net headcount increase of 628 employees, and, to a lesser extent, an increase in benefit expense, variable compensation and post-employment benefits.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19"/>
                <w:szCs w:val="19"/>
                <w:color w:val="auto"/>
              </w:rPr>
            </w:pPr>
          </w:p>
        </w:tc>
        <w:tc>
          <w:tcPr>
            <w:tcW w:w="28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60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18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February 28,</w:t>
            </w:r>
          </w:p>
        </w:tc>
        <w:tc>
          <w:tcPr>
            <w:tcW w:w="12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19"/>
                <w:szCs w:val="19"/>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6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 Change</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168,645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156,762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 $</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343,841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314,647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27,705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25,169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 $</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54,346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46,256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16.1 %</w:t>
            </w:r>
          </w:p>
        </w:tc>
        <w:tc>
          <w:tcPr>
            <w:tcW w:w="1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14.7 %</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February 29, 2024 was lower than the applicable U.S. corporate income tax rate mainly due to a net tax benefit from the employee exercise of stock options, research and development ("R&amp;D") tax credits and utilization of foreign tax credits, partially offset by our state taxes. For the three and six months ended February 28, 2023, our effective tax rate was lower than the applicable U.S. corporate income tax rate mainly due to R&amp;D tax credits, a foreign derived intangible income ("FDII") deduction and a net tax benefit from the employee exercise of stock options.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February 29, 2024 was higher than for the three months ended February 28, 2023, mainly driven by higher pretax income at applicable statutory tax rates and a higher overall foreign tax rate, partially offset by an increase in the exercise of stock options and increased utilization of foreign tax credits.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effective tax rate for the six months ended February 29, 2024 was higher than for the six months ended February 28, 2023, mainly driven by higher pretax income at applicable statutory tax rates and a higher overall foreign tax rate, partially offset by increased utilization of foreign tax credits.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140" w:type="dxa"/>
            <w:vAlign w:val="bottom"/>
          </w:tcPr>
          <w:p>
            <w:pPr>
              <w:spacing w:after="0"/>
              <w:rPr>
                <w:sz w:val="24"/>
                <w:szCs w:val="24"/>
                <w:color w:val="auto"/>
              </w:rPr>
            </w:pPr>
          </w:p>
        </w:tc>
        <w:tc>
          <w:tcPr>
            <w:tcW w:w="23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and per share</w:t>
            </w:r>
          </w:p>
        </w:tc>
        <w:tc>
          <w:tcPr>
            <w:tcW w:w="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February 28,</w:t>
            </w:r>
          </w:p>
        </w:tc>
        <w:tc>
          <w:tcPr>
            <w:tcW w:w="11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6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February 28,</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data)</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131,593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268,391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38,981</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Net income and Diluted EPS for the three and six months ended February 29, 2024, compared to the respective prior year period, was primarily driven by higher operating income, partially offset by an increase in the provision for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For year to date comparisons, organic revenues excludes current year revenues that were incurred prior to the first anniversary date of an acquisition. The table below provides an unaudited reconciliation of revenues to organic revenues: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122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29,</w:t>
            </w:r>
          </w:p>
        </w:tc>
        <w:tc>
          <w:tcPr>
            <w:tcW w:w="140" w:type="dxa"/>
            <w:vAlign w:val="bottom"/>
          </w:tcPr>
          <w:p>
            <w:pPr>
              <w:spacing w:after="0"/>
              <w:rPr>
                <w:sz w:val="23"/>
                <w:szCs w:val="23"/>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22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3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w:t>
            </w:r>
          </w:p>
        </w:tc>
        <w:tc>
          <w:tcPr>
            <w:tcW w:w="1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1,088,161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515,085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1,087,523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and adjusted EBITDA represent earnings before interest expense, provision for income taxes and depreciation and amortization, while adjusted EBITDA further excludes non-recurring non-cash 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tc>
        <w:tc>
          <w:tcPr>
            <w:tcW w:w="14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February 29,</w:t>
            </w:r>
          </w:p>
        </w:tc>
        <w:tc>
          <w:tcPr>
            <w:tcW w:w="1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February 29,</w:t>
            </w:r>
          </w:p>
        </w:tc>
        <w:tc>
          <w:tcPr>
            <w:tcW w:w="160" w:type="dxa"/>
            <w:vAlign w:val="bottom"/>
          </w:tcPr>
          <w:p>
            <w:pPr>
              <w:spacing w:after="0"/>
              <w:rPr>
                <w:sz w:val="19"/>
                <w:szCs w:val="19"/>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February 28,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 Change</w:t>
            </w: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181,942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169,250</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341,145</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16,674</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17,709</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34,018</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35,717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433</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3,329</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6,828</w:t>
            </w: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209,326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190,721</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413,291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384,123</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398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1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32.9%</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37.0%</w:t>
            </w: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303,285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4B4B4B"/>
              </w:rPr>
              <w:t xml:space="preserve">7.1 % </w:t>
            </w:r>
            <w:r>
              <w:rPr>
                <w:rFonts w:ascii="Times New Roman" w:cs="Times New Roman" w:eastAsia="Times New Roman" w:hAnsi="Times New Roman"/>
                <w:sz w:val="18"/>
                <w:szCs w:val="18"/>
                <w:color w:val="00000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289,495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268,391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7.9 %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25,169</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1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52,208</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400,129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Non-recurring non-cash expenses</w:t>
            </w:r>
            <w:r>
              <w:rPr>
                <w:rFonts w:ascii="Times New Roman" w:cs="Times New Roman" w:eastAsia="Times New Roman" w:hAnsi="Times New Roman"/>
                <w:sz w:val="23"/>
                <w:szCs w:val="23"/>
                <w:color w:val="auto"/>
                <w:vertAlign w:val="superscript"/>
              </w:rPr>
              <w:t>(4)</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218,111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199,710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437,113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400,129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10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38,646</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38,947</w:t>
            </w: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integration costs of the CGS acquisition.</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260" w:hanging="252"/>
        <w:spacing w:after="0" w:line="272" w:lineRule="auto"/>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the three months ended February 29, 2024 and February 28, 2023 were taxed at an adjusted tax rate of 24.6% and 16.9%, respectively, and the six months ended February 29, 2024 and February 28, 2023 were taxed at an adjusted tax rate of 26.0% and 15.0%, respectively.</w:t>
      </w:r>
    </w:p>
    <w:p>
      <w:pPr>
        <w:spacing w:after="0" w:line="8"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the accelerated vesting of stock awards for certain employees.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29, 2024, Cash and cash equivalents were $381.7 million, compared with $425.4 million as of August 31, 2023. Our cash and cash equivalents are held in numerous locations throughout the world, with $164.1 million in EMEA (predominantly in the UK and Germany), $133.1 million in the Americas and the remaining $84.5 million in Asia Pacific (predominantly in the Philippines and India) as of February 29, 2024. We permanently reinvest all foreign unremitted earnings, except in jurisdictions where earnings can be repatriated substantially free of tax.</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cash and cash equivalents held in financial institutions in the event of a default, to the extent that such amounts are in excess of applicable insurance limits; however, we do not believe our concentration of cash and cash equivalents presents a significant credit risk as the counterparties to the instruments consist of multiple high-quality, credit-worthy financial institutions.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Swap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From the borrowing date through November 30, 2023, the commitment fee was 0.125%, which subsequently decreased to 0.1% through February 29,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 During fiscal 2022, we incurred approximately $9.5 million in debt issuance costs related to the 2022 Credit Facilities.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and six months ended February 29, 2024, we repaid $62.5 million and $125.0 million, respectively, under the 2022 Term Facility, inclusive of voluntary prepayments of $50.0 million and $100.0 million, respectively. Since loan inception on March 1, 2022, we have repaid $750.0 million under the 2022 Term Facility, inclusive of voluntary prepayments of $662.5 million.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the borrowing date through November 30, 2023, the outstanding borrowings under the 2022 Credit Facilities bore interest at a rate equal to the applicable one-month Term Secured Overnight Financing Rate ("SOFR") plus a 1.1% spread (comprised of a 1.0% interest rate margin based on a debt leverage pricing grid plus a 0.1% credit spread adjustment). From December 1, 2023 through February 29, 2024, the spread decreased to 0.975% (comprised of a 0.875% interest rate margin based on a debt leverage pricing grid plus a 0.1% credit spread adjustment). Interest on the 2022 Credit Facilities is currently payable on the last business day of each month, in arrears.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February 29, 2024. We were in compliance with all covenants and requirements of the 2022 Credit Agreement as of February 29, 2024.</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 2022 Credit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On March 1, 2022, we entered into an interest rate swap agreement (the "2022 Swap Agreement") to hedge a portion of our outstanding floating SOFR debt with a fixed interest rate of 1.162%. The 2022 Swap Agreement matured on February 28, 2024.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2022 Swap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Swap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2024, we entered into an interest rate swap agreement ("2024 Swap Agreement") to hedge a portion of our outstanding floating SOFR debt with a fixed interest rate of 5.145%.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2024 Swap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during fiscal 2022 and we incurred approximately $9.1 million in debt issuance costs. Interest on the Senior Notes is payable semiannually in arrears on March 1 and September 1 of each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returned $186.3 million to our stockholders in the form of share repurchases and dividends during the six months ended February 29, 2024 and $67.5 million in the form of dividends during the six months ended February 28, 2023. Over the last 12 months, we returned $434.1 million to our stockholders in the form of share repurchases and dividends.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February 29, 2024 and February 28, 2023, we paid dividends of $74.1 million and $67.5 million, respectively. Fiscal 2023 marked the 24th consecutive fiscal year we have increased dividends, highlighting our continued commitment to returning value to our stockholders. Future dividends will depend on our earnings, capital requirements, financial condition and other factors we consider to be relevant and are subject to final determination by our Board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During the three and six months ended February 29, 2024, we repurchased 113,050 shares for $52.3 million and 249,000 shares for $112.2 million, respectively. We suspended our share repurchase program beginning in the second quarter of fiscal 2022 through the second quarter of fiscal 2023, to prioritize the repayment of debt under the 2022 Credit Facilities. As such, we did not repurchase any shares of our common stock under the share repurchase program during the six months ended February 28, 2023.</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As of February 29, 2024, $187.8 million remained authorized under our share repurchase program for future share repurchases. Refer to Part II, Item 2. </w:t>
      </w:r>
      <w:r>
        <w:rPr>
          <w:rFonts w:ascii="Times New Roman" w:cs="Times New Roman" w:eastAsia="Times New Roman" w:hAnsi="Times New Roman"/>
          <w:sz w:val="18"/>
          <w:szCs w:val="18"/>
          <w:i w:val="1"/>
          <w:iCs w:val="1"/>
          <w:color w:val="auto"/>
        </w:rPr>
        <w:t>Unregistered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29, 2024, capital expenditures increased by 8.4% to $38.4 million, compared with $35.4 million during the same period a year ago. This increase was primarily driven by higher capitalized costs related to the development of our internal-use software.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 For the six months ended February 29, 2024, there were no material changes to our contractual obligations.</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Six Months Ended</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29,</w:t>
            </w:r>
          </w:p>
        </w:tc>
        <w:tc>
          <w:tcPr>
            <w:tcW w:w="200" w:type="dxa"/>
            <w:vAlign w:val="bottom"/>
          </w:tcPr>
          <w:p>
            <w:pPr>
              <w:spacing w:after="0"/>
              <w:rPr>
                <w:sz w:val="19"/>
                <w:szCs w:val="19"/>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February 28,</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(83,319)</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(259,227)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(285,654)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six months ended February 29, 2024, net cash provided by operating activities was $298.9 million, which included net income of $289.5 million, non-cash charges of $111.4 million and a net cash outflow of $102.0 million to support our working capital requirements. The non-cash charges were primarily driven by depreciation and amortization and stock-based compensation expense. The change in our working capital was primarily driven by a cash outflow related to our annual variable compensation payment and higher accounts receivable due to an increase in sales and days sales outstanding.</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 months ended February 28, 2023, net cash provided by operating activities was $271.3 million, which included net income of $268.4 million, non-cash charges of $93.6 million and a net cash outflow of $90.6 million to support our working capital requirements. The non-cash charges were primarily driven by depreciation and amortization, stock-based compensation expense and amortization of lease ROU assets. The change in our working capital was primarily driven by higher accounts receivable due to increased sales and an increase in days sales outstanding, and a cash outflow related to our variable compensation payment.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29, 2024, net cash used in investing activities was $83.3 million. The cash used in investing activities was primarily related to $44.9 million of purchases in investments, mainly in mutual funds, and capital expenditures of $38.4 million driven by the capitalization of internal-use software development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February 28, 2023, net cash used in investing activities was $46.3 million. The cash used in investing activities was primarily due to an increase in capital expenditures of $35.4 million mainly due to the capitalization of internal-use software development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29, 2024, net cash used in financing activities was $259.2 million, consisting mainly of $125.0 million related to the partial repayment of the 2022 Term Facility, $112.2 million of share repurchases and $74.1 million of dividend payments, partially offset by $66.5 million of proceeds from employee stock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February 28, 2023, net cash used in financing activities was $285.7 million, consisting mainly of $250.0 million related to the partial repayment of the 2022 Term Facility and $67.5 million of dividend payments, partially offset by $43.6 million of proceeds from employee stock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2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Six Months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19"/>
                <w:szCs w:val="19"/>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gridSpan w:val="2"/>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298,942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271,314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27,628</w:t>
            </w:r>
          </w:p>
        </w:tc>
        <w:tc>
          <w:tcPr>
            <w:tcW w:w="0" w:type="dxa"/>
            <w:vAlign w:val="bottom"/>
          </w:tcPr>
          <w:p>
            <w:pPr>
              <w:spacing w:after="0"/>
              <w:rPr>
                <w:sz w:val="1"/>
                <w:szCs w:val="1"/>
                <w:color w:val="auto"/>
              </w:rPr>
            </w:pPr>
          </w:p>
        </w:tc>
      </w:tr>
      <w:tr>
        <w:trPr>
          <w:trHeight w:val="175"/>
        </w:trPr>
        <w:tc>
          <w:tcPr>
            <w:tcW w:w="6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180" w:type="dxa"/>
            <w:vAlign w:val="bottom"/>
          </w:tcPr>
          <w:p>
            <w:pPr>
              <w:spacing w:after="0"/>
              <w:rPr>
                <w:sz w:val="15"/>
                <w:szCs w:val="15"/>
                <w:color w:val="auto"/>
              </w:rPr>
            </w:pPr>
          </w:p>
        </w:tc>
        <w:tc>
          <w:tcPr>
            <w:tcW w:w="128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(35,416)</w:t>
            </w:r>
          </w:p>
        </w:tc>
        <w:tc>
          <w:tcPr>
            <w:tcW w:w="260" w:type="dxa"/>
            <w:vAlign w:val="bottom"/>
          </w:tcPr>
          <w:p>
            <w:pPr>
              <w:spacing w:after="0"/>
              <w:rPr>
                <w:sz w:val="15"/>
                <w:szCs w:val="15"/>
                <w:color w:val="auto"/>
              </w:rPr>
            </w:pPr>
          </w:p>
        </w:tc>
        <w:tc>
          <w:tcPr>
            <w:tcW w:w="12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149"/>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6820" w:type="dxa"/>
            <w:vAlign w:val="bottom"/>
            <w:tcBorders>
              <w:bottom w:val="single" w:sz="8" w:color="CCEEFF"/>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260,559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235,898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24,661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free cash flow of $260.6 million during the six months ended February 29, 2024, an increase of $24.7 million compared with the same period a year ago. This increase was driven by a $27.6 million increase in cash provided by operating activities, primarily due to higher net income, partially offset by an increase in working capital requirements. This increase in free cash flow was partially offset by a $3.0 million increase in capitalized costs related to the development of our internal-use software.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February 29, 2024 and August 31, 2023, we had no off-balance sheet financing other than letters of credit incurred in the ordinary course of business.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letters of credit.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29, 2024 and August 31, 2023,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February 29,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 periods range from the third quarter of fiscal 2024 through the second quarter of fiscal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90"/>
              <w:spacing w:after="0"/>
              <w:rPr>
                <w:sz w:val="20"/>
                <w:szCs w:val="20"/>
                <w:color w:val="auto"/>
              </w:rPr>
            </w:pPr>
            <w:r>
              <w:rPr>
                <w:rFonts w:ascii="Times New Roman" w:cs="Times New Roman" w:eastAsia="Times New Roman" w:hAnsi="Times New Roman"/>
                <w:sz w:val="18"/>
                <w:szCs w:val="18"/>
                <w:color w:val="auto"/>
              </w:rPr>
              <w:t>February 29, 2024</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53,431</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4,391,942</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1,890,330</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187,391</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estimates on historical experience and other assumptions that we believe to be reasonable at the time the Consolidated Financial Statements are prepared and, as such, they may ultimately differ materially from actual results.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2023. These accounting policies were consistently applied in preparing our Consolidated Financial Statements for the six months ended February 29, 2024.</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2023.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six months ended February 29,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accounting pronouncements recently adopted and those issued but not yet adopted, see Note 2,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which we include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February 29, 2024, we maintained a series of foreign currency forward contracts to hedge a portion of our primary currency exposures, namely the British Pound Sterling, Indian Rupee, Euro and Philippine Peso. We entered into these contracts with the intent to hedge between 25% to 75% of the currency exposure related to our projected operating income in these primary currencies over their respective hedge periods. The hedge maturity periods range from the third quarter of fiscal 2024 through the second quarter of fiscal 2025. We do not enter into cash flow hedges for trading or speculative purposes.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fair value for these foreign currency forward contracts are initially reported as a component of Accumulated other comprehensive loss ("AOCL") on the Consolidated Balance Sheets and subsequently reclassified into SG&amp;A in the Consolidated Statements of Income when the hedged exposure affects earnings.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forward contracts gain (loss) reclassified from AOCL into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40" w:type="dxa"/>
            <w:vAlign w:val="bottom"/>
          </w:tcPr>
          <w:p>
            <w:pPr>
              <w:spacing w:after="0"/>
              <w:rPr>
                <w:sz w:val="19"/>
                <w:szCs w:val="19"/>
                <w:color w:val="auto"/>
              </w:rPr>
            </w:pPr>
          </w:p>
        </w:tc>
        <w:tc>
          <w:tcPr>
            <w:tcW w:w="24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29"/>
        </w:trPr>
        <w:tc>
          <w:tcPr>
            <w:tcW w:w="6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February 29,</w:t>
            </w:r>
          </w:p>
        </w:tc>
        <w:tc>
          <w:tcPr>
            <w:tcW w:w="160" w:type="dxa"/>
            <w:vAlign w:val="bottom"/>
          </w:tcPr>
          <w:p>
            <w:pPr>
              <w:spacing w:after="0"/>
              <w:rPr>
                <w:sz w:val="19"/>
                <w:szCs w:val="19"/>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14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19"/>
                <w:szCs w:val="19"/>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0" w:type="dxa"/>
            <w:vAlign w:val="bottom"/>
          </w:tcPr>
          <w:p>
            <w:pPr>
              <w:spacing w:after="0"/>
              <w:rPr>
                <w:sz w:val="1"/>
                <w:szCs w:val="1"/>
                <w:color w:val="auto"/>
              </w:rPr>
            </w:pPr>
          </w:p>
        </w:tc>
      </w:tr>
      <w:tr>
        <w:trPr>
          <w:trHeight w:val="234"/>
        </w:trPr>
        <w:tc>
          <w:tcPr>
            <w:tcW w:w="6320" w:type="dxa"/>
            <w:vAlign w:val="bottom"/>
            <w:gridSpan w:val="2"/>
            <w:vMerge w:val="continue"/>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gain (loss) reclassified from AOCL into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exchange rate fluctuations, net of hedge activity, decreased operating income by $2.3 million and $0.4 million for the three and six months ended February 29, 2024, respectively, when compared to the same respective periods a year ago.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as of February 29, 2024 to determine the effects on both the fair value of our outstanding foreign currency forward contracts and our operating income, excluding these forward contracts, of a hypothetical devaluation of the U.S. dollar by 10% as of February 29, 2024, relative to the other foreign currencies in which we transact. The sensitivity analysis indicated that a devaluation of the U.S. dollar by 10% would have increased the fair value of our outstanding forward contracts by approximately $18 million and our operating income, excluding these forward contracts, would have decreased by an estimated $22 million based on the results from our six months ended February 29, 2024.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9"/>
                <w:szCs w:val="19"/>
                <w:color w:val="auto"/>
              </w:rPr>
            </w:pPr>
          </w:p>
        </w:tc>
        <w:tc>
          <w:tcPr>
            <w:tcW w:w="260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4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28,</w:t>
            </w:r>
          </w:p>
        </w:tc>
        <w:tc>
          <w:tcPr>
            <w:tcW w:w="20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February 29,</w:t>
            </w:r>
          </w:p>
        </w:tc>
        <w:tc>
          <w:tcPr>
            <w:tcW w:w="1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February 28,</w:t>
            </w:r>
          </w:p>
        </w:tc>
      </w:tr>
      <w:tr>
        <w:trPr>
          <w:trHeight w:val="270"/>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February 29, 2024, we had Cash and cash equivalents of $381.7 million and Investments of $68.5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February 29, 2024, our outstanding variable interest rate debt included $250.0 million under the 2022 Term Facility and $250.0 million under the 2022 Revolving Facility. From the borrowing date through November 30, 2023, the outstanding borrowings under the 2022 Credit Facilities bore interest at a rate equal to the applicable one-month Term SOFR plus a 1.1% spread (comprised of a 1.0% interest rate margin based on a debt leverage pricing grid plus a 0.1% credit spread adjustment). From December 1, 2023 through February 29, 2024, the spread decreased to 0.975% (comprised of a 0.875% interest rate margin based on a debt leverage pricing grid plus a 0.1% credit spread adjustment).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2022 Swap Agreement on March 1, 2022, to hedge a portion of our outstanding floating SOFR debt with a fixed interest rate of 1.162%. The 2022 Swap Agreement matured on February 28, 2024. To continue to hedge our outstanding floating SOFR debt, on March 1, 2024, we entered into the 2024 Swap Agreement with a notional amount of $200.0 million at a fixed interest rate of 5.145%. The notional amount of the 2024 Swap Agreement declines by $50.0 million on a quarterly basis beginning May 31, 2024 and matures on February 28,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the maturity date of the 2022 Swap Agreement on February 28, 2024, our interest rate exposure for fiscal 2024 was limited to the outstanding principal balance of our variable rate debt under our 2022 Credit Facilities in excess of our 2022 Swap Agreement, as our Senior Notes have a fixed interest rate and are not subject to interest rate changes. On February 29, 2024, subsequent to the maturity of the 2022 Swap Agreement, our outstanding variable rate debt of $500.0 million was not hedged, however, on March 1, 2024, when the 2024 Swap Agreement became effective, the interest rate exposure on our variable rate debt decreased to $300.0 million.</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Assuming all terms of our outstanding long-term debt remained the same, a hypothetical 25 basis point change (up or down) in the one-month SOFR would result in an approximate $1 million change to our annual interest expense as of February 29, 2024.</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as of February 29,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and our Principal Executive Officer and Principal Financial Officer have concluded that our disclosure controls and procedures were effective as of the end of the period covered by this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and six months ended February 29, 2024 that have materially affected, or are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2023.</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February 29, 2024:</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 Shares (or</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 Number of</w:t>
            </w:r>
          </w:p>
        </w:tc>
        <w:tc>
          <w:tcPr>
            <w:tcW w:w="280" w:type="dxa"/>
            <w:vAlign w:val="bottom"/>
          </w:tcPr>
          <w:p>
            <w:pPr>
              <w:spacing w:after="0"/>
              <w:rPr>
                <w:sz w:val="15"/>
                <w:szCs w:val="15"/>
                <w:color w:val="auto"/>
              </w:rPr>
            </w:pPr>
          </w:p>
        </w:tc>
        <w:tc>
          <w:tcPr>
            <w:tcW w:w="16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100" w:type="dxa"/>
            <w:vAlign w:val="bottom"/>
          </w:tcPr>
          <w:p>
            <w:pPr>
              <w:spacing w:after="0"/>
              <w:rPr>
                <w:sz w:val="15"/>
                <w:szCs w:val="15"/>
                <w:color w:val="auto"/>
              </w:rPr>
            </w:pPr>
          </w:p>
        </w:tc>
        <w:tc>
          <w:tcPr>
            <w:tcW w:w="24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5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that May Yet be Purchased Under</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color w:val="auto"/>
              </w:rPr>
              <w:t>(1)</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Programs</w:t>
            </w:r>
            <w:r>
              <w:rPr>
                <w:rFonts w:ascii="Times New Roman" w:cs="Times New Roman" w:eastAsia="Times New Roman" w:hAnsi="Times New Roman"/>
                <w:sz w:val="10"/>
                <w:szCs w:val="10"/>
                <w:color w:val="auto"/>
                <w:w w:val="99"/>
              </w:rPr>
              <w:t>(2)</w:t>
            </w: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the Plans or Programs (in US$)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454.62</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222,404</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204,647</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187,835</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115,049</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113,050</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60" w:hanging="328"/>
        <w:spacing w:after="0" w:line="290"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113,050 shares purchased under the stock repurchase program, as well as 1,999 shares repurchased primarily to satisfy withholding tax obligations due upon the vesting of stock-based awards.</w:t>
      </w:r>
    </w:p>
    <w:p>
      <w:pPr>
        <w:jc w:val="both"/>
        <w:ind w:left="660" w:hanging="328"/>
        <w:spacing w:after="0" w:line="263"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February 29, 2024, we had $187.8 million authorized under our share repurchase program for future share repurchases.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w:t>
      </w:r>
      <w:r>
        <w:rPr>
          <w:rFonts w:ascii="Times New Roman" w:cs="Times New Roman" w:eastAsia="Times New Roman" w:hAnsi="Times New Roman"/>
          <w:sz w:val="16"/>
          <w:szCs w:val="16"/>
          <w:i w:val="1"/>
          <w:iCs w:val="1"/>
          <w:color w:val="auto"/>
        </w:rPr>
        <w:t>Management's Discussion and Analysis of Financial Condition and Results of Operations, Liquidity and Capital Resources,</w:t>
      </w:r>
      <w:r>
        <w:rPr>
          <w:rFonts w:ascii="Times New Roman" w:cs="Times New Roman" w:eastAsia="Times New Roman" w:hAnsi="Times New Roman"/>
          <w:sz w:val="16"/>
          <w:szCs w:val="16"/>
          <w:color w:val="auto"/>
        </w:rPr>
        <w:t xml:space="preserve"> of this Quarterly Report on Form 10-Q for further discussion on our share repurchase program.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11, 2023, we entered into an agreement to adopt a trading arrangement for the repurchase of shares of our common stock in the open market consistent with the provisions of Rule 10b5-1 of the Securities Exchange Act of 1934. The arrangement provides for the repurchase of up to $250 million of our common stock during the period from September 1, 2023 through August 31, 2024 pursuant to a written algorithm for determining the amount, price and date for purchase of shares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(as defined in Section 16 of the Securities Exchange Act of 1934, as amended), adopted or terminated a Rule 10b5-1 trading arrangement or a non-Rule 10b5-1 trading arrangement (each as defined in Item 408(a) and (c) of Regulation S-K) during the quarter ended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80"/>
        </w:trPr>
        <w:tc>
          <w:tcPr>
            <w:tcW w:w="12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3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Exhibit No.  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tcBorders>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2024</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1" w:right="339" w:bottom="1440" w:gutter="0" w:footer="0" w:header="0"/>
        </w:sectPr>
      </w:pPr>
    </w:p>
    <w:bookmarkStart w:id="54" w:name="page55"/>
    <w:bookmarkEnd w:id="54"/>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3, 2024</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5" w:name="page56"/>
    <w:bookmarkEnd w:id="55"/>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April 3,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29, 2024,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3, 2024</w:t>
      </w:r>
    </w:p>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February 29, 2024,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April 3,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endash "/>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3"/>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2024-04-03T06:44:08Z</dcterms:created>
  <dcterms:modified xsi:type="dcterms:W3CDTF">2024-04-03T06:44:08Z</dcterms:modified>
</cp:coreProperties>
</file>