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5_1792009311.xml.htm"/>
      <w:bookmarkStart w:id="1" w:name="kswkform5_1792009311"/>
      <w:bookmarkEnd w:id="0"/>
      <w:bookmarkEnd w:id="1"/>
      <w:r>
        <w:rPr/>
        <w:t xml:space="preserve">SEC Form 5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2"/>
        <w:gridCol w:w="5976"/>
        <w:gridCol w:w="1992"/>
      </w:tblGrid>
      <w:tr>
        <w:trPr/>
        <w:tc>
          <w:tcPr>
            <w:tcW w:w="2237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5</w:t>
            </w:r>
          </w:p>
        </w:tc>
        <w:tc>
          <w:tcPr>
            <w:tcW w:w="5976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ANNUAL 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3235-0362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1.0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Form 3 Holdings Reported.</w:t>
            </w:r>
          </w:p>
        </w:tc>
        <w:tc>
          <w:tcPr>
            <w:tcW w:w="597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Form 4 Transactions Reported.</w:t>
            </w:r>
          </w:p>
        </w:tc>
        <w:tc>
          <w:tcPr>
            <w:tcW w:w="597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</w:t>
            </w:r>
          </w:p>
        </w:tc>
        <w:tc>
          <w:tcPr>
            <w:tcW w:w="796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6">
                    <w:r>
                      <w:rPr>
                        <w:rStyle w:val="InternetLink"/>
                      </w:rPr>
                      <w:t>Ellis Christopher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 GLOVER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NORWALK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7">
              <w:r>
                <w:rPr>
                  <w:rStyle w:val="InternetLink"/>
                </w:rPr>
                <w:t>FACTSET RESEARCH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Initiatives &amp; P'ships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Statement for Issuer's Fiscal Year Ended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84"/>
        <w:gridCol w:w="934"/>
        <w:gridCol w:w="807"/>
        <w:gridCol w:w="904"/>
        <w:gridCol w:w="1049"/>
        <w:gridCol w:w="459"/>
        <w:gridCol w:w="921"/>
        <w:gridCol w:w="1420"/>
        <w:gridCol w:w="915"/>
        <w:gridCol w:w="945"/>
        <w:gridCol w:w="16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68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Security (Instr. 3)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at end of Issuer's Fiscal Year (Instr. 3 and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  <w:tc>
          <w:tcPr>
            <w:tcW w:w="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blHeader w:val="true"/>
        </w:trPr>
        <w:tc>
          <w:tcPr>
            <w:tcW w:w="168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09/18/2025</w:t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</w:t>
            </w:r>
          </w:p>
        </w:tc>
        <w:tc>
          <w:tcPr>
            <w:tcW w:w="10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10.8195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301.23</w:t>
            </w:r>
          </w:p>
        </w:tc>
        <w:tc>
          <w:tcPr>
            <w:tcW w:w="1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24,216.6902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12/18/2025</w:t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</w:t>
            </w:r>
          </w:p>
        </w:tc>
        <w:tc>
          <w:tcPr>
            <w:tcW w:w="10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11.9648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273.39</w:t>
            </w:r>
          </w:p>
        </w:tc>
        <w:tc>
          <w:tcPr>
            <w:tcW w:w="1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24,228.655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03/19/2026</w:t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</w:t>
            </w:r>
          </w:p>
        </w:tc>
        <w:tc>
          <w:tcPr>
            <w:tcW w:w="10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15.726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208.84</w:t>
            </w:r>
          </w:p>
        </w:tc>
        <w:tc>
          <w:tcPr>
            <w:tcW w:w="1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24,244.381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450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  <w:tc>
          <w:tcPr>
            <w:tcW w:w="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891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5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through dividend reinvestment purchases under the FactSet Research Systems Inc. Employee Stock Purchase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WINNIFRED LEWIS, Attorney in Fact for Christopher R. Ellis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image" Target="https://cdn.kscope.io/box-un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hyperlink" Target="http://www.sec.gov/cgi-bin/browse-edgar?action=getcompany&amp;CIK=0001998939" TargetMode="External"/><Relationship Id="rId7" Type="http://schemas.openxmlformats.org/officeDocument/2006/relationships/hyperlink" Target="http://www.sec.gov/cgi-bin/browse-edgar?action=getcompany&amp;CIK=0001013237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624</Words>
  <Characters>3407</Characters>
  <CharactersWithSpaces>3944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