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May 31, 2025</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June 27, 2025 was 37,806,774.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May 31, 2025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9"/>
        </w:trPr>
        <w:tc>
          <w:tcPr>
            <w:tcW w:w="940" w:type="dxa"/>
            <w:vAlign w:val="bottom"/>
            <w:vMerge w:val="continue"/>
          </w:tcPr>
          <w:p>
            <w:pPr>
              <w:spacing w:after="0"/>
              <w:rPr>
                <w:sz w:val="19"/>
                <w:szCs w:val="19"/>
                <w:color w:val="auto"/>
              </w:rPr>
            </w:pPr>
          </w:p>
        </w:tc>
        <w:tc>
          <w:tcPr>
            <w:tcW w:w="968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Statements of Income for the three and nine months ended May 31, 2025 and May 31, 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nine months ended May 31, 2025 and May 31, 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Balance Sheets at May 31, 2025 and August 31, 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Cash Flows for the nine months ended May 31, 2025 and May 31, 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nine months ended May 31, 2025 and May 31, 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3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Mine Safety Disclosures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Signatures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express management's current views concerning expectations, estimates, trends, forecasts and projections about future events and circumstances, industries in which FactSet operates and the beliefs and assumptions of management. These statements may include projections of our future financial performance and anticipated trends in our business. In some cases, you can identify these statements by words such as "may," "might," "will," "should," "expects," "plans," "anticipates," "believes," "estimates," "intends," "projects," "indicates," "predicts," "potential," or "continue," and similar expressions. Statements concerning our financial position, business strategy and plans or objectives for future operations are forward-looking statements.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Forward-looking statements are not guarantees of future performance and involve a number of risks, uncertainties and assumptions. Factors that could cause our actual results, level of activity, performance or achievements to differ materially from those expressed or implied in forward-looking statements include, among others, the factors discussed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2024, and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that should be specifically considered. FactSet cautions readers not to place undue reliance on any forward-looking statements, which speak only as of the dates on which they are made. FactSet undertakes no obligations to update or revise any forward-looking statement to reflect results, revised expectations, events or circumstances arising after the date on which it is made, except as required by applicable law.</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26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60" w:type="dxa"/>
            <w:vAlign w:val="bottom"/>
          </w:tcPr>
          <w:p>
            <w:pPr>
              <w:spacing w:after="0"/>
              <w:rPr>
                <w:sz w:val="20"/>
                <w:szCs w:val="20"/>
                <w:color w:val="auto"/>
              </w:rPr>
            </w:pPr>
          </w:p>
        </w:tc>
      </w:tr>
      <w:tr>
        <w:trPr>
          <w:trHeight w:val="27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585,520</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552,708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1,724,847</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1,640,869</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280,729</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809,112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753,749</w:t>
            </w: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110,636</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103,263</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344,753</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313,679</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350,249</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1,153,865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1,067,428</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202,459</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570,982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573,441</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(50,231)</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(39,068)</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190,532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534,373</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32,397</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88,583</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158,135</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447,630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38,089</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38,344</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38,640</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38,457</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38,644</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76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2"/>
        </w:trPr>
        <w:tc>
          <w:tcPr>
            <w:tcW w:w="1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1"/>
                <w:szCs w:val="21"/>
                <w:color w:val="auto"/>
              </w:rPr>
            </w:pPr>
          </w:p>
        </w:tc>
        <w:tc>
          <w:tcPr>
            <w:tcW w:w="24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1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980" w:type="dxa"/>
            <w:vAlign w:val="bottom"/>
          </w:tcPr>
          <w:p>
            <w:pPr>
              <w:spacing w:after="0"/>
              <w:rPr>
                <w:sz w:val="20"/>
                <w:szCs w:val="20"/>
                <w:color w:val="auto"/>
              </w:rPr>
            </w:pPr>
          </w:p>
        </w:tc>
      </w:tr>
      <w:tr>
        <w:trPr>
          <w:trHeight w:val="27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447,630</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6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unrealized gain (loss) on cash flow hedges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29"/>
        </w:trPr>
        <w:tc>
          <w:tcPr>
            <w:tcW w:w="5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23"/>
        </w:trPr>
        <w:tc>
          <w:tcPr>
            <w:tcW w:w="5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44,196</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w:t>
            </w:r>
          </w:p>
        </w:tc>
      </w:tr>
      <w:tr>
        <w:trPr>
          <w:trHeight w:val="223"/>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192,738</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156,518</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454,480</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442,125</w:t>
            </w:r>
          </w:p>
        </w:tc>
      </w:tr>
      <w:tr>
        <w:trPr>
          <w:trHeight w:val="21"/>
        </w:trPr>
        <w:tc>
          <w:tcPr>
            <w:tcW w:w="1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60" w:hanging="252"/>
        <w:spacing w:after="0" w:line="312" w:lineRule="auto"/>
        <w:tabs>
          <w:tab w:leader="none" w:pos="26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Presented net of a tax expense of $2,015 thousand and a tax </w:t>
      </w:r>
      <w:r>
        <w:rPr>
          <w:rFonts w:ascii="Times New Roman" w:cs="Times New Roman" w:eastAsia="Times New Roman" w:hAnsi="Times New Roman"/>
          <w:sz w:val="17"/>
          <w:szCs w:val="17"/>
          <w:color w:val="auto"/>
        </w:rPr>
        <w:t>benefit of</w:t>
      </w:r>
      <w:r>
        <w:rPr>
          <w:rFonts w:ascii="Times New Roman" w:cs="Times New Roman" w:eastAsia="Times New Roman" w:hAnsi="Times New Roman"/>
          <w:sz w:val="16"/>
          <w:szCs w:val="16"/>
          <w:color w:val="auto"/>
        </w:rPr>
        <w:t xml:space="preserve"> $119 thousand for the three months ended May 31, 2025 and May 31, 2024, respectively. Presented net of a tax expense of $756 thousand and a tax </w:t>
      </w:r>
      <w:r>
        <w:rPr>
          <w:rFonts w:ascii="Times New Roman" w:cs="Times New Roman" w:eastAsia="Times New Roman" w:hAnsi="Times New Roman"/>
          <w:sz w:val="17"/>
          <w:szCs w:val="17"/>
          <w:color w:val="auto"/>
        </w:rPr>
        <w:t>benefit</w:t>
      </w:r>
      <w:r>
        <w:rPr>
          <w:rFonts w:ascii="Times New Roman" w:cs="Times New Roman" w:eastAsia="Times New Roman" w:hAnsi="Times New Roman"/>
          <w:sz w:val="16"/>
          <w:szCs w:val="16"/>
          <w:color w:val="auto"/>
        </w:rPr>
        <w:t xml:space="preserve"> of $1,126 thousand for the nine months ended May 31, 2025 and May 31, 2024, respectively.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6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May 31, 2025</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422,979</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$13,917 at May 31, 2025 and $14,581 at August 31, 2024</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271,851</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228,054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55,103</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63,534</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60,093</w:t>
            </w: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760,478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835,848</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82,513</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1,277,855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1,011,129</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1,931,210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1,844,141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61,337</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103,531</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89,578</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4,338,762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4,055,040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178,250</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124,842</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31,073</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93,279</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170,897</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taxes payable</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40,391</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41,644</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39,470</w:t>
            </w: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518,923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667,066</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1,430,197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1,241,131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40,452</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177,521</w:t>
            </w: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2,183,580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2,142,580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42,962,994 and 42,598,915 shares</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776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37,858,606 and 37,952,270 shares outstanding at May 31, 2025 and August 31, 2024,</w:t>
            </w: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1,598,605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1,478,839</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5,104,388 and 4,646,645 shares at May 31, 2025 and August 31, 2024,</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(1,586,497)</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(1,375,696)</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2,211,201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1,888,504</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(68,557)</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(79,613)</w:t>
            </w:r>
          </w:p>
        </w:tc>
      </w:tr>
      <w:tr>
        <w:trPr>
          <w:trHeight w:val="223"/>
        </w:trPr>
        <w:tc>
          <w:tcPr>
            <w:tcW w:w="7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2,155,182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1,912,460</w:t>
            </w:r>
          </w:p>
        </w:tc>
      </w:tr>
      <w:tr>
        <w:trPr>
          <w:trHeight w:val="22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4,338,762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4,055,040</w:t>
            </w:r>
          </w:p>
        </w:tc>
      </w:tr>
      <w:tr>
        <w:trPr>
          <w:trHeight w:val="20"/>
        </w:trPr>
        <w:tc>
          <w:tcPr>
            <w:tcW w:w="1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4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447,630</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114,972</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91,154</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47,154</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46,707</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(41,492)</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(33,329)</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(31,687)</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514,160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537,177</w:t>
            </w:r>
          </w:p>
        </w:tc>
        <w:tc>
          <w:tcPr>
            <w:tcW w:w="0" w:type="dxa"/>
            <w:vAlign w:val="bottom"/>
          </w:tcPr>
          <w:p>
            <w:pPr>
              <w:spacing w:after="0"/>
              <w:rPr>
                <w:sz w:val="1"/>
                <w:szCs w:val="1"/>
                <w:color w:val="auto"/>
              </w:rPr>
            </w:pPr>
          </w:p>
        </w:tc>
      </w:tr>
      <w:tr>
        <w:trPr>
          <w:trHeight w:val="162"/>
        </w:trPr>
        <w:tc>
          <w:tcPr>
            <w:tcW w:w="862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(59,722)</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(348,255)</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(44,936)</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maturity or sale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(369,373)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(104,658)</w:t>
            </w:r>
          </w:p>
        </w:tc>
        <w:tc>
          <w:tcPr>
            <w:tcW w:w="0" w:type="dxa"/>
            <w:vAlign w:val="bottom"/>
          </w:tcPr>
          <w:p>
            <w:pPr>
              <w:spacing w:after="0"/>
              <w:rPr>
                <w:sz w:val="1"/>
                <w:szCs w:val="1"/>
                <w:color w:val="auto"/>
              </w:rPr>
            </w:pPr>
          </w:p>
        </w:tc>
      </w:tr>
      <w:tr>
        <w:trPr>
          <w:trHeight w:val="162"/>
        </w:trPr>
        <w:tc>
          <w:tcPr>
            <w:tcW w:w="8620" w:type="dxa"/>
            <w:vAlign w:val="bottom"/>
            <w:gridSpan w:val="2"/>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803,410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(742,500)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(118,329)</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(111,297)</w:t>
            </w: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83,497</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(171,918)</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(199,327)</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(402,908)</w:t>
            </w:r>
          </w:p>
        </w:tc>
        <w:tc>
          <w:tcPr>
            <w:tcW w:w="0" w:type="dxa"/>
            <w:vAlign w:val="bottom"/>
          </w:tcPr>
          <w:p>
            <w:pPr>
              <w:spacing w:after="0"/>
              <w:rPr>
                <w:sz w:val="1"/>
                <w:szCs w:val="1"/>
                <w:color w:val="auto"/>
              </w:rPr>
            </w:pPr>
          </w:p>
        </w:tc>
      </w:tr>
      <w:tr>
        <w:trPr>
          <w:trHeight w:val="162"/>
        </w:trPr>
        <w:tc>
          <w:tcPr>
            <w:tcW w:w="862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2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422,979</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425,444</w:t>
            </w:r>
          </w:p>
        </w:tc>
        <w:tc>
          <w:tcPr>
            <w:tcW w:w="0" w:type="dxa"/>
            <w:vAlign w:val="bottom"/>
          </w:tcPr>
          <w:p>
            <w:pPr>
              <w:spacing w:after="0"/>
              <w:rPr>
                <w:sz w:val="1"/>
                <w:szCs w:val="1"/>
                <w:color w:val="auto"/>
              </w:rPr>
            </w:pPr>
          </w:p>
        </w:tc>
      </w:tr>
      <w:tr>
        <w:trPr>
          <w:trHeight w:val="22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370,405</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453,144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7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20" w:right="2900"/>
        <w:spacing w:after="0" w:line="286" w:lineRule="auto"/>
        <w:rPr>
          <w:sz w:val="20"/>
          <w:szCs w:val="20"/>
          <w:color w:val="auto"/>
        </w:rPr>
      </w:pPr>
      <w:r>
        <w:rPr>
          <w:rFonts w:ascii="Times New Roman" w:cs="Times New Roman" w:eastAsia="Times New Roman" w:hAnsi="Times New Roman"/>
          <w:sz w:val="18"/>
          <w:szCs w:val="18"/>
          <w:color w:val="auto"/>
        </w:rPr>
        <w:t>Restricted cash included in Prepaid expenses and other current assets Restricted cash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356,361</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453,144</w:t>
            </w:r>
          </w:p>
        </w:tc>
      </w:tr>
      <w:tr>
        <w:trPr>
          <w:trHeight w:val="230"/>
        </w:trPr>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370,405</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453,144</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2">
            <w:col w:w="7900" w:space="720"/>
            <w:col w:w="262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May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9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3"/>
        </w:trPr>
        <w:tc>
          <w:tcPr>
            <w:tcW w:w="27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42,910,088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1,569,319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4,918,704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(1,504,381)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2,104,303</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2,056,917</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148,542</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148,542</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44,196</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48,606</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12,271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12,272</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(80,696)</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17,015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17,015</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(41,644)</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(41,644)</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May 31,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42,962,994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1,598,605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5,104,388</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(1,586,497)</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2,211,201</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(68,557)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2,155,182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Nine Months Ended May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5"/>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78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center"/>
              <w:ind w:right="65"/>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8"/>
                <w:szCs w:val="8"/>
                <w:color w:val="auto"/>
              </w:rPr>
            </w:pPr>
          </w:p>
        </w:tc>
        <w:tc>
          <w:tcPr>
            <w:tcW w:w="980" w:type="dxa"/>
            <w:vAlign w:val="bottom"/>
            <w:vMerge w:val="restart"/>
          </w:tcPr>
          <w:p>
            <w:pPr>
              <w:jc w:val="center"/>
              <w:ind w:right="48"/>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5"/>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5"/>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center"/>
              <w:ind w:right="65"/>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42,598,915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1,478,839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4,646,645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(1,375,696)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1,912,460</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443,424</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443,424</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283,642</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840" w:type="dxa"/>
            <w:vAlign w:val="bottom"/>
            <w:vMerge w:val="restart"/>
          </w:tcPr>
          <w:p>
            <w:pPr>
              <w:jc w:val="right"/>
              <w:ind w:right="5"/>
              <w:spacing w:after="0"/>
              <w:rPr>
                <w:sz w:val="20"/>
                <w:szCs w:val="20"/>
                <w:color w:val="auto"/>
              </w:rPr>
            </w:pPr>
            <w:r>
              <w:rPr>
                <w:rFonts w:ascii="Times New Roman" w:cs="Times New Roman" w:eastAsia="Times New Roman" w:hAnsi="Times New Roman"/>
                <w:sz w:val="14"/>
                <w:szCs w:val="14"/>
                <w:color w:val="auto"/>
              </w:rPr>
              <w:t>72,613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72,446</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80,437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(14,768)</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425,239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(193,838)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(193,838)</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47,154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47,154</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right="65"/>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(120,727)</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(120,727)</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May 31,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42,962,994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1,598,605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5,104,388</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(1,586,497)</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2,211,201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(68,557)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2,155,182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May 31,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restart"/>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2"/>
                <w:szCs w:val="2"/>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2"/>
                <w:szCs w:val="2"/>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278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8"/>
                <w:szCs w:val="8"/>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8"/>
                <w:szCs w:val="8"/>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February 29,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42,475,726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1,421,133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4,352,639</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(1,248,707)</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1,719,932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1,801,754</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158,135</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158,135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74,963</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16,952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16,730</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135,150</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(59,753)</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(59,753)</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15,745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15,745</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(39,589)</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(39,589)</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May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42,556,827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1,453,830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4,490,632</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(1,309,684)</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1,838,478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1,890,404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Nine Months Ended May 31, 2024</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vMerge w:val="restart"/>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4"/>
                <w:szCs w:val="4"/>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4"/>
                <w:szCs w:val="4"/>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75"/>
        </w:trPr>
        <w:tc>
          <w:tcPr>
            <w:tcW w:w="2780" w:type="dxa"/>
            <w:vAlign w:val="bottom"/>
            <w:vMerge w:val="continue"/>
          </w:tcPr>
          <w:p>
            <w:pPr>
              <w:spacing w:after="0"/>
              <w:rPr>
                <w:sz w:val="6"/>
                <w:szCs w:val="6"/>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6"/>
                <w:szCs w:val="6"/>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6"/>
                <w:szCs w:val="6"/>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42,096,628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1,323,631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4,071,256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(1,122,077)</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1,505,096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1,619,930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447,630</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447,630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372,311</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83,493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83,121</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87,888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384,150</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(171,918)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(171,918)</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46,707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46,707</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(114,248)</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(114,248)</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May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42,556,827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1,453,830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4,490,632</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(1,309,684)</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1,838,478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1,890,404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9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9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16</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r>
      <w:tr>
        <w:trPr>
          <w:trHeight w:val="885"/>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Borders>
              <w:top w:val="single" w:sz="8" w:color="0000FF"/>
            </w:tcBorders>
            <w:gridSpan w:val="10"/>
          </w:tcPr>
          <w:p>
            <w:pPr>
              <w:spacing w:after="0"/>
              <w:rPr>
                <w:sz w:val="24"/>
                <w:szCs w:val="24"/>
                <w:color w:val="auto"/>
              </w:rPr>
            </w:pPr>
          </w:p>
        </w:tc>
        <w:tc>
          <w:tcPr>
            <w:tcW w:w="16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47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("we," "our," "us,"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May 31, 2025, we had more than 8,800 clients comprised of over 220,000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All of our platforms and solutions are supported by our dedicated client service team.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Within each segment, we offer data, products and analytical applications by firm type: Institutional Buyside, Dealmakers, Wealth, and Partnerships and CGS. Refer to Note 16,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for further discussion on our segments.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2024. The accompanying unaudited Consolidated Financial Statements include our accounts and those of our wholly-owned subsidiaries; all intercompany activity and balances have been eliminated.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impairments were included within Selling, general and administrative ("SG&amp;A") in the Consolidated Statements of Income during the three and nine months ended May 31, 2025, and were included within Other, net in the Consolidated Statements of Cash Flows for the nine months ended May 31, 2025. We conformed the comparative prior period figures to the current period presentation.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May 31, 2025, Prepaid expenses and other assets, previously included within Other, net, were presented as a separate component of Cash Flows from Operating Activities in the Consolidated Statements of Cash Flows. We conformed the comparative figures for the nine months ended May 31, 2024, to the current period presentation.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include income taxes, stock-based compensation, goodwill and intangible assets, business combinations, property, equipment and leasehold improvements ("PPE"), contingencies and impairment assessments.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arises from the potential nonperformance by counterparties to fulfill their financial obligations. Our financial instruments that potentially subject us to concentrations of credit risk consist primarily of our cash, cash equivalents, restricted cash, investments in mutual funds, accounts receivable and derivative instruments. The maximum credit exposure of our cash, cash equivalents, restricted cash, investments in mutual funds and accounts receivable is their carrying values as of the balance sheet date. The maximum credit exposure related to our derivative instruments is based upon their respective gross fair values as of the balance sheet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Investments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credit risk on our cash, cash equivalents, restricted cash and investments in mutual funds in the event of default by the financial and governmental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and governmental institutions that we believe are high-quality and credit-worthy. We have not experienced any credit losses relating to our cash, cash equivalents, restricted cash and investments in mutual funds.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As of May 31, 2025 and August 31, 2024, our accounts receivable reserve was $13.9 million and $14.6 million, respectively. We do not require collateral from our clients; however, no single client represented more than 3.5% of our total revenues for the nine months ended May 31, 2025 and May 31, 2024. Due to our large and geographically dispersed client base, our concentration of credit risk related to our accounts receivable is generally limited.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only two data suppliers each representing more than 10% of our total data costs for the nine months ended May 31, 2025 and May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Cloud Providers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the nine months ended May 31, 2025 and May 31, 2024. We maintain back-up facilities and other redundancies at our data centers, take security measures and have emergency procedures to minimize the risk that an event will disrupt our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Codification Improvements - Amendments to Remove References to the Concepts Statements</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This ASU amends the FASB Accounting Standards Codification ("the Codification") to remove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various FASB Concepts Statements and impacts a variety of topics in the Codification. The amendments apply to all reporting entities within the scope of the affected accounting guidance, but in most instances the references removed are extraneous and not required to understand or apply the guidance. We early adopted this ASU on a prospective basis as of March 1, 2025. The adoption of this ASU did not have a material impact on our Consolidated Financial Statements or related disclosures.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adopt any other new accounting pronouncements issued by the Financial Accounting Standards Board ("FASB") during the nine months ended May 31, 2025 that had a material impact on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Disaggregation of Income Statement Expenses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 Disaggregation of Income Statement Expenses</w:t>
      </w:r>
      <w:r>
        <w:rPr>
          <w:rFonts w:ascii="Times New Roman" w:cs="Times New Roman" w:eastAsia="Times New Roman" w:hAnsi="Times New Roman"/>
          <w:sz w:val="18"/>
          <w:szCs w:val="18"/>
          <w:color w:val="auto"/>
        </w:rPr>
        <w:t>. This ASU requires disaggregation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captions into specified categories to be disclosed within the footnotes to the financial statements. This ASU does not change the expense captions on the income statement. The amendments in this ASU are to be applied prospectively, although retrospective application is permitted, and are effective for our annual financial statements starting in fiscal 2028 and interim periods starting in fiscal 2029. Early adoption is permitted. This ASU is not expected to have a material impact on our Consolidated Financial Statements. We are currently assessing the impact of the new requirements on our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Securities and Exchange Commission ("SEC") Disclosures - The Enhancement and Standardization of Climate-Related Disclosures for Investors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SEC adopted a final rule under SEC Release Nos. 33-11275 and 34-99678, </w:t>
      </w:r>
      <w:r>
        <w:rPr>
          <w:rFonts w:ascii="Times New Roman" w:cs="Times New Roman" w:eastAsia="Times New Roman" w:hAnsi="Times New Roman"/>
          <w:sz w:val="18"/>
          <w:szCs w:val="18"/>
          <w:i w:val="1"/>
          <w:iCs w:val="1"/>
          <w:color w:val="auto"/>
        </w:rPr>
        <w:t>The Enhancement and Standardization of Climate-Related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which would require disclosure of certain climate-related information in various filings with the SEC. In April 2024,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stayed implementation of the final rule pending completion of judicial review. In March 2025, the SEC stated that it has ended its defense of the rule. We are currently monitoring the legal challenges and assessing the potential impact of the rule on our disclosures.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is not expected to have a material impact on our Consolidated Financial Statements. We are currently assessing the impact of the new requirements on our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This ASU enhances segment disclosures primarily related to significant segment expenses for both interim and annual periods. The amendments in this ASU are to be applied retrospectively and are effective for our annual financial statements starting in fiscal 2025 and interim periods starting in fiscal 2026. Early adoption is permitted. This ASU will result in additional disclosures with no impact to our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 - Codification Amendment in Response to the SEC's Disclosure Update and Simplification Initiative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nine months ended May 31, 2025 have had, or are expected to have, a material impact on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delivering client access to our multi-asset class solutions powered by our platform of connected data and technology that is available over the contractual term (referred to as the "Hosted Platform"). The Hosted Platform is a subscription-based service that provides client access to various combinations of products and services including workstations, portfolio analytics and enterprise solutions. We also derive revenues through the CGS platform, a subscription-based service that provides access to a database of universally recognized security identifiers and related descriptive data for issuers and their financial instruments (referred to as the "Identifier Platform").</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each of our contracts with clients, whether for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products and services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There are no significant judgments that would impact the timing of revenue recognition.</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our election of the practical expedient, we do not consider payment terms as a financing component within a client contract when, at contract inception, the period between the transfer of the promised services to the client and the payment timing for those services will be one year or less.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disaggregate revenues from our client contracts by segment based on the geographic region where the sale originated. Our business segmentation by geography is aligned with the operational and economic characteristics of our business.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segment:</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24"/>
                <w:szCs w:val="24"/>
                <w:color w:val="auto"/>
              </w:rPr>
            </w:pPr>
          </w:p>
        </w:tc>
        <w:tc>
          <w:tcPr>
            <w:tcW w:w="26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19"/>
                <w:szCs w:val="19"/>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380,501</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356,468</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1,117,404</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1,057,453</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145,741</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141,279</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432,853</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59,278</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54,961</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174,590</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163,400</w:t>
            </w:r>
          </w:p>
        </w:tc>
        <w:tc>
          <w:tcPr>
            <w:tcW w:w="0" w:type="dxa"/>
            <w:vAlign w:val="bottom"/>
          </w:tcPr>
          <w:p>
            <w:pPr>
              <w:spacing w:after="0"/>
              <w:rPr>
                <w:sz w:val="1"/>
                <w:szCs w:val="1"/>
                <w:color w:val="auto"/>
              </w:rPr>
            </w:pPr>
          </w:p>
        </w:tc>
      </w:tr>
      <w:tr>
        <w:trPr>
          <w:trHeight w:val="236"/>
        </w:trPr>
        <w:tc>
          <w:tcPr>
            <w:tcW w:w="4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585,520</w:t>
            </w:r>
          </w:p>
        </w:tc>
        <w:tc>
          <w:tcPr>
            <w:tcW w:w="4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552,708</w:t>
            </w:r>
          </w:p>
        </w:tc>
        <w:tc>
          <w:tcPr>
            <w:tcW w:w="3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1,724,847</w:t>
            </w:r>
          </w:p>
        </w:tc>
        <w:tc>
          <w:tcPr>
            <w:tcW w:w="4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1,640,869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affect its placement within the fair value hierarchy. We have categorized our assets and liabilities within the fair value hierarchy as follows: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3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May 31, 2025 and August 31, 2024. We did not have any transfers between levels of fair value measurements during the nine months ended May 31, 2025 and the fiscal year ended August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5"/>
          </w:tcPr>
          <w:p>
            <w:pPr>
              <w:jc w:val="right"/>
              <w:ind w:right="192"/>
              <w:spacing w:after="0"/>
              <w:rPr>
                <w:sz w:val="20"/>
                <w:szCs w:val="20"/>
                <w:color w:val="auto"/>
              </w:rPr>
            </w:pPr>
            <w:r>
              <w:rPr>
                <w:rFonts w:ascii="Times New Roman" w:cs="Times New Roman" w:eastAsia="Times New Roman" w:hAnsi="Times New Roman"/>
                <w:sz w:val="18"/>
                <w:szCs w:val="18"/>
                <w:color w:val="auto"/>
              </w:rPr>
              <w:t>Fair Value Measurements as of May 31, 2025</w:t>
            </w:r>
          </w:p>
        </w:tc>
        <w:tc>
          <w:tcPr>
            <w:tcW w:w="114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162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92,819</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105,784</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9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liabilities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27,934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27,934</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27,934 $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27,951</w:t>
            </w:r>
          </w:p>
        </w:tc>
      </w:tr>
      <w:tr>
        <w:trPr>
          <w:trHeight w:val="7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6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rPr>
              <w:t>Fair Value Measurements as of August 31, 2024</w:t>
            </w:r>
          </w:p>
        </w:tc>
        <w:tc>
          <w:tcPr>
            <w:tcW w:w="1140" w:type="dxa"/>
            <w:vAlign w:val="bottom"/>
          </w:tcPr>
          <w:p>
            <w:pPr>
              <w:spacing w:after="0"/>
              <w:rPr>
                <w:sz w:val="24"/>
                <w:szCs w:val="24"/>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2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129,635</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201,873</w:t>
            </w:r>
          </w:p>
        </w:tc>
      </w:tr>
      <w:tr>
        <w:trPr>
          <w:trHeight w:val="257"/>
        </w:trPr>
        <w:tc>
          <w:tcPr>
            <w:tcW w:w="20" w:type="dxa"/>
            <w:vAlign w:val="bottom"/>
          </w:tcPr>
          <w:p>
            <w:pPr>
              <w:spacing w:after="0"/>
              <w:rPr>
                <w:sz w:val="22"/>
                <w:szCs w:val="22"/>
                <w:color w:val="auto"/>
              </w:rPr>
            </w:pPr>
          </w:p>
        </w:tc>
        <w:tc>
          <w:tcPr>
            <w:tcW w:w="5120" w:type="dxa"/>
            <w:vAlign w:val="bottom"/>
            <w:gridSpan w:val="3"/>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4,193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4,193 $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r>
    </w:tbl>
    <w:p>
      <w:pPr>
        <w:spacing w:after="0" w:line="170" w:lineRule="exact"/>
        <w:rPr>
          <w:sz w:val="20"/>
          <w:szCs w:val="20"/>
          <w:color w:val="auto"/>
        </w:rPr>
      </w:pPr>
    </w:p>
    <w:p>
      <w:pPr>
        <w:ind w:left="260" w:hanging="252"/>
        <w:spacing w:after="0" w:line="298" w:lineRule="auto"/>
        <w:tabs>
          <w:tab w:leader="none" w:pos="2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money market funds are readily convertible into cash. The net asset value of each fund on the last day of the reporting period is used to determine its fair value. Our money market funds are included in Cash and cash equivalents within the Consolidated Balance Sheets.</w:t>
      </w:r>
    </w:p>
    <w:p>
      <w:pPr>
        <w:spacing w:after="0" w:line="42"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4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mutual funds' fair value is based on the fair value of the underlying investments held by the mutual funds, allocated to each share of the mutual fund using a net asset value approach. The fair value of each underlying investment is based on observable inputs. Our mutual funds are included in Investments within the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60" w:hanging="252"/>
        <w:spacing w:after="0" w:line="263" w:lineRule="auto"/>
        <w:tabs>
          <w:tab w:leader="none" w:pos="2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derivative instruments included our foreign exchange forward contracts and interest rate swap agreements. We utilized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agreements, we utilized a present value of future cash flows, leveraging a model-derived valuation that uses observable inputs such as interest rate yield curves. Refer to Note 5, </w:t>
      </w:r>
      <w:r>
        <w:rPr>
          <w:rFonts w:ascii="Times New Roman" w:cs="Times New Roman" w:eastAsia="Times New Roman" w:hAnsi="Times New Roman"/>
          <w:sz w:val="16"/>
          <w:szCs w:val="16"/>
          <w:i w:val="1"/>
          <w:iCs w:val="1"/>
          <w:color w:val="auto"/>
        </w:rPr>
        <w:t>Derivative Instruments</w:t>
      </w:r>
      <w:r>
        <w:rPr>
          <w:rFonts w:ascii="Times New Roman" w:cs="Times New Roman" w:eastAsia="Times New Roman" w:hAnsi="Times New Roman"/>
          <w:sz w:val="16"/>
          <w:szCs w:val="16"/>
          <w:color w:val="auto"/>
        </w:rPr>
        <w:t xml:space="preserve"> for more information on our derivative instruments and their classification within the Consolidated Balance Sheets.</w:t>
      </w:r>
    </w:p>
    <w:p>
      <w:pPr>
        <w:spacing w:after="0" w:line="71" w:lineRule="exact"/>
        <w:rPr>
          <w:rFonts w:ascii="Times New Roman" w:cs="Times New Roman" w:eastAsia="Times New Roman" w:hAnsi="Times New Roman"/>
          <w:sz w:val="16"/>
          <w:szCs w:val="16"/>
          <w:color w:val="auto"/>
        </w:rPr>
      </w:pPr>
    </w:p>
    <w:p>
      <w:pPr>
        <w:jc w:val="both"/>
        <w:ind w:left="260" w:hanging="252"/>
        <w:spacing w:after="0" w:line="263" w:lineRule="auto"/>
        <w:tabs>
          <w:tab w:leader="none" w:pos="25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contingent liabilities resulted from the acquisitions of various businesses. These liabilities reflect the present value of potential future payments that are contingent upon the achievement of certain specified milestones and are valued using a scenario-based method. This method incorporates unobservable inputs and assumptions made by management, including the probability of achieving specified milestones, expected time until payment and the discount rate. Refer to Note 6,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xml:space="preserve"> for more information on the contingent liabilities associated with the Liquid Holdings LLC ("LiquidityBook") and Platform Group Limited ("Irwin") acquisitions.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primarily include our PPE, lease right-of-use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elected not to carry our debt at fair value on the Consolidated Balance Sheets. Our Senior Notes are publicly traded; therefore, the fair value of our Senior Notes is estimated based on quoted prices in active markets as of the last business day of the reporting period, which are considered Level 1 inputs. The fair value of our 2022 and 2025 Credit Facilities, for their respective outstanding periods, was estimated based on quoted market prices for similar instruments, adjusted for unobservable inputs to ensure comparability to our investment rating, maturity terms and principal outstanding, which are considered Level 3 inputs.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and more information on, our Senior Notes and 2025 Credit Facilities.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May 31, 2025 and August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May 31, 2025</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89"/>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jc w:val="center"/>
              <w:ind w:left="410"/>
              <w:spacing w:after="0" w:line="189" w:lineRule="exact"/>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4680" w:type="dxa"/>
            <w:vAlign w:val="bottom"/>
            <w:tcBorders>
              <w:bottom w:val="single" w:sz="8" w:color="auto"/>
            </w:tcBorders>
            <w:gridSpan w:val="2"/>
            <w:vMerge w:val="continue"/>
          </w:tcPr>
          <w:p>
            <w:pPr>
              <w:spacing w:after="0"/>
              <w:rPr>
                <w:sz w:val="20"/>
                <w:szCs w:val="20"/>
                <w:color w:val="auto"/>
              </w:rPr>
            </w:pP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Hierarchy</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479,760</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450,835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7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437,737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246,578</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7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125,242</w:t>
            </w:r>
          </w:p>
        </w:tc>
        <w:tc>
          <w:tcPr>
            <w:tcW w:w="0" w:type="dxa"/>
            <w:vAlign w:val="bottom"/>
          </w:tcPr>
          <w:p>
            <w:pPr>
              <w:spacing w:after="0"/>
              <w:rPr>
                <w:sz w:val="1"/>
                <w:szCs w:val="1"/>
                <w:color w:val="auto"/>
              </w:rPr>
            </w:pPr>
          </w:p>
        </w:tc>
      </w:tr>
      <w:tr>
        <w:trPr>
          <w:trHeight w:val="22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1,300,960</w:t>
            </w: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unamortized discounts and debt issuance costs</w:t>
            </w:r>
            <w:r>
              <w:rPr>
                <w:rFonts w:ascii="Times New Roman" w:cs="Times New Roman" w:eastAsia="Times New Roman" w:hAnsi="Times New Roman"/>
                <w:sz w:val="23"/>
                <w:szCs w:val="23"/>
                <w:color w:val="auto"/>
                <w:vertAlign w:val="superscript"/>
              </w:rPr>
              <w:t>(1)</w:t>
            </w:r>
          </w:p>
        </w:tc>
        <w:tc>
          <w:tcPr>
            <w:tcW w:w="1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7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1,430,197</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1,365,973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 excludes the debt issuance costs related to the 2025 Revolving Facility which are presented within Other assets on the Consolidated Balance Sheets.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DERIVATIVE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and the availability, effectiveness and cost of derivative instruments.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utilize derivative instruments to manage risk and not for speculative or trading purposes. We limit counterparties to financial institutions we believe are credit-worthy. Refer to Note 2, </w:t>
      </w:r>
      <w:r>
        <w:rPr>
          <w:rFonts w:ascii="Times New Roman" w:cs="Times New Roman" w:eastAsia="Times New Roman" w:hAnsi="Times New Roman"/>
          <w:sz w:val="18"/>
          <w:szCs w:val="18"/>
          <w:i w:val="1"/>
          <w:iCs w:val="1"/>
          <w:color w:val="auto"/>
        </w:rPr>
        <w:t>Summary of Significant Accounting Policies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leverage foreign currency forward contracts and interest rate swap agreements to mitigate certain operational exposures from the impact of changes in foreign currency exchange rates and to manage our floating interest rate exposure, respectively. Our foreign currency forward contracts and interest rate swap agreements are designated as cash flow hedges at inception.</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highly effective cash flow hedges, the change in the derivative's fair value is recorded in Accumulated other comprehensive loss ("AOCL"), net of tax, in the Consolidated Balance Sheets. Our cash flow hedges were highly effective with no amount of ineffectiveness recorded in the Consolidated Statements of Income during the three and nine months ended May 31, 2025 and May 31, 2024.</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or losses from the settlement of our foreign currency forward contracts and interest rate swap agreements are subsequently reclassified into SG&amp;A and Interest expense, respectively, in the Consolidated Statements of Income. There was no discontinuance of our cash flow hedges during the nine months ended May 31, 2025 and May 31, 2024. As such, no corresponding gains or losses were reclassified into earnings prior to settlement during those respective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nine months ended May 31, 2025 and May 31, 2024, we maintained a series of foreign currency forward contracts to hedge a portion of our projected operating expenses in our primary currency exposures, namely the British Pound Sterling, Euro, Indian Rupee and Philippine Peso. As of May 31, 2025, the hedge maturity periods of our outstanding foreign currency forward contracts range from the fourth quarter of fiscal 2025 through the third quarter of fiscal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 May 31, 2025 and August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color w:val="auto"/>
              </w:rPr>
              <w:t>May 31, 2025</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8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auto"/>
            </w:tcBorders>
            <w:vMerge w:val="continue"/>
          </w:tcPr>
          <w:p>
            <w:pPr>
              <w:spacing w:after="0"/>
              <w:rPr>
                <w:sz w:val="21"/>
                <w:szCs w:val="21"/>
                <w:color w:val="auto"/>
              </w:rPr>
            </w:pPr>
          </w:p>
        </w:tc>
        <w:tc>
          <w:tcPr>
            <w:tcW w:w="3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4,573,733</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4,651,351</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40,917</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2,009,542</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1,850,674</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183,596</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further discussion on our exposure to foreign exchange rate fluctuations.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Swap Agreement</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24, 2025 we entered into an interest rate swap agreement ("2025 Swap Agreement") with a notional amount of $200.0 million to hedge a portion of our outstanding floating Secured Overnight Financing Rate ("SOFR") debt with a fixed interest rate of 4.086%. The notional amount of the 2025 Swap Agreement declines by $50.0 million on a quarterly basis beginning May 31, 2025 and matures on February 28, 2026. As of May 31, 2025, the notional amount of the 2025 Swap Agreement was $150.0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to hedge a portion of our outstanding floating SOFR debt with a fixed interest rate of 1.162%. The notional amount of the 2022 Swap Agreement declined by $100.0 million on a quarterly basis beginning May 31, 2022. The 2022 Swap Agreement matured on February 28, 2024.</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our outstanding floating rate debt and refer to Part I, Item 3.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in this Quarterly Report on Form 10-Q for further discussion of our exposure to interest rate risk on our outstanding floating rate debt.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Notional Value and Fair Value of Derivative Instruments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our derivative instruments: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Gross Notional Value</w:t>
            </w:r>
          </w:p>
        </w:tc>
      </w:tr>
      <w:tr>
        <w:trPr>
          <w:trHeight w:val="324"/>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May 31, 2025</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288,155</w:t>
            </w:r>
          </w:p>
        </w:tc>
      </w:tr>
      <w:tr>
        <w:trPr>
          <w:trHeight w:val="22"/>
        </w:trPr>
        <w:tc>
          <w:tcPr>
            <w:tcW w:w="77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our derivative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vMerge w:val="continue"/>
          </w:tcPr>
          <w:p>
            <w:pPr>
              <w:spacing w:after="0"/>
              <w:rPr>
                <w:sz w:val="20"/>
                <w:szCs w:val="20"/>
                <w:color w:val="auto"/>
              </w:rPr>
            </w:pPr>
          </w:p>
        </w:tc>
        <w:tc>
          <w:tcPr>
            <w:tcW w:w="3080" w:type="dxa"/>
            <w:vAlign w:val="bottom"/>
            <w:tcBorders>
              <w:bottom w:val="single" w:sz="8" w:color="auto"/>
            </w:tcBorders>
            <w:gridSpan w:val="3"/>
          </w:tcPr>
          <w:p>
            <w:pPr>
              <w:ind w:left="160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8"/>
                <w:szCs w:val="18"/>
                <w:color w:val="auto"/>
              </w:rPr>
              <w:t>Derivative Liabilities</w:t>
            </w: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Derivatives designated as</w:t>
            </w:r>
          </w:p>
        </w:tc>
        <w:tc>
          <w:tcPr>
            <w:tcW w:w="17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2025</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2024</w:t>
            </w:r>
          </w:p>
        </w:tc>
        <w:tc>
          <w:tcPr>
            <w:tcW w:w="2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May 31, 2025</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currency forward</w:t>
            </w:r>
          </w:p>
        </w:tc>
        <w:tc>
          <w:tcPr>
            <w:tcW w:w="178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40" w:type="dxa"/>
            <w:vAlign w:val="bottom"/>
            <w:shd w:val="clear" w:color="auto" w:fill="CCEEFF"/>
          </w:tcPr>
          <w:p>
            <w:pPr>
              <w:ind w:left="280"/>
              <w:spacing w:after="0" w:line="169" w:lineRule="exact"/>
              <w:rPr>
                <w:sz w:val="20"/>
                <w:szCs w:val="20"/>
                <w:color w:val="auto"/>
              </w:rPr>
            </w:pPr>
            <w:r>
              <w:rPr>
                <w:rFonts w:ascii="Times New Roman" w:cs="Times New Roman" w:eastAsia="Times New Roman" w:hAnsi="Times New Roman"/>
                <w:sz w:val="18"/>
                <w:szCs w:val="18"/>
                <w:color w:val="auto"/>
              </w:rPr>
              <w:t>Accounts payable and</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7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Accounts payable and</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Recognition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pre-tax effect of cash flow hedge accounting on our AOCL for the three months ended May 31, 2025 and May 31,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Gain (Loss) Recognized in AOCL</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on Derivatives</w:t>
            </w: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May 31,</w:t>
            </w:r>
          </w:p>
        </w:tc>
        <w:tc>
          <w:tcPr>
            <w:tcW w:w="900" w:type="dxa"/>
            <w:vAlign w:val="bottom"/>
          </w:tcPr>
          <w:p>
            <w:pPr>
              <w:spacing w:after="0"/>
              <w:rPr>
                <w:sz w:val="23"/>
                <w:szCs w:val="2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160" w:type="dxa"/>
            <w:vAlign w:val="bottom"/>
          </w:tcPr>
          <w:p>
            <w:pPr>
              <w:spacing w:after="0"/>
              <w:rPr>
                <w:sz w:val="23"/>
                <w:szCs w:val="23"/>
                <w:color w:val="auto"/>
              </w:rPr>
            </w:pPr>
          </w:p>
        </w:tc>
        <w:tc>
          <w:tcPr>
            <w:tcW w:w="15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May 31,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80" w:type="dxa"/>
            <w:vAlign w:val="bottom"/>
          </w:tcPr>
          <w:p>
            <w:pPr>
              <w:spacing w:after="0"/>
              <w:rPr>
                <w:sz w:val="15"/>
                <w:szCs w:val="15"/>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5"/>
                <w:szCs w:val="15"/>
                <w:color w:val="auto"/>
              </w:rPr>
            </w:pPr>
          </w:p>
        </w:tc>
        <w:tc>
          <w:tcPr>
            <w:tcW w:w="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Pr>
          <w:p>
            <w:pPr>
              <w:ind w:left="540"/>
              <w:spacing w:after="0" w:line="181" w:lineRule="exact"/>
              <w:rPr>
                <w:sz w:val="20"/>
                <w:szCs w:val="20"/>
                <w:color w:val="auto"/>
              </w:rPr>
            </w:pPr>
            <w:r>
              <w:rPr>
                <w:rFonts w:ascii="Times New Roman" w:cs="Times New Roman" w:eastAsia="Times New Roman" w:hAnsi="Times New Roman"/>
                <w:sz w:val="18"/>
                <w:szCs w:val="18"/>
                <w:color w:val="auto"/>
              </w:rPr>
              <w:t>Reclassified from</w:t>
            </w:r>
          </w:p>
        </w:tc>
        <w:tc>
          <w:tcPr>
            <w:tcW w:w="160" w:type="dxa"/>
            <w:vAlign w:val="bottom"/>
          </w:tcPr>
          <w:p>
            <w:pPr>
              <w:spacing w:after="0"/>
              <w:rPr>
                <w:sz w:val="15"/>
                <w:szCs w:val="15"/>
                <w:color w:val="auto"/>
              </w:rPr>
            </w:pPr>
          </w:p>
        </w:tc>
        <w:tc>
          <w:tcPr>
            <w:tcW w:w="11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5"/>
                <w:szCs w:val="15"/>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provides the pre-tax effect of cash flow hedge accounting on our AOCL for the nine months ended May 31, 2025 and May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Gain (Loss) Recognized in AOCL</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on Derivatives</w:t>
            </w: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4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80" w:type="dxa"/>
            <w:vAlign w:val="bottom"/>
          </w:tcPr>
          <w:p>
            <w:pPr>
              <w:spacing w:after="0"/>
              <w:rPr>
                <w:sz w:val="23"/>
                <w:szCs w:val="2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160" w:type="dxa"/>
            <w:vAlign w:val="bottom"/>
          </w:tcPr>
          <w:p>
            <w:pPr>
              <w:spacing w:after="0"/>
              <w:rPr>
                <w:sz w:val="23"/>
                <w:szCs w:val="23"/>
                <w:color w:val="auto"/>
              </w:rPr>
            </w:pPr>
          </w:p>
        </w:tc>
        <w:tc>
          <w:tcPr>
            <w:tcW w:w="15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May 31,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80" w:type="dxa"/>
            <w:vAlign w:val="bottom"/>
          </w:tcPr>
          <w:p>
            <w:pPr>
              <w:spacing w:after="0"/>
              <w:rPr>
                <w:sz w:val="15"/>
                <w:szCs w:val="15"/>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5"/>
                <w:szCs w:val="15"/>
                <w:color w:val="auto"/>
              </w:rPr>
            </w:pPr>
          </w:p>
        </w:tc>
        <w:tc>
          <w:tcPr>
            <w:tcW w:w="8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Pr>
          <w:p>
            <w:pPr>
              <w:ind w:left="540"/>
              <w:spacing w:after="0" w:line="181" w:lineRule="exact"/>
              <w:rPr>
                <w:sz w:val="20"/>
                <w:szCs w:val="20"/>
                <w:color w:val="auto"/>
              </w:rPr>
            </w:pPr>
            <w:r>
              <w:rPr>
                <w:rFonts w:ascii="Times New Roman" w:cs="Times New Roman" w:eastAsia="Times New Roman" w:hAnsi="Times New Roman"/>
                <w:sz w:val="18"/>
                <w:szCs w:val="18"/>
                <w:color w:val="auto"/>
              </w:rPr>
              <w:t>Reclassified from</w:t>
            </w:r>
          </w:p>
        </w:tc>
        <w:tc>
          <w:tcPr>
            <w:tcW w:w="160" w:type="dxa"/>
            <w:vAlign w:val="bottom"/>
          </w:tcPr>
          <w:p>
            <w:pPr>
              <w:spacing w:after="0"/>
              <w:rPr>
                <w:sz w:val="15"/>
                <w:szCs w:val="15"/>
                <w:color w:val="auto"/>
              </w:rPr>
            </w:pPr>
          </w:p>
        </w:tc>
        <w:tc>
          <w:tcPr>
            <w:tcW w:w="11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5"/>
                <w:szCs w:val="15"/>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2025, we estimate that net pre-tax derivative gains of $5.3 million included in AOCL will be reclassified into earnings within the next 12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May 31, 2025 and August 31, 2024, there were no material amounts recorded net in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acquisitions with the most significant cash flows during fiscal 2024 through the third quarter of fiscal 2025 include: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Holdings, LLC ("LiquidityBook")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7, 2025, we completed the acquisition of LiquidityBook for a purchase price of $243.2 million, net of cash acquired, and inclusive of preliminary working capital adjustments. The purchase price includes contingent consideration of $11.9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results of LiquidityBook's operations have been included within the Americas, EMEA and Asia Pacific segments in our Consolidated Financial Statements. Pro forma information has not been presented because the effect of the LiquidityBook acquisition is not material to our Consolidated Financial Statements.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preliminary purchase price allocation is subject to change pending a final valuation of the assets and liabilities acquired and the finalization of working capital adjustments. We expect to finalize the allocation of the purchase price for LiquidityBook as soon as possible, but in any event, no later than one year from the acquisition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777"/>
        </w:trPr>
        <w:tc>
          <w:tcPr>
            <w:tcW w:w="1280" w:type="dxa"/>
            <w:vAlign w:val="bottom"/>
            <w:tcBorders>
              <w:top w:val="single" w:sz="8" w:color="0000FF"/>
            </w:tcBorders>
          </w:tcPr>
          <w:p>
            <w:pPr>
              <w:spacing w:after="0"/>
              <w:rPr>
                <w:sz w:val="24"/>
                <w:szCs w:val="24"/>
                <w:color w:val="auto"/>
              </w:rPr>
            </w:pPr>
          </w:p>
        </w:tc>
        <w:tc>
          <w:tcPr>
            <w:tcW w:w="424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Acquisition Date Fair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Acquisition Date Useful</w:t>
            </w:r>
          </w:p>
        </w:tc>
        <w:tc>
          <w:tcPr>
            <w:tcW w:w="1860" w:type="dxa"/>
            <w:vAlign w:val="bottom"/>
          </w:tcPr>
          <w:p>
            <w:pPr>
              <w:spacing w:after="0"/>
              <w:rPr>
                <w:sz w:val="24"/>
                <w:szCs w:val="24"/>
                <w:color w:val="auto"/>
              </w:rPr>
            </w:pPr>
          </w:p>
        </w:tc>
      </w:tr>
      <w:tr>
        <w:trPr>
          <w:trHeight w:val="236"/>
        </w:trPr>
        <w:tc>
          <w:tcPr>
            <w:tcW w:w="1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Amortization Method</w:t>
            </w:r>
          </w:p>
        </w:tc>
      </w:tr>
      <w:tr>
        <w:trPr>
          <w:trHeight w:val="236"/>
        </w:trPr>
        <w:tc>
          <w:tcPr>
            <w:tcW w:w="12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860" w:type="dxa"/>
            <w:vAlign w:val="bottom"/>
            <w:tcBorders>
              <w:bottom w:val="single" w:sz="8" w:color="auto"/>
            </w:tcBorders>
          </w:tcPr>
          <w:p>
            <w:pPr>
              <w:spacing w:after="0"/>
              <w:rPr>
                <w:sz w:val="20"/>
                <w:szCs w:val="20"/>
                <w:color w:val="auto"/>
              </w:rPr>
            </w:pPr>
          </w:p>
        </w:tc>
      </w:tr>
      <w:tr>
        <w:trPr>
          <w:trHeight w:val="22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Software technology</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Client relationships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161,995</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243,182</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totaling $162.0 million represents the excess of the LiquidityBook purchase price over the fair value of net assets acquired and considers future economic benefits that we expect to achieve as a result of the acquisition. The goodwill is included in the Americas, EMEA and Asia Pacific segments, subject to final allocation, and is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Group Limited ("Irwin")</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On November 5, 2024, we completed the acquisition of Irwin for a purchase price of $120.2 million, net of cash acquired, and inclusive of working capital adjustments. The purchase price includes contingent consideration of $9.6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recent successful partnership between FactSet and Irwin, and expands our ability to address the holistic workflow needs of investor relations professionals with an integrated, modern solution.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Irwin's operations have been included within the Americas, EMEA and Asia Pacific segments in our Consolidated Financial Statements. Pro forma information has not been presented because the effect of the Irwin acquisition is not material to our Consolidated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finalized the purchase accounting for the Irwin acquisition during the third quarter of fiscal 2025 and did not record any material changes to the preliminary purchase price allocation. The acquisition date fair values of major classes of assets acquired and liabilities assumed are as follows:</w:t>
      </w:r>
    </w:p>
    <w:tbl>
      <w:tblPr>
        <w:tblLayout w:type="fixed"/>
        <w:tblInd w:w="0" w:type="dxa"/>
        <w:tblCellMar>
          <w:top w:w="0" w:type="dxa"/>
          <w:left w:w="0" w:type="dxa"/>
          <w:bottom w:w="0" w:type="dxa"/>
          <w:right w:w="0" w:type="dxa"/>
        </w:tblCellMar>
      </w:tblPr>
      <w:tr>
        <w:trPr>
          <w:trHeight w:val="181"/>
        </w:trPr>
        <w:tc>
          <w:tcPr>
            <w:tcW w:w="6360" w:type="dxa"/>
            <w:vAlign w:val="bottom"/>
          </w:tcPr>
          <w:p>
            <w:pPr>
              <w:spacing w:after="0"/>
              <w:rPr>
                <w:sz w:val="15"/>
                <w:szCs w:val="15"/>
                <w:color w:val="auto"/>
              </w:rPr>
            </w:pPr>
          </w:p>
        </w:tc>
        <w:tc>
          <w:tcPr>
            <w:tcW w:w="19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Acquisition Date Fair</w:t>
            </w:r>
          </w:p>
        </w:tc>
        <w:tc>
          <w:tcPr>
            <w:tcW w:w="16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Acquisition Date</w:t>
            </w:r>
          </w:p>
        </w:tc>
        <w:tc>
          <w:tcPr>
            <w:tcW w:w="13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Amortization</w:t>
            </w:r>
          </w:p>
        </w:tc>
      </w:tr>
      <w:tr>
        <w:trPr>
          <w:trHeight w:val="234"/>
        </w:trPr>
        <w:tc>
          <w:tcPr>
            <w:tcW w:w="6360" w:type="dxa"/>
            <w:vAlign w:val="bottom"/>
          </w:tcPr>
          <w:p>
            <w:pPr>
              <w:spacing w:after="0"/>
              <w:rPr>
                <w:sz w:val="20"/>
                <w:szCs w:val="20"/>
                <w:color w:val="auto"/>
              </w:rPr>
            </w:pPr>
          </w:p>
        </w:tc>
        <w:tc>
          <w:tcPr>
            <w:tcW w:w="12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w:t>
            </w:r>
          </w:p>
        </w:tc>
      </w:tr>
      <w:tr>
        <w:trPr>
          <w:trHeight w:val="238"/>
        </w:trPr>
        <w:tc>
          <w:tcPr>
            <w:tcW w:w="6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340" w:type="dxa"/>
            <w:vAlign w:val="bottom"/>
            <w:tcBorders>
              <w:bottom w:val="single" w:sz="8" w:color="auto"/>
            </w:tcBorders>
          </w:tcPr>
          <w:p>
            <w:pPr>
              <w:spacing w:after="0"/>
              <w:rPr>
                <w:sz w:val="20"/>
                <w:szCs w:val="20"/>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91,376</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6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120,186</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totaling $91.4 million represents the excess of the Irwin purchase price over the fair value of net assets acquired and considers future economic benefits that we expect to achieve as a result of the acquisition. The goodwill is included in the Americas and EMEA segments and is not deductible for income tax purposes.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GOODWILL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for the nine months ended May 31, 2025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704,454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1,011,129</w:t>
            </w: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217,030</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258,177</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31, 2025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922,609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1,277,855</w:t>
            </w:r>
          </w:p>
        </w:tc>
      </w:tr>
    </w:tbl>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Goodwill impairment is tested at the reporting unit level, which is consistent with our segments. We test goodwill annually during the fourth quarter of each fiscal year or more frequently if events and circumstances occur indicating that it is more likely than not that the fair value of any one of our reporting units is less than its respective carrying value. If the carrying value of the reporting unit exceeds the fair value, then the goodwill is considered impaired and written down to the reporting unit’s fair value.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tested our goodwill for impairment during the fourth quarter of fiscal 2024 utilizing a qualitative analysis. We concluded there was no impairment as it was more likely than not that the fair value of each of our reporting units was not less than its 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spective carrying value. No events or circumstances were identified during the nine months ended May 31, 2025 that would indicate it is more likely than not that goodwill has been impaired.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INTANGIBLE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straight-line basis over their estimated useful lives. The following table presents the estimated useful life, gross carrying amounts and accumulated amortization related to our identifiable intangible assets as of May 31, 2025 and August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May 31, 2025</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2024</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w:t>
            </w:r>
          </w:p>
        </w:tc>
        <w:tc>
          <w:tcPr>
            <w:tcW w:w="11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Estimated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5"/>
                <w:szCs w:val="15"/>
                <w:color w:val="auto"/>
              </w:rPr>
            </w:pPr>
          </w:p>
        </w:tc>
        <w:tc>
          <w:tcPr>
            <w:tcW w:w="116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Net Carrying</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5"/>
                <w:szCs w:val="15"/>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80"/>
        </w:trPr>
        <w:tc>
          <w:tcPr>
            <w:tcW w:w="2380" w:type="dxa"/>
            <w:vAlign w:val="bottom"/>
            <w:vMerge w:val="continue"/>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Useful Life</w:t>
            </w: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lives)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1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1,440,090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1,473,070</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279,134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90,573</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188,561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185,515</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254,611</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127,010</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127,601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238,343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111,232</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127,111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181,492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113,206</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85,761</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42,881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45,649</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10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4,815</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2,446,158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1,931,210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1,844,141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useful life of our intangible assets as of May 31, 2025 was 30.5 years. Intangible assets are tested for impairment qualitatively on a quarterly basis or whenever events or changes in circumstances indicate that the carrying amount of an asset group is not recoverable. If indicators of impairment are present, our intangible assets are tested for impairment by comparing the carrying value to undiscounted cash flows and, if impaired, written down to fair value based on discounted cash flows. We did not identify a material impairment nor a material change to the estimated remaining useful lives of our intangible assets during the nine months ended May 31, 2025 and May 31, 2024. Our intangible assets have no assigned residual values.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for our intangible assets which is included in Cost of services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5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5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6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34,846 $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97,307 $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2025, estimated intangible asset amortization expense for each of the next five years and thereafter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10"/>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137,020</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111,371</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83,773</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72,219</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1,491,838</w:t>
            </w:r>
          </w:p>
        </w:tc>
      </w:tr>
      <w:tr>
        <w:trPr>
          <w:trHeight w:val="22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1,931,210</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INCOME TAXES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 Income tax expense is based on taxable income determined in accordance with current enacted laws and tax rates. Deferred income taxes are recorded for the temporary differences between the financial statement carrying amounts and the tax basis of our assets and liabilities using currently enacted tax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 and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7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9"/>
                <w:szCs w:val="19"/>
                <w:color w:val="auto"/>
              </w:rPr>
            </w:pPr>
          </w:p>
        </w:tc>
        <w:tc>
          <w:tcPr>
            <w:tcW w:w="27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8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vMerge w:val="continue"/>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179,948</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190,532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532,007</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534,373</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31,406</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32,397</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88,583</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86,743</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May 31, 2025 and May 31, 2024 was 17.5% and 17.0%, respectively, and for the nine months ended May 31, 2025 and May 31, 2024 was 16.7% and 16.2%, respectively. The increase in the effective tax rate for the periods presented was primarily due to certain discrete items, mainly lower excess tax benefits related to stock-based compensation, as well as a higher overall foreign tax rate, partially offset by a lower U.S. tax impact of foreign earnings.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applicable U.S. corporate income tax rate. This was primarily attributable to excess tax benefits from stock-based compensation, a lower U.S. tax impact of foreign earnings, research and development ("R&amp;D") tax credits and a foreign derived intangible income ("FDII") deduction, partially offset by our state income taxes.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Erosion and Profit Shifting Pillar Two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released Base Erosion and Profit Shifting Pillar Two rules (“Pillar Two”) to introduce a global minimum corporate tax of 15% for companies with global revenues and profits above certain thresholds. Certain aspects of Pillar Two are effective for tax years beginning on or after January 1, 2024. Although the U.S. has not yet enacted legislation to adopt Pillar Two, certain countries in which we operate have already adopted, or are in the process of adopting, legislation to implement Pillar Two. After considering the applicable tax law changes associated with Pillar Two legislation, we determined there was no material impact to our provision for income taxes for the three and nine months ended May 31,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LEASES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operating lease arrangements relate to our office space and data centers.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or modification date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w:t>
      </w:r>
      <w:r>
        <w:rPr>
          <w:rFonts w:ascii="Times New Roman" w:cs="Times New Roman" w:eastAsia="Times New Roman" w:hAnsi="Times New Roman"/>
          <w:sz w:val="18"/>
          <w:szCs w:val="18"/>
          <w:color w:val="000000"/>
        </w:rPr>
        <w:t>incremental borrowing rate ("IBR")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calculate our lease 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SG&amp;A expense) in our Consolidated Statements of Income.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May 31, 2025, we recognized $119.2 million of Lease ROU assets, net and $190.3 million of combined Current lease liabilities and Long-term lease liabilities in the Consolidated Balance Sheets. Our leases </w:t>
      </w:r>
      <w:r>
        <w:rPr>
          <w:rFonts w:ascii="Times New Roman" w:cs="Times New Roman" w:eastAsia="Times New Roman" w:hAnsi="Times New Roman"/>
          <w:sz w:val="18"/>
          <w:szCs w:val="18"/>
          <w:color w:val="212529"/>
        </w:rPr>
        <w:t>have remaining lease terms ranging from</w:t>
      </w:r>
      <w:r>
        <w:rPr>
          <w:rFonts w:ascii="Times New Roman" w:cs="Times New Roman" w:eastAsia="Times New Roman" w:hAnsi="Times New Roman"/>
          <w:sz w:val="18"/>
          <w:szCs w:val="18"/>
          <w:color w:val="auto"/>
        </w:rPr>
        <w:t xml:space="preserve"> less than one year to just under 11 years. Our lease agreements may include options to extend or terminate the lease which are included in the measurement of our lease term when it is reasonably certain that we will exercise the option.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w:t>
      </w:r>
      <w:r>
        <w:rPr>
          <w:rFonts w:ascii="Times New Roman" w:cs="Times New Roman" w:eastAsia="Times New Roman" w:hAnsi="Times New Roman"/>
          <w:sz w:val="18"/>
          <w:szCs w:val="18"/>
          <w:color w:val="212529"/>
        </w:rPr>
        <w:t>ollowing table presents our future minimum lease payments and a reconciliation to the combined</w:t>
      </w:r>
      <w:r>
        <w:rPr>
          <w:rFonts w:ascii="Times New Roman" w:cs="Times New Roman" w:eastAsia="Times New Roman" w:hAnsi="Times New Roman"/>
          <w:sz w:val="18"/>
          <w:szCs w:val="18"/>
          <w:color w:val="auto"/>
        </w:rPr>
        <w:t xml:space="preserve"> Current lease 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May 31, 2025</w:t>
      </w:r>
      <w:r>
        <w:rPr>
          <w:rFonts w:ascii="Times New Roman" w:cs="Times New Roman" w:eastAsia="Times New Roman" w:hAnsi="Times New Roman"/>
          <w:sz w:val="18"/>
          <w:szCs w:val="18"/>
          <w:color w:val="212529"/>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Minimum Lease</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Payments</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218,339</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28,032</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includes components of our occupancy costs:</w:t>
            </w:r>
          </w:p>
        </w:tc>
        <w:tc>
          <w:tcPr>
            <w:tcW w:w="1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60" w:type="dxa"/>
            <w:vAlign w:val="bottom"/>
          </w:tcPr>
          <w:p>
            <w:pPr>
              <w:spacing w:after="0"/>
              <w:rPr>
                <w:sz w:val="21"/>
                <w:szCs w:val="21"/>
                <w:color w:val="auto"/>
              </w:rPr>
            </w:pPr>
          </w:p>
        </w:tc>
        <w:tc>
          <w:tcPr>
            <w:tcW w:w="27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2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2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Pr>
          <w:p>
            <w:pPr>
              <w:spacing w:after="0"/>
              <w:rPr>
                <w:sz w:val="19"/>
                <w:szCs w:val="19"/>
                <w:color w:val="auto"/>
              </w:rPr>
            </w:pPr>
          </w:p>
        </w:tc>
        <w:tc>
          <w:tcPr>
            <w:tcW w:w="14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May 31,</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May 31,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21252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98"/>
              </w:rPr>
              <w:t>7,974</w:t>
            </w:r>
          </w:p>
        </w:tc>
        <w:tc>
          <w:tcPr>
            <w:tcW w:w="9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w:t>
            </w:r>
          </w:p>
        </w:tc>
        <w:tc>
          <w:tcPr>
            <w:tcW w:w="0" w:type="dxa"/>
            <w:vAlign w:val="bottom"/>
          </w:tcPr>
          <w:p>
            <w:pPr>
              <w:spacing w:after="0"/>
              <w:rPr>
                <w:sz w:val="1"/>
                <w:szCs w:val="1"/>
                <w:color w:val="auto"/>
              </w:rPr>
            </w:pPr>
          </w:p>
        </w:tc>
      </w:tr>
      <w:tr>
        <w:trPr>
          <w:trHeight w:val="31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(2)</w:t>
            </w:r>
          </w:p>
        </w:tc>
        <w:tc>
          <w:tcPr>
            <w:tcW w:w="13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4,031</w:t>
            </w:r>
          </w:p>
        </w:tc>
        <w:tc>
          <w:tcPr>
            <w:tcW w:w="9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 w:hanging="252"/>
        <w:spacing w:after="0" w:line="301" w:lineRule="auto"/>
        <w:tabs>
          <w:tab w:leader="none" w:pos="25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complied with the practical expedients and exceptions we elected.</w:t>
      </w:r>
    </w:p>
    <w:p>
      <w:pPr>
        <w:spacing w:after="0" w:line="40"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5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costs include costs that are not fixed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weighted average remaining lease term and weighted average discount rate related to our operating leases recorded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Borders>
              <w:bottom w:val="single" w:sz="8" w:color="auto"/>
            </w:tcBorders>
          </w:tcPr>
          <w:p>
            <w:pPr>
              <w:ind w:left="6560"/>
              <w:spacing w:after="0"/>
              <w:rPr>
                <w:sz w:val="20"/>
                <w:szCs w:val="20"/>
                <w:color w:val="auto"/>
              </w:rPr>
            </w:pPr>
            <w:r>
              <w:rPr>
                <w:rFonts w:ascii="Times New Roman" w:cs="Times New Roman" w:eastAsia="Times New Roman" w:hAnsi="Times New Roman"/>
                <w:sz w:val="18"/>
                <w:szCs w:val="18"/>
                <w:color w:val="auto"/>
              </w:rPr>
              <w:t>As of May 31, 2025</w:t>
            </w:r>
          </w:p>
        </w:tc>
        <w:tc>
          <w:tcPr>
            <w:tcW w:w="7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As of August 31, 2024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6"/>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4.7 %</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19"/>
                <w:szCs w:val="19"/>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Borders>
              <w:bottom w:val="single" w:sz="8" w:color="auto"/>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30,218</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right="20" w:hanging="252"/>
        <w:spacing w:after="0" w:line="280" w:lineRule="auto"/>
        <w:tabs>
          <w:tab w:leader="none" w:pos="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new lease arrangements entered into during the respective period and contract modifications that extend our lease terms and/or provide additional rights.</w:t>
      </w:r>
    </w:p>
    <w:p>
      <w:pPr>
        <w:spacing w:after="0" w:line="56" w:lineRule="exact"/>
        <w:rPr>
          <w:rFonts w:ascii="Times New Roman" w:cs="Times New Roman" w:eastAsia="Times New Roman" w:hAnsi="Times New Roman"/>
          <w:sz w:val="16"/>
          <w:szCs w:val="16"/>
          <w:color w:val="auto"/>
        </w:rPr>
      </w:pPr>
    </w:p>
    <w:p>
      <w:pPr>
        <w:ind w:left="260" w:hanging="252"/>
        <w:spacing w:after="0" w:line="298" w:lineRule="auto"/>
        <w:tabs>
          <w:tab w:leader="none" w:pos="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lease term reassessments based on contractual options to early terminate, resulting in a reduction to the lease liability and the corresponding lease ROU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DEBT</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debt at fair value. The carrying value of our debt is net of related unamortized discounts and debt issuance costs. Our debt obligations as of May 31, 2025 and August 31, 2024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4340" w:type="dxa"/>
            <w:vAlign w:val="bottom"/>
            <w:tcBorders>
              <w:bottom w:val="single" w:sz="8" w:color="auto"/>
            </w:tcBorders>
            <w:gridSpan w:val="4"/>
            <w:vMerge w:val="continue"/>
          </w:tcPr>
          <w:p>
            <w:pPr>
              <w:spacing w:after="0"/>
              <w:rPr>
                <w:sz w:val="21"/>
                <w:szCs w:val="21"/>
                <w:color w:val="auto"/>
              </w:rPr>
            </w:pPr>
          </w:p>
        </w:tc>
        <w:tc>
          <w:tcPr>
            <w:tcW w:w="21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Issuance Date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Maturity Date</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May 31, 2025</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Current debt</w:t>
            </w:r>
          </w:p>
        </w:tc>
        <w:tc>
          <w:tcPr>
            <w:tcW w:w="3420" w:type="dxa"/>
            <w:vAlign w:val="bottom"/>
            <w:tcBorders>
              <w:bottom w:val="single" w:sz="8" w:color="CCEEFF"/>
            </w:tcBorders>
            <w:gridSpan w:val="2"/>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3960" w:type="dxa"/>
            <w:vAlign w:val="bottom"/>
            <w:gridSpan w:val="3"/>
          </w:tcPr>
          <w:p>
            <w:pPr>
              <w:ind w:left="40"/>
              <w:spacing w:after="0" w:line="230" w:lineRule="exact"/>
              <w:rPr>
                <w:sz w:val="20"/>
                <w:szCs w:val="20"/>
                <w:color w:val="auto"/>
              </w:rPr>
            </w:pPr>
            <w:r>
              <w:rPr>
                <w:rFonts w:ascii="Times New Roman" w:cs="Times New Roman" w:eastAsia="Times New Roman" w:hAnsi="Times New Roman"/>
                <w:sz w:val="18"/>
                <w:szCs w:val="18"/>
                <w:color w:val="auto"/>
              </w:rPr>
              <w:t>Term Facility</w:t>
            </w:r>
            <w:r>
              <w:rPr>
                <w:rFonts w:ascii="Times New Roman" w:cs="Times New Roman" w:eastAsia="Times New Roman" w:hAnsi="Times New Roman"/>
                <w:sz w:val="23"/>
                <w:szCs w:val="23"/>
                <w:color w:val="auto"/>
                <w:vertAlign w:val="superscript"/>
              </w:rPr>
              <w:t>(1)</w:t>
            </w:r>
          </w:p>
        </w:tc>
        <w:tc>
          <w:tcPr>
            <w:tcW w:w="21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Total Current debt</w:t>
            </w:r>
          </w:p>
        </w:tc>
        <w:tc>
          <w:tcPr>
            <w:tcW w:w="2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124,842</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Long-term debt</w:t>
            </w:r>
          </w:p>
        </w:tc>
        <w:tc>
          <w:tcPr>
            <w:tcW w:w="2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3960" w:type="dxa"/>
            <w:vAlign w:val="bottom"/>
            <w:gridSpan w:val="3"/>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Revolving Facility</w:t>
            </w:r>
            <w:r>
              <w:rPr>
                <w:rFonts w:ascii="Times New Roman" w:cs="Times New Roman" w:eastAsia="Times New Roman" w:hAnsi="Times New Roman"/>
                <w:sz w:val="23"/>
                <w:szCs w:val="23"/>
                <w:color w:val="auto"/>
                <w:vertAlign w:val="superscript"/>
              </w:rPr>
              <w:t>(2)</w:t>
            </w:r>
          </w:p>
        </w:tc>
        <w:tc>
          <w:tcPr>
            <w:tcW w:w="21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21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4/8/2025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4/8/2028</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1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3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1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Unamortized discounts and debt issuance costs</w:t>
            </w:r>
            <w:r>
              <w:rPr>
                <w:rFonts w:ascii="Times New Roman" w:cs="Times New Roman" w:eastAsia="Times New Roman" w:hAnsi="Times New Roman"/>
                <w:sz w:val="23"/>
                <w:szCs w:val="23"/>
                <w:color w:val="auto"/>
                <w:vertAlign w:val="superscript"/>
              </w:rPr>
              <w:t>(3)</w:t>
            </w:r>
          </w:p>
        </w:tc>
        <w:tc>
          <w:tcPr>
            <w:tcW w:w="2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1,430,197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1,241,131</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debt</w:t>
            </w:r>
          </w:p>
        </w:tc>
        <w:tc>
          <w:tcPr>
            <w:tcW w:w="2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1,430,197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2022 Term Facility was repaid in full on February 28, 2025.</w:t>
      </w:r>
    </w:p>
    <w:p>
      <w:pPr>
        <w:spacing w:after="0" w:line="5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2022 Revolving Facility was repaid in full and terminated on April 8, 2025.</w:t>
      </w:r>
    </w:p>
    <w:p>
      <w:pPr>
        <w:spacing w:after="0" w:line="7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excludes the debt issuance costs related to the 2025 Revolving Facility which are presented within Other assets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2025, annual maturities on our debt obligations, based on contractual maturity dates, were as follows: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7"/>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6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Credit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Term Facility matures on April 8, 2028, and the 2025 Revolving Facility matures on April 8, 2030. The 2025 Revolving Facility provides for up to $100.0 million in the form of letters of credit, up to $100.0 million in the form of swingline loans. We may seek additional commitments of up to $1.0 billion under the 2025 Revolving Facility from lenders or other financial institutions.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Term Facility is subject to scheduled quarterly amortization payments, commencing on August 31, 2025, with each amortization payment equal to 1.25% of the original principal amount of the 2025 Term Facility. The 2025 Credit Facilities are not otherwise subject to any mandatory prepayments. We may voluntarily prepay loans under the 2025 Credit Facilities at any time without premium or penalty. Prepayments of the 2025 Term Facility shall be applied to reduce the subsequent scheduled amortization payments in direct order of maturity.</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May 31, 2025, we voluntarily prepaid $62.5 million under the 2025 Term Facility. From the effective date of the 2025 Revolving Facility through May 31, 2025, we have had no borrowings under the 2025 Revolving Facility.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the outstanding borrowings under the 2025 Credit Facilities bore interest at a rate equal to the applicable one-month Term SOFR plus a 0.975% spread (comprised of a 0.875% interest rate margin based on a pricing grid determined by reference to our senior unsecured non-credit enhanced long-term debt rating and our total leverage ratio, plus a 0.1% credit spread adjustment).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2025 Revolving Facility using a pricing grid based on our senior unsecured non-credit enhanced long-term debt rating and our total leverage ratio. The commitment fee remained consistent at 0.1% through May 31, 2025.</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issuance costs related to the 2025 Credit Facilities were $3.4 million. Debt issuance costs are presented in the Consolidated Balance Sheets as a direct deduction from the carrying amount of the debt liability for the 2025 Term Facility and within Other assets for the 2025 Revolving Facility. Debt issuance costs are amortized to Interest expense in the Consolidated Statements of Income on a straight-line basis over the contractual term of the debt (which approximates the effective interest method for the 2025 Term Facility).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Credit Agreement contains usual and customary event of default provisions for facilities of this type, which are subject to usual and customary grace periods and materiality thresholds. If an event of default occurs under the 2025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May 31,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Term Facility, originally due to mature on March 1, 2025, was repaid in full following $125.0 million of repayments made during the six months ended February 28, 2025. During the nine months ended May 31, 2025, we borrowed $305.0 million and repaid $555.0 million under the 2022 Revolving Facility. The 2022 Credit Agreement was terminated on April 8, 2025, concurrent with entering into the 2025 Credit Agreement.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leverage interest rate swap agreements to manage our floating interest rate exposure with a fixed interest rate.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our swap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during fiscal 2022.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a component of Interest expense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5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5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12529"/>
              </w:rPr>
              <w:t xml:space="preserve">15,092 </w:t>
            </w:r>
            <w:r>
              <w:rPr>
                <w:rFonts w:ascii="Times New Roman" w:cs="Times New Roman" w:eastAsia="Times New Roman" w:hAnsi="Times New Roman"/>
                <w:sz w:val="18"/>
                <w:szCs w:val="18"/>
                <w:color w:val="00000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43,358 $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hanging="252"/>
        <w:spacing w:after="0" w:line="280" w:lineRule="auto"/>
        <w:tabs>
          <w:tab w:leader="none" w:pos="37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our outstanding debt includes the related amortization of debt issuance costs and debt discounts. Interest expense is net of the effects of our interest rate swap agreements.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COMMITMENTS AND CONTINGENCIES</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Contingent gains are recognized only when realized.</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Income tax contingencies related to uncertain tax positions are accounted for in accordance with applicable accounting guidance. Refer to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 Income Taxes </w:t>
      </w:r>
      <w:r>
        <w:rPr>
          <w:rFonts w:ascii="Times New Roman" w:cs="Times New Roman" w:eastAsia="Times New Roman" w:hAnsi="Times New Roman"/>
          <w:sz w:val="18"/>
          <w:szCs w:val="18"/>
          <w:color w:val="auto"/>
        </w:rPr>
        <w:t>in the Notes to the Consolidated Financial Statements included in Part II, Item 8. of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2024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2024, we had total purchase obligations with suppliers and vendors of $382.6 million. Our total purchase obligations as of August 31, 2024 primarily related to hosting services, acquisition of data and, to a lesser extent, third-party software providers. For the nine months ended May 31, 2025, we had no new material purchase obligations.</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Our 2025 Revolving Facility allows for the availability of up to $100.0 million in the form of letters of credit. We have not obtained any letters of credit under the 2025 Revolving Facility since its inception. As of May 31, 2025 and August 31, 2024, we had $0.7 million and $0.4 million of standby letters of credit outstanding, respectively. No liabilities related to these arrangements are reflected in the Consolidated Balance Sheets.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the 2025 Revolving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our business, we are, or may be, engaged in various legal proceedings, claims, litigation and regulatory proceedings. In view of the uncertainty inherent in litigation and regulatory matters, we cannot predict the eventual outcome of such matters or the timing of their resolution, or in most cases reasonably estimate what the eventual judgments, damages, fines, penalties or impact of activity (if any) restrictions may be. While we cannot predict the outcome of these matters, based on information available at May 31, 2025,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August 2019 through February 2024, we received various assessment and audit notices from the Commonwealth of Massachusetts Department of Revenue (the "Commonwealth") with respect to sales taxes, interest and underpayment penalties relating to the tax periods from January 1, 2006 through December 31, 2023 ("Sales Taxes"). We entered into an agreement with the Commonwealth on November 26, 2024 which fully resolved all matters relating to the Sales Taxes.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2025 and the fourth quarter of fiscal 2024, we took charges of approximately $2.4 million and $54.0 million, respectively, related to this dispute and made corresponding payments of $56.4 million to the Commonwealth during the first quarter of fiscal 2025. In addition to reserves taken in prior fiscal years, this brought our total charge and cash payments with respect to this matter to approximately $66.2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STOCKHOLDERS' EQUITY</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shares of common stock repurchased under our share repurchase program and acquired from holders of our stock-based awards upon vesting to satisfy tax withholding requirements: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Repurchases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27"/>
        </w:trPr>
        <w:tc>
          <w:tcPr>
            <w:tcW w:w="5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24"/>
                <w:szCs w:val="24"/>
                <w:color w:val="auto"/>
              </w:rPr>
            </w:pPr>
          </w:p>
        </w:tc>
        <w:tc>
          <w:tcPr>
            <w:tcW w:w="23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May 31,</w:t>
            </w:r>
          </w:p>
        </w:tc>
        <w:tc>
          <w:tcPr>
            <w:tcW w:w="940" w:type="dxa"/>
            <w:vAlign w:val="bottom"/>
          </w:tcPr>
          <w:p>
            <w:pPr>
              <w:spacing w:after="0"/>
              <w:rPr>
                <w:sz w:val="20"/>
                <w:szCs w:val="20"/>
                <w:color w:val="auto"/>
              </w:rPr>
            </w:pPr>
          </w:p>
        </w:tc>
      </w:tr>
      <w:tr>
        <w:trPr>
          <w:trHeight w:val="270"/>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 under the share repurchase program</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425,239</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384,150</w:t>
            </w:r>
          </w:p>
        </w:tc>
      </w:tr>
      <w:tr>
        <w:trPr>
          <w:trHeight w:val="229"/>
        </w:trPr>
        <w:tc>
          <w:tcPr>
            <w:tcW w:w="5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cost of common stock repurchased under the share repurchase program</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193,838</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171,918</w:t>
            </w:r>
          </w:p>
        </w:tc>
      </w:tr>
      <w:tr>
        <w:trPr>
          <w:trHeight w:val="184"/>
        </w:trPr>
        <w:tc>
          <w:tcPr>
            <w:tcW w:w="5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Repurchases of common stock to satisfy tax withholding requirements due upon</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stock-based awards</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32,504</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35,226</w:t>
            </w:r>
          </w:p>
        </w:tc>
      </w:tr>
      <w:tr>
        <w:trPr>
          <w:trHeight w:val="184"/>
        </w:trPr>
        <w:tc>
          <w:tcPr>
            <w:tcW w:w="5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Total cost of repurchases of common stock to satisfy withholding requirements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upon vesting of stock-based awards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r>
    </w:tbl>
    <w:p>
      <w:pPr>
        <w:spacing w:after="0" w:line="256" w:lineRule="exact"/>
        <w:rPr>
          <w:sz w:val="20"/>
          <w:szCs w:val="20"/>
          <w:color w:val="auto"/>
        </w:rPr>
      </w:pPr>
    </w:p>
    <w:p>
      <w:pPr>
        <w:ind w:left="340" w:hanging="251"/>
        <w:spacing w:after="0" w:line="298" w:lineRule="auto"/>
        <w:tabs>
          <w:tab w:leader="none" w:pos="33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May 31, 2025, amount excludes a 1% excise tax of $0.7 million and $2.0 million, respectively, on corporate stock repurchases required under the Inflation Reduction Act of 2022.</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There is no defined number of shares to be repurchased over a specified timeframe through the life of our share repurchase program. On September 17, 2024, our Board of Directors authorized up to $300 million for share repurchases during fiscal 2025. As of May 31, 2025, $106.2 million remained authorized under our share repurchase program.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2025, our Board of Directors authorized up to $400 million for share repurchases on or after September 1, 2025 through September 30, 2026.</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Refer to Note 15,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nine months ended May 31, 2025 and May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Board of Directors approved the following dividends:</w:t>
            </w: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Dividends per</w:t>
            </w: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Amount</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460" w:type="dxa"/>
            <w:vAlign w:val="bottom"/>
          </w:tcPr>
          <w:p>
            <w:pPr>
              <w:spacing w:after="0"/>
              <w:rPr>
                <w:sz w:val="15"/>
                <w:szCs w:val="15"/>
                <w:color w:val="auto"/>
              </w:rPr>
            </w:pPr>
          </w:p>
        </w:tc>
        <w:tc>
          <w:tcPr>
            <w:tcW w:w="134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Share of</w:t>
            </w:r>
          </w:p>
        </w:tc>
        <w:tc>
          <w:tcPr>
            <w:tcW w:w="18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Record Date</w:t>
            </w:r>
          </w:p>
        </w:tc>
        <w:tc>
          <w:tcPr>
            <w:tcW w:w="4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1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gridSpan w:val="2"/>
            <w:vMerge w:val="continue"/>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Common Stock</w:t>
            </w:r>
          </w:p>
        </w:tc>
        <w:tc>
          <w:tcPr>
            <w:tcW w:w="188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29,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39,572</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28, 2025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w:t>
            </w:r>
          </w:p>
        </w:tc>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May 30, 2025</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41,644</w:t>
            </w:r>
          </w:p>
        </w:tc>
        <w:tc>
          <w:tcPr>
            <w:tcW w:w="2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18, 2025</w:t>
            </w:r>
          </w:p>
        </w:tc>
        <w:tc>
          <w:tcPr>
            <w:tcW w:w="0" w:type="dxa"/>
            <w:vAlign w:val="bottom"/>
          </w:tcPr>
          <w:p>
            <w:pPr>
              <w:spacing w:after="0"/>
              <w:rPr>
                <w:sz w:val="1"/>
                <w:szCs w:val="1"/>
                <w:color w:val="auto"/>
              </w:rPr>
            </w:pPr>
          </w:p>
        </w:tc>
      </w:tr>
      <w:tr>
        <w:trPr>
          <w:trHeight w:val="223"/>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30,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37,299</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21, 2023</w:t>
            </w: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29, 2024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37,360</w:t>
            </w:r>
          </w:p>
        </w:tc>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21, 2024</w:t>
            </w:r>
          </w:p>
        </w:tc>
        <w:tc>
          <w:tcPr>
            <w:tcW w:w="0" w:type="dxa"/>
            <w:vAlign w:val="bottom"/>
          </w:tcPr>
          <w:p>
            <w:pPr>
              <w:spacing w:after="0"/>
              <w:rPr>
                <w:sz w:val="1"/>
                <w:szCs w:val="1"/>
                <w:color w:val="auto"/>
              </w:rPr>
            </w:pPr>
          </w:p>
        </w:tc>
      </w:tr>
      <w:tr>
        <w:trPr>
          <w:trHeight w:val="234"/>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31,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20, 2024</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2025, our Board of Directors approved a 6% increase in the regular quarterly dividend from $1.04 to $1.10 per share. Future cash dividend payments are subject to final determination by our Board of Directors and will depend on our earnings, capital requirements, financial condition and other relevant factors.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as of May 31, 2025 and August 31, 2024 were as follows: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May 31, 2025</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(72,545)</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(81,456)</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(79,613)</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EARNINGS PER SHARE</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by the number of weighted average common shares outstanding during the period. Diluted earnings per common share ("Diluted EPS") is calculated by using the treasury stock method which assumes the issuance of common stock for all potentially dilutive stock-based awards.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Basic and Diluted EPS computations: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26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9"/>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Pr>
          <w:p>
            <w:pPr>
              <w:spacing w:after="0"/>
              <w:rPr>
                <w:sz w:val="19"/>
                <w:szCs w:val="19"/>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EPS and Diluted EPS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158,135</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447,630</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EPS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38,069</w:t>
            </w:r>
          </w:p>
        </w:tc>
        <w:tc>
          <w:tcPr>
            <w:tcW w:w="0" w:type="dxa"/>
            <w:vAlign w:val="bottom"/>
          </w:tcPr>
          <w:p>
            <w:pPr>
              <w:spacing w:after="0"/>
              <w:rPr>
                <w:sz w:val="1"/>
                <w:szCs w:val="1"/>
                <w:color w:val="auto"/>
              </w:rPr>
            </w:pPr>
          </w:p>
        </w:tc>
      </w:tr>
      <w:tr>
        <w:trPr>
          <w:trHeight w:val="184"/>
        </w:trPr>
        <w:tc>
          <w:tcPr>
            <w:tcW w:w="5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equivalents associated with stock-based compensation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42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11.53</w:t>
            </w:r>
          </w:p>
        </w:tc>
        <w:tc>
          <w:tcPr>
            <w:tcW w:w="46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that were excluded from Diluted EPS as they relate to stock-based awards that were antidilutive or subject to performance conditions which have not been satisfied by the end of the reporting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3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Three Months Ended</w:t>
            </w:r>
          </w:p>
        </w:tc>
        <w:tc>
          <w:tcPr>
            <w:tcW w:w="660" w:type="dxa"/>
            <w:vAlign w:val="bottom"/>
          </w:tcPr>
          <w:p>
            <w:pPr>
              <w:spacing w:after="0"/>
              <w:rPr>
                <w:sz w:val="19"/>
                <w:szCs w:val="19"/>
                <w:color w:val="auto"/>
              </w:rPr>
            </w:pPr>
          </w:p>
        </w:tc>
        <w:tc>
          <w:tcPr>
            <w:tcW w:w="26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Pr>
          <w:p>
            <w:pPr>
              <w:spacing w:after="0"/>
              <w:rPr>
                <w:sz w:val="19"/>
                <w:szCs w:val="19"/>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May 31,</w:t>
            </w:r>
          </w:p>
        </w:tc>
        <w:tc>
          <w:tcPr>
            <w:tcW w:w="66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6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888</w:t>
            </w: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763</w:t>
            </w:r>
          </w:p>
        </w:tc>
        <w:tc>
          <w:tcPr>
            <w:tcW w:w="1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759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share units</w:t>
            </w:r>
          </w:p>
        </w:tc>
        <w:tc>
          <w:tcPr>
            <w:tcW w:w="1640" w:type="dxa"/>
            <w:vAlign w:val="bottom"/>
          </w:tcPr>
          <w:p>
            <w:pPr>
              <w:spacing w:after="0"/>
              <w:rPr>
                <w:sz w:val="20"/>
                <w:szCs w:val="20"/>
                <w:color w:val="auto"/>
              </w:rPr>
            </w:pPr>
          </w:p>
        </w:tc>
        <w:tc>
          <w:tcPr>
            <w:tcW w:w="14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93</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STOCK-BASED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stock-based compensation expense consists of:</w:t>
      </w:r>
    </w:p>
    <w:p>
      <w:pPr>
        <w:spacing w:after="0" w:line="63" w:lineRule="exact"/>
        <w:rPr>
          <w:sz w:val="20"/>
          <w:szCs w:val="20"/>
          <w:color w:val="auto"/>
        </w:rPr>
      </w:pPr>
    </w:p>
    <w:p>
      <w:pPr>
        <w:ind w:left="660" w:right="2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restricted stock units ("RSUs") and performance share units ("PSUs") issued to eligible employees under the FactSet Research Systems Inc. Stock Option and Award Plan, as Amended and Restated (the "LTIP").</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RSUs issued to non-employee members of the Board of Directors ("non-employee directors") under the FactSet Research Systems Inc. Non-Employee Directors’ Stock Option and Award Plan, as Amended and Restated (the "Director Plan").</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purchased by eligible employees under the FactSet Research Systems Inc. Employee Stock Purchase Plan, as Amended and Restated (the "ESPP").</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and recognize stock-based compensation expense for all stock-based awards and purchases of common stock under the ESPP based on their estimated grant date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a lattice-binomial option-pricing model ("binomial model") to estimate the grant date fair value for our employee stock options and the Black-Scholes model to estimate the grant date fair value for non-employee director stock options and common stock purchased by eligible employees under our ESPP.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binomial model and Black-Scholes model involve certain estimates and assumptions such as:</w:t>
      </w:r>
    </w:p>
    <w:p>
      <w:pPr>
        <w:spacing w:after="0" w:line="194" w:lineRule="exact"/>
        <w:rPr>
          <w:sz w:val="20"/>
          <w:szCs w:val="20"/>
          <w:color w:val="auto"/>
        </w:rPr>
      </w:pPr>
    </w:p>
    <w:p>
      <w:pPr>
        <w:ind w:left="660" w:hanging="328"/>
        <w:spacing w:after="0" w:line="28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328"/>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expected term and the weighted average implied volatility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call option contracts traded in the 90 days preceding the stock-based award's valuation date.</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binomial model also incorporates market conditions, vesting restrictions and exercise patterns.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RSUs and PSUs (collectively, "Restricted Stock Awards"), the grant date fair value is measured by reducing the grant date price of our common stock by the present value of expected future dividend payments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pursuant to our PSU awards depends on the level of our achievement of stated financial performance objectives.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 and RSU awards is recognized over the requisite service period using the straight-line method. For stock options and RSU grants, the amount of stock-based compensation expense recognized on any date is at least equal to the vested portion of the award on that date.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PSUs require us to make assumptions regarding the probability of achieving specified performance levels established at the time of grant. We recognize stock-based compensation expense for PSUs using the straight-line method over the requisite service period. The probability of achieving the specified performance levels is reviewed on a quarterly basis to ensure the amount of stock-based compensation expense appropriately reflects the expected achievement.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ESPP, stock-based compensation expense is recognized on a straight-line basis over the offering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stock-based awards are generally subject to continued employment for employees, or continued service for non-employee directors, through the applicable vesting date. Compensation expense for stock-based awards is recorded net of estimated forfeitures, which are based on historical forfeiture rates and are revised if actual forfeitures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5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5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auto"/>
            </w:tcBorders>
            <w:vMerge w:val="continue"/>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12529"/>
              </w:rPr>
              <w:t>$</w:t>
            </w:r>
          </w:p>
        </w:tc>
        <w:tc>
          <w:tcPr>
            <w:tcW w:w="1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12529"/>
              </w:rPr>
              <w:t xml:space="preserve">17,015 </w:t>
            </w:r>
            <w:r>
              <w:rPr>
                <w:rFonts w:ascii="Times New Roman" w:cs="Times New Roman" w:eastAsia="Times New Roman" w:hAnsi="Times New Roman"/>
                <w:sz w:val="18"/>
                <w:szCs w:val="18"/>
                <w:color w:val="00000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47,154 $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stock-based compensation costs capitalized in any periods presented. As of May 31, 2025, $136.0 million of total unrecognized compensation expense related to non-vested stock-based awards is expected to be recognized over the remaining weighted average vesting period of 3.0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annual grant of employee stock options during the first quarter of each fiscal year makes up the majority of our employee stock options granted under the LTIP in each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stock options granted under the LTIP for the nine months ended May 31, 2025 and May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5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9"/>
        </w:trPr>
        <w:tc>
          <w:tcPr>
            <w:tcW w:w="41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1020" w:type="dxa"/>
            <w:vAlign w:val="bottom"/>
          </w:tcPr>
          <w:p>
            <w:pPr>
              <w:spacing w:after="0"/>
              <w:rPr>
                <w:sz w:val="19"/>
                <w:szCs w:val="19"/>
                <w:color w:val="auto"/>
              </w:rPr>
            </w:pPr>
          </w:p>
        </w:tc>
      </w:tr>
      <w:tr>
        <w:trPr>
          <w:trHeight w:val="234"/>
        </w:trPr>
        <w:tc>
          <w:tcPr>
            <w:tcW w:w="41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color w:val="auto"/>
                <w:vertAlign w:val="superscript"/>
              </w:rPr>
              <w:t>(1)</w:t>
            </w:r>
          </w:p>
        </w:tc>
        <w:tc>
          <w:tcPr>
            <w:tcW w:w="4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203,114</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243,379</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4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436.61</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4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w:t>
            </w:r>
          </w:p>
        </w:tc>
      </w:tr>
      <w:tr>
        <w:trPr>
          <w:trHeight w:val="850"/>
        </w:trPr>
        <w:tc>
          <w:tcPr>
            <w:tcW w:w="4160" w:type="dxa"/>
            <w:vAlign w:val="bottom"/>
          </w:tcPr>
          <w:p>
            <w:pPr>
              <w:spacing w:after="0"/>
              <w:rPr>
                <w:sz w:val="24"/>
                <w:szCs w:val="24"/>
                <w:color w:val="auto"/>
              </w:rPr>
            </w:pPr>
          </w:p>
        </w:tc>
        <w:tc>
          <w:tcPr>
            <w:tcW w:w="4540" w:type="dxa"/>
            <w:vAlign w:val="bottom"/>
          </w:tcPr>
          <w:p>
            <w:pPr>
              <w:jc w:val="right"/>
              <w:ind w:right="2890"/>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hanging="252"/>
        <w:spacing w:after="0" w:line="280" w:lineRule="auto"/>
        <w:tabs>
          <w:tab w:leader="none" w:pos="24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1, 2024 and November 1, 2023 of 200,693 and 242,371 stock options, respectively. These annual employee grants vest 20% annually on the anniversary date of the grant, are fully vested after five years, and expire ten years from the date of grant.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November 1, 2024 annual employee grant, the estimated grant date fair value, using the binomial model, leveraged the following assumptions: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2024 Annual Employee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granted</w:t>
            </w:r>
          </w:p>
        </w:tc>
        <w:tc>
          <w:tcPr>
            <w:tcW w:w="5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200,693</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- 4.87%</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24.49 %</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grant of employee Restricted Stock Awards during the first quarter of each fiscal year makes up the majority of our employee Restricted Stock Awards granted under the LTIP in each fiscal year. These awards entitle the holders to shares of common stock as the Restricted Stock Awards vest. For unvested Restricted Stock Awards, holders are not entitled to dividends declared on the underlying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Restricted Stock Awards granted under the LTIP for the nine months ended May 31, 2025 and May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May 31, 2025</w:t>
            </w:r>
          </w:p>
        </w:tc>
        <w:tc>
          <w:tcPr>
            <w:tcW w:w="360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color w:val="auto"/>
              </w:rPr>
              <w:t>May 31, 2024</w:t>
            </w: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7"/>
              </w:rPr>
              <w:t>Weighted Average</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w w:val="97"/>
              </w:rPr>
              <w:t>Weighted Average</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2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5"/>
                <w:szCs w:val="15"/>
                <w:color w:val="auto"/>
              </w:rPr>
            </w:pPr>
          </w:p>
        </w:tc>
        <w:tc>
          <w:tcPr>
            <w:tcW w:w="19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8"/>
              </w:rPr>
              <w:t>Grant Date Fair Value</w:t>
            </w:r>
          </w:p>
        </w:tc>
        <w:tc>
          <w:tcPr>
            <w:tcW w:w="13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5"/>
                <w:szCs w:val="15"/>
                <w:color w:val="auto"/>
              </w:rPr>
            </w:pPr>
          </w:p>
        </w:tc>
        <w:tc>
          <w:tcPr>
            <w:tcW w:w="20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w w:val="99"/>
              </w:rPr>
              <w:t>Grant Date Fair Value</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Per Award</w:t>
            </w:r>
          </w:p>
        </w:tc>
        <w:tc>
          <w:tcPr>
            <w:tcW w:w="13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Per Award</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Performance adjustment - PSUs</w:t>
            </w:r>
            <w:r>
              <w:rPr>
                <w:rFonts w:ascii="Times New Roman" w:cs="Times New Roman" w:eastAsia="Times New Roman" w:hAnsi="Times New Roman"/>
                <w:sz w:val="23"/>
                <w:szCs w:val="23"/>
                <w:color w:val="auto"/>
                <w:vertAlign w:val="superscript"/>
              </w:rPr>
              <w:t>(3)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0" w:type="dxa"/>
            <w:vAlign w:val="bottom"/>
          </w:tcPr>
          <w:p>
            <w:pPr>
              <w:spacing w:after="0"/>
              <w:rPr>
                <w:sz w:val="1"/>
                <w:szCs w:val="1"/>
                <w:color w:val="auto"/>
              </w:rPr>
            </w:pP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133,609</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125,835</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right="20" w:hanging="252"/>
        <w:spacing w:after="0" w:line="280" w:lineRule="auto"/>
        <w:tabs>
          <w:tab w:leader="none" w:pos="25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1, 2024 and November 1, 2023 of 76,448 and 63,722 RSUs, respectively. The majority of the RSUs granted vest 20% annually on the anniversary date of the grant and are fully vested after five years.</w:t>
      </w:r>
    </w:p>
    <w:p>
      <w:pPr>
        <w:spacing w:after="0" w:line="70" w:lineRule="exact"/>
        <w:rPr>
          <w:rFonts w:ascii="Times New Roman" w:cs="Times New Roman" w:eastAsia="Times New Roman" w:hAnsi="Times New Roman"/>
          <w:sz w:val="16"/>
          <w:szCs w:val="16"/>
          <w:color w:val="auto"/>
        </w:rPr>
      </w:pPr>
    </w:p>
    <w:p>
      <w:pPr>
        <w:jc w:val="both"/>
        <w:ind w:left="260" w:hanging="252"/>
        <w:spacing w:after="0" w:line="263" w:lineRule="auto"/>
        <w:tabs>
          <w:tab w:leader="none" w:pos="25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1, 2024 and November 1, 2023 of 33,756 and 36,860 PSUs, respectively. The majority of the PSUs granted cliff vest on the third anniversary of the grant date, subject to the achievement of certain performance metrics. The ultimate number of common shares that may be earned pursuant to our PSU awards depends on the level of our achievement of stated financial performance objectives. The achievement range was 0% to 200% for both the November 1, 2024 and November 1, 2023 annual grants.</w:t>
      </w:r>
    </w:p>
    <w:p>
      <w:pPr>
        <w:spacing w:after="0" w:line="71" w:lineRule="exact"/>
        <w:rPr>
          <w:rFonts w:ascii="Times New Roman" w:cs="Times New Roman" w:eastAsia="Times New Roman" w:hAnsi="Times New Roman"/>
          <w:sz w:val="16"/>
          <w:szCs w:val="16"/>
          <w:color w:val="auto"/>
        </w:rPr>
      </w:pPr>
    </w:p>
    <w:p>
      <w:pPr>
        <w:ind w:left="260" w:right="20" w:hanging="252"/>
        <w:spacing w:after="0" w:line="298" w:lineRule="auto"/>
        <w:tabs>
          <w:tab w:leader="none" w:pos="2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PSUs were granted during the first quarter of fiscal 2025 and fiscal 2024 based on performance above the specified target level of achievement for PSUs granted on November 1, 2021 and November 9, 2020, respectively.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Awards Available for Grant</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we had 3.3 million employee stock-based awards available for grant under the LTIP and 0.2 million non-employee director stock-based awards available for grant under the Director Plan. In accordance with the LTIP and Director Plan, each Restricted Stock Award granted or canceled/forfeited is equivalent to 2.5 shares deducted from or added back to, respectively, the aggregate number of stock-based awards available for grant.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SEGMENT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Chief Executive Officer functions as our CODM.</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which are consistent with our reportable segments: Americas, EMEA and Asia Pacific. This is how our CODM manages our business and the geographic markets in which we operate.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Americas segment primarily sells to clients throughout North, Central, and South America. The EMEA segment primarily sells to clients in Europe, the Middle East, and Africa. The Asia Pacific segment primarily sells to clients in Asia and Australasia. Segment revenues reflect sales to our clients based on the geographic region where the sale originated.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content collection centers, located in India, the Philippines and Latvia, are allocated to each segment based on their respective percentage of revenues as this reflects the benefits provided by each segment.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Intercompany revenue and expense amounts have been eliminated within each segment in order to report on the basis that management uses internally for evaluating segment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results of operations of our segments: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May 31, 2025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380,501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585,520</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194,155</w:t>
            </w:r>
          </w:p>
        </w:tc>
      </w:tr>
      <w:tr>
        <w:trPr>
          <w:trHeight w:val="229"/>
        </w:trPr>
        <w:tc>
          <w:tcPr>
            <w:tcW w:w="59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25,230</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May 31, 2024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356,468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552,708</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202,459</w:t>
            </w:r>
          </w:p>
        </w:tc>
      </w:tr>
      <w:tr>
        <w:trPr>
          <w:trHeight w:val="230"/>
        </w:trPr>
        <w:tc>
          <w:tcPr>
            <w:tcW w:w="59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21,339</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nine months ended May 31, 2025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1,117,404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1,724,847</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570,982</w:t>
            </w:r>
          </w:p>
        </w:tc>
      </w:tr>
      <w:tr>
        <w:trPr>
          <w:trHeight w:val="230"/>
        </w:trPr>
        <w:tc>
          <w:tcPr>
            <w:tcW w:w="59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74,840</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5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nine months ended May 31, 2024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1,057,453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1,640,869</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250,255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573,441</w:t>
            </w:r>
          </w:p>
        </w:tc>
      </w:tr>
      <w:tr>
        <w:trPr>
          <w:trHeight w:val="312"/>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59,722</w:t>
            </w:r>
          </w:p>
        </w:tc>
      </w:tr>
    </w:tbl>
    <w:p>
      <w:pPr>
        <w:spacing w:after="0" w:line="147" w:lineRule="exact"/>
        <w:rPr>
          <w:sz w:val="20"/>
          <w:szCs w:val="20"/>
          <w:color w:val="auto"/>
        </w:rPr>
      </w:pPr>
    </w:p>
    <w:p>
      <w:pPr>
        <w:ind w:left="240" w:hanging="232"/>
        <w:spacing w:after="0"/>
        <w:tabs>
          <w:tab w:leader="none" w:pos="2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include purchases of PPE and capitalized internal-use software.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65"/>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Total Assets</w:t>
            </w:r>
          </w:p>
        </w:tc>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5"/>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 as of May 31, 2025 and August 31, 2024:</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2"/>
        </w:trPr>
        <w:tc>
          <w:tcPr>
            <w:tcW w:w="3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May 31, 2025</w:t>
            </w: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23"/>
        </w:trPr>
        <w:tc>
          <w:tcPr>
            <w:tcW w:w="3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3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3,596,488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3,178,800</w:t>
            </w:r>
          </w:p>
        </w:tc>
      </w:tr>
      <w:tr>
        <w:trPr>
          <w:trHeight w:val="230"/>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583,953</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600,206</w:t>
            </w:r>
          </w:p>
        </w:tc>
      </w:tr>
      <w:tr>
        <w:trPr>
          <w:trHeight w:val="229"/>
        </w:trPr>
        <w:tc>
          <w:tcPr>
            <w:tcW w:w="3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36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158,321</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276,034</w:t>
            </w:r>
          </w:p>
        </w:tc>
      </w:tr>
      <w:tr>
        <w:trPr>
          <w:trHeight w:val="228"/>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6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4,338,762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4,055,040</w:t>
            </w:r>
          </w:p>
        </w:tc>
      </w:tr>
      <w:tr>
        <w:trPr>
          <w:trHeight w:val="1237"/>
        </w:trPr>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2024,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2024 and those discussed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("we," "our," "us,"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May 31, 2025, we had more than 8,800 clients comprised of over 220,000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All of our platforms and solutions are supported by our dedicated client service team.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Within each segment, we offer data, products and analytical applications by firm type:</w:t>
      </w:r>
    </w:p>
    <w:p>
      <w:pPr>
        <w:spacing w:after="0" w:line="12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global asset managers, asset owners, and hedge fund professionals,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investment bankers, sell-side research analysts, corporate users, investor relations officers and private equity and venture capital professionals,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clients,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CGS": "Partnerships" delivers solutions to firms in the financial services ecosystem including data, analytics and technology platform providers. "CGS" is an originator of securities identification, managed on behalf of the American Bankers Association, for all sectors of the global financial markets.</w:t>
      </w:r>
    </w:p>
    <w:p>
      <w:pPr>
        <w:spacing w:after="0" w:line="13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segments.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strive to be a trusted enterprise partner and service provider to our clients across the financial services spectrum, delivering relevant intelligence, insights and execution solutions tailored to our clients' business models.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strategically aligned geographic segments: the Americas, EMEA and Asia Pacific. This approach allows us to better manage resources, target solutions and interact with clients effectively.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execute our strategy, we are focused on three core pillars and primary areas of investment:</w:t>
      </w:r>
    </w:p>
    <w:p>
      <w:pPr>
        <w:spacing w:after="0" w:line="181" w:lineRule="exact"/>
        <w:rPr>
          <w:sz w:val="20"/>
          <w:szCs w:val="20"/>
          <w:color w:val="auto"/>
        </w:rPr>
      </w:pPr>
    </w:p>
    <w:p>
      <w:pPr>
        <w:jc w:val="both"/>
        <w:ind w:left="660" w:hanging="328"/>
        <w:spacing w:after="0" w:line="25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our data offerings: </w:t>
      </w:r>
      <w:r>
        <w:rPr>
          <w:rFonts w:ascii="Times New Roman" w:cs="Times New Roman" w:eastAsia="Times New Roman" w:hAnsi="Times New Roman"/>
          <w:sz w:val="18"/>
          <w:szCs w:val="18"/>
          <w:color w:val="auto"/>
        </w:rPr>
        <w:t>We continue to scale up our data ecosystem to provide a comprehensive inventory of industry, proprietary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data. This includes granular data for key industry verticals, real-time market data, fund data and sustainable finance. We believe that our breadth of high-quality, connected data will serve as critical raw material for large language models. In addition to using our growing data catalog to power our artificial intelligence ("AI") powered workstation products, we aim to continue to expand our data delivery capabilities in the cloud and through other methods to advance our position as an enterprise data provider for our clients.</w:t>
      </w:r>
    </w:p>
    <w:p>
      <w:pPr>
        <w:spacing w:after="0" w:line="13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Embedding deeper in client workflows</w:t>
      </w:r>
      <w:r>
        <w:rPr>
          <w:rFonts w:ascii="Times New Roman" w:cs="Times New Roman" w:eastAsia="Times New Roman" w:hAnsi="Times New Roman"/>
          <w:sz w:val="18"/>
          <w:szCs w:val="18"/>
          <w:color w:val="auto"/>
        </w:rPr>
        <w:t>: Through continued innovation, we aim to deepen our integration into our clients' workflows.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expanding further into the buy-side front office by leveraging our expertise in portfolio performance, analytics, and risk management. In addition, we are building on our strong presence on advisor desktops by expanding into prospecting and digital reporting workflows. We are also working to introduce next-generation automation in research, financial modeling, and pitch creation.</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Innovating with AI</w:t>
      </w:r>
      <w:r>
        <w:rPr>
          <w:rFonts w:ascii="Times New Roman" w:cs="Times New Roman" w:eastAsia="Times New Roman" w:hAnsi="Times New Roman"/>
          <w:sz w:val="18"/>
          <w:szCs w:val="18"/>
          <w:color w:val="auto"/>
        </w:rPr>
        <w:t>: Our artificial intelligence roadmap, driven by our FactSet AI Blueprint, continues to resonate with our clients. We recently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launched new AI-powered solutions for generating portfolio performance commentary, analyzing earnings call transcripts, and requesting FactSet data using natural language queries in client-built environments and chatbots. We believe that our pragmatic, open and flexible approach to leveraging AI to enhance our clients’ workflows will differentiate FactSet from our competitors and drive growth.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Leadership Transition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 2025, FactSet announced the appointment of Sanoke Viswanathan as Chief Executive Officer and that he will join FactSet’s Board of Directors, effective on September 1, 2025, or such other mutually agreed date. Mr. Viswanathan will succeed F. Philip Snow, who will retire from these roles effective on Mr. Viswanathan's start date. To support a smooth leadership transition, Mr. Snow will continue employment with FactSet in an advisory capacity until November 15, 2025 or such later date as mutually agreed.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Third Quarter in Review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in the third quarter of fiscal 2025 were $585.5 million, an increase of 5.9% from the comparable prior year period. This 5.9% growth in revenues was driven by a 4.4% increase in organic revenues, a 1.4% increase from acquisition-related revenues and a 0.1% net increase from foreign currency exchange rate fluctuations. Revenues increased in all our segments, primarily in the Americas. Revenues increased primarily from workstations and, to a lesser extent, front office solutions and CGS. Refer to Part I,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Non-GAAP Financial Measures, </w:t>
      </w:r>
      <w:r>
        <w:rPr>
          <w:rFonts w:ascii="Times New Roman" w:cs="Times New Roman" w:eastAsia="Times New Roman" w:hAnsi="Times New Roman"/>
          <w:sz w:val="18"/>
          <w:szCs w:val="18"/>
          <w:color w:val="auto"/>
        </w:rPr>
        <w:t>of this Quarterly Report on Form 10-Q for the definition of organic revenues and a reconciliation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organic revenues.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May 31, 2025, organic annual subscription value ("Organic ASV") totaled $2,296.9 million, an increase of 4.5% over the prior year. Organic ASV increased in all our segments, with the majority of the increase in the Americas. The Organic ASV increase was mainly driven by workstations and, to a lesser extent, CGS and data solutions. Refer to Part I, Item 2. </w:t>
      </w:r>
      <w:r>
        <w:rPr>
          <w:rFonts w:ascii="Times New Roman" w:cs="Times New Roman" w:eastAsia="Times New Roman" w:hAnsi="Times New Roman"/>
          <w:sz w:val="18"/>
          <w:szCs w:val="18"/>
          <w:i w:val="1"/>
          <w:iCs w:val="1"/>
          <w:color w:val="auto"/>
        </w:rPr>
        <w:t>Management's Discussion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Analysis of Financial Condition and Results of Operations, Annual Subscription Value, </w:t>
      </w:r>
      <w:r>
        <w:rPr>
          <w:rFonts w:ascii="Times New Roman" w:cs="Times New Roman" w:eastAsia="Times New Roman" w:hAnsi="Times New Roman"/>
          <w:sz w:val="18"/>
          <w:szCs w:val="18"/>
          <w:color w:val="auto"/>
        </w:rPr>
        <w:t>of this Quarterly Report on Form 10-Q for the definition of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ASV.</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was 33.2% for the third quarter of fiscal 2025, compared to 36.6% in the prior year period. When expenses are expressed as a percentage of revenues, this decrease in operating margin was mainly due to higher employee compensation costs and amortization of intangible assets, partially offset by growth in revenues and a benefit from the net settlement of our foreign currency forward contracts. Diluted earnings per common share ("Diluted EPS") was $3.87 for the third quarter of fiscal 2025, a decrease of 5.4% from the comparable prior year period, primarily driven by lower operating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returned $120.2 million to our stockholders in the form of share repurchases and dividends during the three months ended May 31, 2025.</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31, 2025, our client and user count was 8,811 and 220,496, respectively. Our employee headcount was 12,579 as of May 31, 2025, up 2.6% compared to the prior year. This increase was driven by net headcount growth of 5.2% in Americas, 3.4% in EMEA and 1.7% in Asia Pacific.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flows, and thus serves as a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w:t>
      </w:r>
    </w:p>
    <w:p>
      <w:pPr>
        <w:ind w:left="660" w:hanging="324"/>
        <w:spacing w:after="0" w:line="26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spacing w:after="0" w:line="27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Beginning in fiscal 2025, we are reporting Organic ASV, rather than Organic ASV plus professional services, to focus on the recurring nature of our revenues. This underscores the shift of our offerings toward providing more managed services and less project-based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w:t>
      </w:r>
    </w:p>
    <w:p>
      <w:pPr>
        <w:spacing w:after="0" w:line="20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as of May 31, 2025. With proper notice provided as contractually required, our clients can add to, delete portions of, or terminate service, subject to certain limitations.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As of May 31, 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ASV</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2,335.1</w:t>
            </w:r>
          </w:p>
        </w:tc>
      </w:tr>
      <w:tr>
        <w:trPr>
          <w:trHeight w:val="230"/>
        </w:trPr>
        <w:tc>
          <w:tcPr>
            <w:tcW w:w="8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 ASV</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ASV</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2,296.9</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annual growth rate</w:t>
            </w: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r>
    </w:tbl>
    <w:p>
      <w:pPr>
        <w:spacing w:after="0" w:line="189"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foreign currency movements.</w:t>
      </w:r>
    </w:p>
    <w:p>
      <w:pPr>
        <w:spacing w:after="0" w:line="1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ASV from acquisitions completed within the last 12 months.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31, 2025, Organic ASV was $2,296.9 million, an increase of 4.5% compared with May 31, 2024. Organic ASV increased in all our segments, with the majority of the increase in the Americas. The increase in Organic ASV was primarily due to higher sales to existing clients and to a lesser extent, price increases to existing clients and sales to new clients, all primarily driven by workstations and, to a lesser extent, CGS and data solutions. This increase was partially offset by existing client cancellations.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ASV from the Americas represented 65% of total ASV and was $1,513.1 million, an increase from $1,415.3 million as of May 31, 2024. Americas Organic ASV was $1,486.0 million as of May 31, 2025, a 5.0% increase from the prior year period. The Organic ASV increase in the Americas was primarily driven by workstations and, to a lesser extent, CGS.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ASV from EMEA represented 25% of total ASV and was $581.9 million, an increase from $565.0 million as of May 31, 2024. EMEA Organic ASV was $575.2 million as of May 31, 2025, a 2.1% increase from the prior year period. The EMEA Organic ASV increase was mainly from CGS and data solutions.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ASV from Asia Pacific represented 10% of total ASV and was $240.1 million, an increase from $218.8 million as of May 31, 2024. Asia Pacific Organic ASV was $235.7 million as of May 31, 2025, a 7.1% increase from the prior year period. The Asia Pacific Organic ASV increase was primarily driven by workstations and data solutions.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buy-side and sell-side Organic ASV annual growth rates as of May 31, 2025 were each 4.0%. Buy-side clients account for approximately 82% of our Organic ASV, consistent with the prior year period, and primarily include institutional asset managers, wealth managers, asset owners, partners, hedge funds and corporate clients. The remaining Organic ASV is derived from sell-side firms, primarily including broker-dealers, banking and advisory firms, and private equity and venture capital firms.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30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47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As of May 31, 2025</w:t>
            </w:r>
          </w:p>
        </w:tc>
        <w:tc>
          <w:tcPr>
            <w:tcW w:w="2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As of May 31, 2024</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3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8,811</w:t>
            </w:r>
          </w:p>
        </w:tc>
        <w:tc>
          <w:tcPr>
            <w:tcW w:w="2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31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r>
              <w:rPr>
                <w:rFonts w:ascii="Times New Roman" w:cs="Times New Roman" w:eastAsia="Times New Roman" w:hAnsi="Times New Roman"/>
                <w:sz w:val="23"/>
                <w:szCs w:val="23"/>
                <w:color w:val="auto"/>
                <w:vertAlign w:val="superscript"/>
              </w:rPr>
              <w:t>(2)</w:t>
            </w:r>
          </w:p>
        </w:tc>
        <w:tc>
          <w:tcPr>
            <w:tcW w:w="3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220,496</w:t>
            </w:r>
          </w:p>
        </w:tc>
        <w:tc>
          <w:tcPr>
            <w:tcW w:w="2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208,140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bl>
    <w:p>
      <w:pPr>
        <w:spacing w:after="0" w:line="52"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client count includes clients with ASV of $10,000.</w:t>
      </w:r>
    </w:p>
    <w:p>
      <w:pPr>
        <w:spacing w:after="0" w:line="5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user count does not reflect users associated with our fiscal 2025 acquisitions.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client count was 8,811 as of May 31, 2025, a net increase of 9.7% or 782 clients in the last 12 months, mainly due to an increase in corporates, primarily driven by clients from the Platform Group Limited ("Irwin") acquisition.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31, 2025, there were 220,496 professionals using FactSet, representing a net increase of 5.9% or 12,356 users in the last 12 months, primarily driven by an increase in wealth management users. The user count does not reflect our fiscal 2025 acquisitions.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of ASV as of May 31, 2025 and May 31, 2024. When expressed as a percentage of clients, annual retention was 91% as of May 31, 2025, compared with 90% as of May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our net employee headcount increased by 2.6% to 12,579, compared with 12,262 employees as of May 31, 2024. This net headcount growth was primarily driven by our Irwin and Liquid Holdings, LLC ("LiquidityBook") acquisitions and continued investment in our centers of excellence ("COEs") through an increase in employees based in the Philippines and India. Approximately 67% of our employees are located in our COEs.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2025, compared to May 31, 2024, our net headcount growth was 5.2% in the Americas, 3.4% in EMEA and 1.7% in Asia Pacific. As of May 31, 2025, we had 8,668 employees located in Asia Pacific, 2,466 in the Americas and 1,445 in EMEA.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and nine months ended May 31, 2025 and May 31, 2024, the following discussion should be read in conjunction with the Consolidated Financial Statements and related Notes presented in Part I, Item 1.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w:t>
            </w:r>
          </w:p>
        </w:tc>
        <w:tc>
          <w:tcPr>
            <w:tcW w:w="1080" w:type="dxa"/>
            <w:vAlign w:val="bottom"/>
          </w:tcPr>
          <w:p>
            <w:pPr>
              <w:spacing w:after="0"/>
              <w:rPr>
                <w:sz w:val="20"/>
                <w:szCs w:val="20"/>
                <w:color w:val="auto"/>
              </w:rPr>
            </w:pPr>
          </w:p>
        </w:tc>
      </w:tr>
      <w:tr>
        <w:trPr>
          <w:trHeight w:val="270"/>
        </w:trPr>
        <w:tc>
          <w:tcPr>
            <w:tcW w:w="4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37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585,520</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552,708</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1,724,847</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1,640,869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280,729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246,986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809,112</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753,749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110,636</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344,753</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313,679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194,155</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570,982</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573,441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4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158,135</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447,630</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38,640</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080" w:type="dxa"/>
            <w:vAlign w:val="bottom"/>
            <w:shd w:val="clear" w:color="auto" w:fill="CCEEFF"/>
          </w:tcPr>
          <w:p>
            <w:pPr>
              <w:spacing w:after="0"/>
              <w:rPr>
                <w:sz w:val="19"/>
                <w:szCs w:val="19"/>
                <w:color w:val="auto"/>
              </w:rPr>
            </w:pPr>
          </w:p>
        </w:tc>
      </w:tr>
      <w:tr>
        <w:trPr>
          <w:trHeight w:val="234"/>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2025 compared with three months ended May 31,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May 31, 2025 were $585.5 million, an increase of 5.9%. This 5.9% growth in revenues was driven by a 4.4% increase in organic revenues, which totaled $577.2 million for the three months ended May 31, 2025, and a 1.4% increase from acquisition-related revenues, partially offset by a net increase of 0.1% from foreign currency exchange rate fluctuations. Revenues increased in all our segments, primarily in the Americas. The increase in revenues was primarily driven by workstations and, to a lesser extent, front office solutions and CGS.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2025 compared with nine months ended May 31, 2024</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nine months ended May 31, 2025 were $1,724.8 million, an increase of 5.1%. This 5.1% growth in revenues was driven by a 4.4% increase in organic revenues, which totaled $1,712.9 million for the nine months ended May 31, 2025, and a 0.7% increase from acquisition-related revenues. Revenues increased in all our segments, primarily in the Americas. The increase in revenues was mainly from workstations and, to a lesser extent, CGS.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380,501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356,468</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1,117,404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1,057,453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65.0 %</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64.5 %</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64.8 %</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64.4 %</w:t>
            </w:r>
          </w:p>
        </w:tc>
        <w:tc>
          <w:tcPr>
            <w:tcW w:w="1140" w:type="dxa"/>
            <w:vAlign w:val="bottom"/>
          </w:tcPr>
          <w:p>
            <w:pPr>
              <w:spacing w:after="0"/>
              <w:rPr>
                <w:sz w:val="19"/>
                <w:szCs w:val="19"/>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145,741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141,279</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432,853</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420,016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24.9 %</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25.6 %</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25.1 %</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25.6 %</w:t>
            </w:r>
          </w:p>
        </w:tc>
        <w:tc>
          <w:tcPr>
            <w:tcW w:w="114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59,278</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54,961</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174,590</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163,400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3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1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140" w:type="dxa"/>
            <w:vAlign w:val="bottom"/>
            <w:tcBorders>
              <w:bottom w:val="single" w:sz="8" w:color="CCEEFF"/>
            </w:tcBorders>
          </w:tcPr>
          <w:p>
            <w:pPr>
              <w:spacing w:after="0"/>
              <w:rPr>
                <w:sz w:val="19"/>
                <w:szCs w:val="19"/>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585,520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552,708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1,724,847</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1,640,869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2025 compared with three months ended May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Americas revenues increased 6.7% to $380.5 million during the three months ended May 31, 2025, compared with $356.5 million from the same period a year ago. This 6.7% growth in revenues was driven by a 5.0% increase in organic revenues and a 1.8% increase from acquisition-related revenues, partially offset by a 0.1% net decrease from foreign currency exchange rate fluctuations. The increase in revenues was driven by workstations and front office solutions.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revenues increased 3.2% to $145.7 million during the three months ended May 31, 2025, compared with $141.2 million from the same period a year ago. This 3.2% growth in revenues was driven by a 2.3% increase in organic revenues, a 0.6% increase from acquisition-related revenues and a 0.3% net increase from foreign currency exchange rate fluctuations. The increase in revenues was mainly from CGS, data solutions and front office solutions.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revenues increased 7.9% to $59.3 million during the three months ended May 31, 2025, compared with $55.0 million from the same period a year ago. This 7.9% growth in revenues was driven by a 6.4% increase in organic revenues, a 0.9% increase from acquisition-related revenues and a 0.6% net benefit from foreign currency exchange rate fluctuations. The increase in revenues was driven by data solutions and workstations.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2025 compared with nine months ended May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Americas increased 5.7% to $1,117.4 million during the nine months ended May 31, 2025, compared with $1,057.5 million from the same period a year ago. This 5.7% growth in revenues was driven by a 4.7% increase in organic revenues and a 1.0% increase from acquisition-related revenues. The increase in revenues was driven by workstations and, to a lesser extent, CGS and front office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EMEA increased 3.1% to $432.9 million during the nine months ended May 31, 2025, compared with $420.0 million from the same period a year ago. This 3.1% growth in revenues was driven by a 2.7% increase in organic revenues, a 0.3% increase from acquisition-related revenues and a 0.1% net increase from foreign currency exchange rate fluctuations. The increase in revenues was mainly from CGS, data solutions and middle office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Asia Pacific increased 6.8% to $174.6 million during the nine months ended May 31, 2025, compared with $163.4 million from the same period a year ago. This 6.8% growth in revenues was driven by a 6.5% increase in organic revenues and a 0.3% increase from acquisition-related revenues. The increase in revenues was driven by data solutions and workstations.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Expenses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computer-related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intangible assets, royalty fees, telecommunication costs and computer depreciation.</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other employee-related expenses, internal communication costs, bad debt expense and the impact from our foreign currency forward contracts.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140" w:type="dxa"/>
            <w:vAlign w:val="bottom"/>
          </w:tcPr>
          <w:p>
            <w:pPr>
              <w:spacing w:after="0"/>
              <w:rPr>
                <w:sz w:val="20"/>
                <w:szCs w:val="20"/>
                <w:color w:val="auto"/>
              </w:rPr>
            </w:pPr>
          </w:p>
        </w:tc>
      </w:tr>
      <w:tr>
        <w:trPr>
          <w:trHeight w:val="270"/>
        </w:trPr>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9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May 31,</w:t>
            </w: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280,729</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246,986</w:t>
            </w:r>
          </w:p>
        </w:tc>
        <w:tc>
          <w:tcPr>
            <w:tcW w:w="1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13.7 % $</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809,112</w:t>
            </w:r>
          </w:p>
        </w:tc>
        <w:tc>
          <w:tcPr>
            <w:tcW w:w="4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753,749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110,636</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103,263</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344,753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313,679</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391,365</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350,249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1,153,865</w:t>
            </w:r>
          </w:p>
        </w:tc>
        <w:tc>
          <w:tcPr>
            <w:tcW w:w="4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1,067,428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70"/>
        </w:trPr>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194,155</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202,459</w:t>
            </w:r>
          </w:p>
        </w:tc>
        <w:tc>
          <w:tcPr>
            <w:tcW w:w="1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 $</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570,982</w:t>
            </w:r>
          </w:p>
        </w:tc>
        <w:tc>
          <w:tcPr>
            <w:tcW w:w="4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573,441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33.2 %</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36.6 %</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33.1 %</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34.9 %</w:t>
            </w:r>
          </w:p>
        </w:tc>
        <w:tc>
          <w:tcPr>
            <w:tcW w:w="114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2025 compared with three months ended May 31, 2024</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services increased 13.7% to $280.7 million for the three months ended May 31, 2025, compared with $247.0 million for the same period a year ago, primarily due to an increase in employee compensation costs and amortization of intangible assets.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47.9% for the three months ended May 31, 2025, an increase of 330 basis points compared with the same period a year ago. This increase was primarily due to higher employee compensation costs and amortization of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150 basis points, primarily due to higher variable compensation costs driven by a lower bonus accrual in the prior year period and an increase in annual base salaries. The increase in annual base salaries was primarily driven by annual merit increases and a net headcount increase in cost of services of 251 employees, primarily driven by our fiscal 2025 acquisitions.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by 100 basis points, mainly due to higher amortization from our capitalized internal-use software development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2025 compared with nine months ended May 31,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increased 7.3% to $809.1 million for the nine months ended May 31, 2025, compared with $753.7 million in the same period a year ago, primarily due to an increase in amortization of intangible assets, computer-related expenses, and employee compensation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46.9% for the nine months ended May 31, 2025, an increase of 100 basis points compared with the same period a year ago. This increase was primarily driven by an increase in amortization of intangible assets, partially offset by lower employee compensation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100 basis points, mainly due to higher amortization from our capitalized internal-use software development costs.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80 basis points primarily due to revenues outpacing the increase in employee compensation costs and a decrease in restructuring charges, partially offset by higher variable compensation costs driven by a lower bonus accrual in the prior year period.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2025 compared with three months ended May 31,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increased 7.1% to $110.6 million for the three months ended May 31, 2025, compared with $103.3 million in the same period a year ago, primarily driven by higher employee compensation costs, partially offset by a benefit from the net settlement of our foreign currency forward contracts.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when expressed as a percentage of revenues, was 18.9% for the three months ended May 31, 2025, an increase of 20 basis points compared with the same period a year ago. This increase was primarily driven by higher employee compensation costs, partially offset by a benefit from the net settlement of our foreign currency forward contracts.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ind w:lef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80 basis points, mainly due to higher variable compensation costs driven by a lower bonus accrual in the prior year period and an increase in payroll taxes due to a one-time payroll tax adjustment that occurred in the prior year period.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settlement of foreign currency forward contracts decreased SG&amp;A by 30 basis points.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2025 compared with nine months ended May 31, 2024</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SG&amp;A expenses increased 9.9% to $344.8 million for the nine months ended May 31, 2025, compared with $313.7 million for the same period a year ago, primarily driven by higher employee compensation costs and professional fees.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expenses, when expressed as a percentage of revenues, were 20.0% for the nine months ended May 31, 2025, an increase of 90 basis points compared with the same period a year ago. This increase was primarily due to higher professional fees and employee compensation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by 80 basis points, mainly due to acquisition-related costs.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50 basis points, mainly due to higher variable compensation costs driven by a lower bonus accrual in the prior year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2025 compared with three months ended May 31, 2024</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decreased 4.1% to $194.2 million for the three months ended May 31, 2025, compared with $202.5 million in the prior year period. This decrease was primarily driven by higher employee compensation costs and amortization of intangible assets, partially offset by growth in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33.2% during the three months ended May 31, 2025, compared with 36.6% in the prior year period. When expenses are expressed as a percentage of revenues, this decrease in operating margin was mainly due to higher employee compensation costs and amortization of intangible assets, partially offset by growth in revenues and a benefit from the net settlement of our foreign currency forward contracts.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2025 compared with nine months ended May 31, 2024</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income decreased 0.4% to $571.0 million for the nine months ended May 31, 2025, compared with $573.4 million in the prior year period. This decrease was primarily due to higher employee compensation costs and amortization of intangible assets, partially offset by growth in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33.1% for the nine months ended May 31, 2025, compared with 34.9% in the prior year period. When expenses are expressed as a percentage of revenues, this decrease was primarily due to higher amortization of intangible assets and professional fees, partially offset by growth in revenues.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regarding our segments. The following table summarizes our operating income by segment: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1180" w:type="dxa"/>
            <w:vAlign w:val="bottom"/>
          </w:tcPr>
          <w:p>
            <w:pPr>
              <w:spacing w:after="0"/>
              <w:rPr>
                <w:sz w:val="20"/>
                <w:szCs w:val="20"/>
                <w:color w:val="auto"/>
              </w:rPr>
            </w:pPr>
          </w:p>
        </w:tc>
      </w:tr>
      <w:tr>
        <w:trPr>
          <w:trHeight w:val="270"/>
        </w:trPr>
        <w:tc>
          <w:tcPr>
            <w:tcW w:w="3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250,255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208,633</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207,167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43,563</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125,859</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194,155</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570,982</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573,441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245" w:lineRule="exact"/>
        <w:rPr>
          <w:sz w:val="20"/>
          <w:szCs w:val="20"/>
          <w:color w:val="auto"/>
        </w:rPr>
      </w:pPr>
    </w:p>
    <w:p>
      <w:pPr>
        <w:ind w:right="5140"/>
        <w:spacing w:after="0" w:line="363" w:lineRule="auto"/>
        <w:rPr>
          <w:sz w:val="20"/>
          <w:szCs w:val="20"/>
          <w:color w:val="auto"/>
        </w:rPr>
      </w:pPr>
      <w:r>
        <w:rPr>
          <w:rFonts w:ascii="Times New Roman" w:cs="Times New Roman" w:eastAsia="Times New Roman" w:hAnsi="Times New Roman"/>
          <w:sz w:val="18"/>
          <w:szCs w:val="18"/>
          <w:i w:val="1"/>
          <w:iCs w:val="1"/>
          <w:color w:val="auto"/>
        </w:rPr>
        <w:t>Three months ended May 31, 2025 compared with three months ended May 31, 2024 Americas</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Americas operating income decreased 7.0% to $81.6 million during the three months ended May 31, 2025, compared with $87.7 million in the same period a year ago. This decrease was primarily due to higher employee compensation costs and amortization of intangible assets, partially offset by growth in revenues of 6.7%.</w:t>
      </w:r>
    </w:p>
    <w:p>
      <w:pPr>
        <w:spacing w:after="0" w:line="159" w:lineRule="exact"/>
        <w:rPr>
          <w:sz w:val="20"/>
          <w:szCs w:val="20"/>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mainly due to higher variable compensation costs driven by a lower bonus accrual in the prior year period and an increase in payroll taxes due to a one-time payroll tax adjustment that occurred in the prior year period.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mainly due to higher amortization from our capitalized internal-use software development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operating income decreased 8.5% to $69.0 million during the three months ended May 31, 2025, compared with $75.5 million in the same period a year ago. This decrease was primarily due to higher employee compensation costs mainly due to higher annual base salaries and an increase in variable compensation costs driven by a lower bonus accrual in the prior year period, partially offset by growth in revenues of 3.2%. The increase in annual base salaries was primarily driven by annual merit increases and a net headcount increase of 47 employees.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operating income increased 10.8% to $43.6 million during the three months ended May 31, 2025, compared with $39.3 million in the same period a year ago. This increase was mainly due to growth in revenues of 7.9%, partially offset by an increase in employee compensation costs primarily due to higher annual base salaries and an increase in variable compensation costs driven by a lower bonus accrual in the prior year period. The increase in annual base salaries was primarily driven by annual merit increases and a net headcount increase of 147 employees.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2025 compared with nine months ended May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operating income decreased 5.5% to $236.5 million during the nine months ended May 31, 2025, compared with $250.3 million in the same period a year ago. This decrease was primarily due to higher amortization of intangible assets, employee compensation costs and professional fees, partially offset by growth in revenues of 5.7%.</w:t>
      </w:r>
    </w:p>
    <w:p>
      <w:pPr>
        <w:spacing w:after="0" w:line="13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mainly due to higher amortization from our capitalized internal-use software development costs.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mainly due to higher variable compensation costs driven by a lower bonus accrual in the prior year period.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mainly due to acquisition-related costs.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operating income increased 0.7% to $208.6 million during the nine months ended May 31, 2025, compared with $207.1 million in the same period a year ago. This increase was primarily due to growth in revenues of 3.1%, partially offset by higher employee compensation expense. Employee compensation costs increased primarily due to an increase in annual base salaries driven by annual merit increases and a net headcount increase of 47 employees.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operating income increased 8.5% to $125.9 million during the nine months ended May 31, 2025, compared with $116.0 million in the same period a year ago. This increase was mainly due to growth in revenues of 6.8%, partially offset by higher employee compensation costs. Employee compensation costs increased primarily due to higher annual base salaries driven by annual merit increases and a net headcount increase of 147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1420" w:type="dxa"/>
            <w:vAlign w:val="bottom"/>
          </w:tcPr>
          <w:p>
            <w:pPr>
              <w:spacing w:after="0"/>
              <w:rPr>
                <w:sz w:val="19"/>
                <w:szCs w:val="19"/>
                <w:color w:val="auto"/>
              </w:rPr>
            </w:pPr>
          </w:p>
        </w:tc>
        <w:tc>
          <w:tcPr>
            <w:tcW w:w="26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Nine Months Ended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740" w:type="dxa"/>
            <w:vAlign w:val="bottom"/>
          </w:tcPr>
          <w:p>
            <w:pPr>
              <w:spacing w:after="0"/>
              <w:rPr>
                <w:sz w:val="19"/>
                <w:szCs w:val="19"/>
                <w:color w:val="auto"/>
              </w:rPr>
            </w:pP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179,948</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190,532</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 $</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532,007</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534,373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31,406</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32,397</w:t>
            </w: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 $</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88,583</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86,743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17.0 %</w:t>
            </w:r>
          </w:p>
        </w:tc>
        <w:tc>
          <w:tcPr>
            <w:tcW w:w="1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16.2 %</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taxation in the United States ("U.S.") and various foreign jurisdictions in which we conduct our business.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May 31, 2025 and May 31, 2024 was 17.5% and 17.0%, respectively, and for the nine months ended May 31, 2025 and May 31, 2024 was 16.7% and 16.2%, respectively. The increase in the effective tax rate for the periods presented was primarily due to certain discrete items, mainly lower excess tax benefits related to stock-based compensation, as well as a higher overall foreign tax rate, partially offset by a lower U.S. tax impact of foreign earnings.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applicable U.S. corporate income tax rate. This was primarily attributable to excess tax benefits from stock-based compensation, a lower U.S. tax impact of foreign earnings, research and development ("R&amp;D") tax credits and a foreign derived intangible income ("FDII") deduction, partially offset by our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24"/>
                <w:szCs w:val="24"/>
                <w:color w:val="auto"/>
              </w:rPr>
            </w:pPr>
          </w:p>
        </w:tc>
        <w:tc>
          <w:tcPr>
            <w:tcW w:w="22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8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tcBorders>
              <w:bottom w:val="single" w:sz="8" w:color="auto"/>
            </w:tcBorders>
            <w:gridSpan w:val="2"/>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158,135</w:t>
            </w:r>
          </w:p>
        </w:tc>
        <w:tc>
          <w:tcPr>
            <w:tcW w:w="1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447,630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8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4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38,640</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4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1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income and Diluted EPS for the three months ended May 31, 2025, compared to the respective prior year period, was primarily driven by lower operating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income and Diluted EPS for the nine months ended May 31, 2025, compared to the respective prior year period, was primarily driven by lower interest income and operating income, partially offset by lower 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adjusted Diluted EPS and free cash flow. The reconciliations from our financial measures calculated and presented in accordance with GAAP to these non-GAAP financial measures are shown in the tables below and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within this section below, for our free cash flow reconciliation..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revenues excludes the current year impact of revenues from acquisitions and dispositions completed within the past 12 months ("Acquisition revenues" and "Disposition revenues", respectively) and the current year impact from changes in foreign currency. In addition, for year to date comparisons, organic revenues excludes current year revenues that were incurred prior to the first anniversary date of an acquisition. The table below provides an unaudited reconciliation of revenues to organic revenues: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c>
          <w:tcPr>
            <w:tcW w:w="122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585,520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552,708</w:t>
            </w:r>
          </w:p>
        </w:tc>
        <w:tc>
          <w:tcPr>
            <w:tcW w:w="1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1,724,847</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1,640,869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revenues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impact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577,200</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552,708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1,712,858</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1,640,869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846"/>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46</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acquisition-related intangible asset amortization and non-recurring items. EBITDA represents earnings before interest expense, provision for income taxes and depreciation and amortization, while adjusted EBITDA further excludes non-recurring non-cash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6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Nine Months Ended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194,155</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202,459</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570,982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573,441</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4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16,674</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53,900</w:t>
            </w:r>
          </w:p>
        </w:tc>
        <w:tc>
          <w:tcPr>
            <w:tcW w:w="3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50,692</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and related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14,769</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2,398</w:t>
            </w:r>
          </w:p>
        </w:tc>
        <w:tc>
          <w:tcPr>
            <w:tcW w:w="3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(1,596)</w:t>
            </w:r>
          </w:p>
        </w:tc>
        <w:tc>
          <w:tcPr>
            <w:tcW w:w="1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(317)</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6,695</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215,313</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217,960</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641,732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631,251</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447,630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and related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163,921</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497,029</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490,984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158,135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50,231</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32,397</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88,583</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32,504</w:t>
            </w:r>
          </w:p>
        </w:tc>
        <w:tc>
          <w:tcPr>
            <w:tcW w:w="1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114,972</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91,154</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235,915</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690,417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675,758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Non-recurring non-cash expenses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235,915</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239,930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690,417</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677,043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and related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38,640</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60" w:hanging="252"/>
        <w:spacing w:after="0" w:line="291" w:lineRule="auto"/>
        <w:tabs>
          <w:tab w:leader="none" w:pos="2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Related to a resolved matter with the Massachusetts Department of Revenue. Refer to Note 12,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in the Notes to the Consolidated Financial Statements included in Part I, Item 1. of this Quarterly Report on Form 10-Q, for further discussion on this matter.</w:t>
      </w:r>
    </w:p>
    <w:p>
      <w:pPr>
        <w:spacing w:after="0" w:line="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as Adjusted operating income divided by Revenues.</w:t>
      </w:r>
    </w:p>
    <w:p>
      <w:pPr>
        <w:spacing w:after="0" w:line="59"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Adjusted net income and Adjusted diluted EPS, all adjustments for the three months ended May 31, 2025 and May 31, 2024 were taxed at an adjusted tax rate of 27.3% and 31.2%, respectively. The nine months ended May 31, 2025 and May 31, 2024 were taxed at an adjusted tax rate of 26.1% and 27.4%, respectively.</w:t>
      </w:r>
    </w:p>
    <w:p>
      <w:pPr>
        <w:spacing w:after="0" w:line="2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the accelerated vesting of stock awards for certain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May 31, 2025, Cash and cash equivalents were $356.4 million and restricted cash was $14.0 million, compared with Cash and cash equivalents of $423.0 million as of August 31, 2024. Refer to </w:t>
      </w:r>
      <w:r>
        <w:rPr>
          <w:rFonts w:ascii="Times New Roman" w:cs="Times New Roman" w:eastAsia="Times New Roman" w:hAnsi="Times New Roman"/>
          <w:sz w:val="18"/>
          <w:szCs w:val="18"/>
          <w:i w:val="1"/>
          <w:iCs w:val="1"/>
          <w:color w:val="auto"/>
        </w:rPr>
        <w:t>Summary of Cash Flows</w:t>
      </w:r>
      <w:r>
        <w:rPr>
          <w:rFonts w:ascii="Times New Roman" w:cs="Times New Roman" w:eastAsia="Times New Roman" w:hAnsi="Times New Roman"/>
          <w:sz w:val="18"/>
          <w:szCs w:val="18"/>
          <w:color w:val="auto"/>
        </w:rPr>
        <w:t xml:space="preserve"> within this section below, for more information on cash flows during the third quarter of fiscal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$158.3 million in the Americas, $138.3 million in EMEA (predominantly in the UK) and the remaining $59.8 million in Asia Pacific (predominantly in the Philippines and India) as of May 31, 2025.</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our cash, cash equivalents and restricted cash held in financial institutions in the event of a default, to the extent that such amounts are in excess of applicable insurance limits; however, we do not believe our concentration of cash, cash equivalents and restricted cash presents a significant credit risk as the counterparties to the instruments consist of multiple high-quality, credit-worthy financial institutions.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Swap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Term Facility matures on April 8, 2028, and the 2025 Revolving Facility matures on April 8, 2030. The 2025 Revolving Facility provides for up to $100.0 million in the form of letters of credit, up to $100.0 million in the form of swingline loans. We may seek additional commitments of up to $1.0 billion under the 2025 Revolving Facility from lenders or other financial institutions.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Term Facility is subject to scheduled quarterly amortization payments, commencing on August 31, 2025, with each amortization payment equal to 1.25% of the original principal amount of the 2025 Term Facility. The 2025 Credit Facilities are not otherwise subject to any mandatory prepayments. We may voluntarily prepay loans under the 2025 Credit Facilities at any time without premium or penalty. Prepayments of the 2025 Term Facility shall be applied to reduce the subsequent scheduled amortization payments in direct order of maturity.</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May 31, 2025, we voluntarily prepaid $62.5 million under the 2025 Term Facility. From the effective date of the 2025 Revolving Facility through May 31, 2025, we have had no borrowings under the 2025 Revolving Facility.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the outstanding borrowings under the 2025 Credit Facilities bore interest at a rate equal to the applicable one-month Term SOFR plus a 0.975% spread (comprised of a 0.875% interest rate margin based on a pricing grid determined by reference to our senior unsecured non-credit enhanced long-term debt rating and our total leverage ratio, plus a 0.1% credit spread adjustment).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2025 Revolving Facility using a pricing grid based on our senior unsecured non-credit enhanced long-term debt rating and our total leverage ratio. The commitment fee remained consistent at 0.1% through May 31, 2025. Debt issuance costs related to the 2025 Credit Facilities were $3.4 million.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Term Facility, originally due to mature on March 1, 2025, was repaid in full following $125.0 million of repayments made during the six months ended February 28, 2025. During the nine months ended May 31, 2025, we borrowed $305.0 million and repaid $555.0 million under the 2022 Revolving Facility. The 2022 Credit Agreement was terminated on April 8, 2025, concurrent with entering into the 2025 Credit Agreement.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Swap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24, 2025, we entered into an interest rate swap agreement ("2025 Swap Agreement) to hedge a portion of our outstanding floating SOFR debt with a fixed interest rate of 4.086%. The 2025 Swap Agreement matures on February 28,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to hedge a portion of our outstanding floating SOFR debt with a fixed interest rate of 5.145%. The 2024 Swap Agreement matured on February 28,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(the "2022 Swap Agreement") to hedge a portion of our outstanding floating SOFR debt with a fixed interest rate of 1.162%. The 2022 Swap Agreement matured on February 28, 2024.</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more information on our interest rate swap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Stockholders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returned $312.2 million and $283.2 million to our stockholders in the form of share repurchases and dividends during the nine months ended May 31, 2025 and May 31, 2024, respectively. Over the last 12 months, we returned $414.9 million to our stockholders in the form of share repurchases and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During the three and nine months ended May 31, 202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we repurchased 184,050 shares for $80.7 million and 425,239 shares for $193.8 million, respectively. For the three and nine months ended May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 repurchased 135,150 shares for $59.8 million and 384,150 shares for $171.9 million, respectively.</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There is no defined number of shares to be repurchased over a specified timeframe through the life of our share repurchase program. On September 17, 2024, our Board of Directors authorized up to $300 million for share repurchases during fiscal 2025. As of May 31, 2025, $106.2 million remained authorized under our share repurchase program. On June 17, 2025, our Board of Directors authorized up to $400 million for share repurchases on or after September 1, 2025 through September 30, 2026. 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2025, our Board of Directors approved a 6% increase in the regular quarterly dividend from $1.04 to $1.10 per share. Fiscal 2025 marks the 26th consecutive fiscal year we have increased dividends on a stock split-adjusted basis, highlighting our continued commitment to returning value to our stockholders. During the nine months ended May 31, 2025 and May 31, 2024, we paid dividends of $118.3 million and $111.3 million, respectively. Future cash dividend payments are subject to final determination by our Board of Directors and will depend on our earnings, capital requirements, financial condition and other relevant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May 31, 2025, capital expenditures increased by 25.3% to $74.8 million, compared with $59.7 million for the same period a year ago. This increase was primarily due to higher capitalized costs related to the development of our internal-use software.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acquisitions with the most significant cash flows during fiscal 2024 through the third quarter of fiscal 2025 included Liquid Holdings, LLC ("LiquidityBook") and Platform Group Limited ("Irwin"). 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on these acquisitions.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LiquidityBook</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7, 2025 we completed the acquisition of LiquidityBook for a purchase price of $243.2 million, net of cash acquired, and inclusive of preliminary working capital adjustments. The purchase price includes contingent consideration of $11.9 million which reflects the acquisition date fair value of potential future payments that are contingent upon the achievement of certain specified milestones.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Irwin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we completed the acquisition of Irwin for a purchase price of $120.2 million, net of cash acquired, and inclusive of working capital adjustments. The purchase price includes contingent consideration of $9.6 million which reflects the acquisition date fair value of potential future payments that are contingent upon the achievement of certain specified milestones. We finalized the purchase accounting for the Irwin acquisition during the third quarter of fiscal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recent successful partnership between FactSet and Irwin, and expands our ability to address the holistic workflow needs of investor relations professionals with an integrated, modern solution.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2024, we had total purchase obligations with suppliers and vendors of $382.6 million. Our total purchase obligatio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ns as of August 31, 2024 primarily related to hosting services, acquisition of data and, to a lesser extent, third-party software providers. For the nine months ended May 31, 2025, we had no new material purchase obligations.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information regarding lease commitments and outstanding debt obligations,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514,160</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(23,017)</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(369,373)</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(264,715)</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(199,327)</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(402,908)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203,581</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(80,274)</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May 31, 2025, net cash provided by operating activities was $514.2 million, which included net income of $443.4 million, non-cash charges of $195.9 million and a net cash outflow of $125.1 million to support our working capital requirements. The non-cash charges were primarily driven by depreciation and amortization. The change in our working capital was primarily driven by cash outflows related to payments to resolve an outstanding sales tax dispute and timing of client collections.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May 31, 2024, net cash provided by operating activities was $537.2 million, which included net income of $447.6 million, non-cash charges of $161.6 million and a net cash outflow of $72.0 million to support our working capital requirements. The non-cash charges were primarily driven by depreciation and amortization and stock-based compensation expense. The change in our working capital was primarily driven by cash outflows related to our annual variable compensation payment and lease payments.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2025, net cash used in investing activities was $369.4 million. The cash used in investing activities primarily consisted of $348.3 million of acquisition-related consideration related mainly to the Irwin and LiquidityBook transactions and $74.8 million of capital expenditures driven by the capitalization of internal-use software development costs, partially offset by $58.2 million in proceeds from our investments in mutual funds.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2024, net cash used in investing activities was $104.7 million. The cash used in investing activities was primarily related to capital expenditures of $59.7 million mainly driven by the capitalization of internal-use software development costs and $44.9 million in investments, primarily related to the purchase of mutual funds.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May 31, 2025, net cash used in financing activities was $199.3 million, consisting mainly of $742.5 million related primarily to the repayment of the 2022 Credit Facilities, $193.8 million of share repurchases and $118.3 million of dividend payments, partially offset by $803.4 million of proceeds from borrowings under the 2025 Term Facility and the 2022 Revolving Facility, in periods prior to its termination, and $72.6 million of proceeds from employee stock plans.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2024, net cash used in financing activities was $402.9 million, consisting mainly of $187.5 million related to the partial repayment of the 2022 Term Facility, $171.9 million of share repurchases and $111.3 million of dividend payments, partially offset by $83.5 million of proceeds from employee stock plans.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5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May 31,</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514,160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537,177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(23,017)</w:t>
            </w:r>
          </w:p>
        </w:tc>
        <w:tc>
          <w:tcPr>
            <w:tcW w:w="0" w:type="dxa"/>
            <w:vAlign w:val="bottom"/>
          </w:tcPr>
          <w:p>
            <w:pPr>
              <w:spacing w:after="0"/>
              <w:rPr>
                <w:sz w:val="1"/>
                <w:szCs w:val="1"/>
                <w:color w:val="auto"/>
              </w:rPr>
            </w:pPr>
          </w:p>
        </w:tc>
      </w:tr>
      <w:tr>
        <w:trPr>
          <w:trHeight w:val="184"/>
        </w:trPr>
        <w:tc>
          <w:tcPr>
            <w:tcW w:w="6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internal-use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(74,840)</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(59,722)</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439,320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477,455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generated free cash flow of $439.3 million during the nine months ended May 31, 2025, a decrease of $38.1 million compared with the same period a year ago. This decrease was driven by a $23.0 million reduction in cash provided by operating activities due to an increase in working capital requirements and higher PPE mainly from capitalized costs related to the development of our internal-use software. The increase in working capital requirements was mainly due to the resolution of a sales tax dispute and timing of client collections.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May 31, 2025 and August 31, 2024, we had no off-balance sheet financing other than letters of credit incurred in the ordinary course of business.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letters of credit.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and August 31, 2024,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nine months ended May 31, 2025 and May 31, 2024, we maintained a series of foreign currency forward contracts to hedge a portion of our projected operating expenses in our primary currency exposures, namely the British Pound Sterling, Euro, Indian Rupee and Philippine Peso. As of May 31, 2025, the hedge maturity periods of our outstanding foreign currency forward contracts range from the fourth quarter of fiscal 2025 through the third quarter of fiscal 2026.</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 May 31, 2025 and August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color w:val="auto"/>
              </w:rPr>
              <w:t>May 31, 2025</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8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4,573,733</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4,651,351</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40,917</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2,009,542</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1,850,674</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183,596</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more information on our foreign currency exposures.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3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2024. These accounting policies were consistently applied in preparing our Consolidated Financial Statements for the nine months ended May 31, 2025.</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of our Annual Report on Form 10-K for the fiscal year ended August 31, 2024. There were no significant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estimates during the nine months ended May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accounting pronouncements recently adopted and those issued but not yet adopted, refer to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the Consolidated Financial Statements included in Part I, Item 1. of this Quarterly Report on Form 10-Q, which we include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nine months ended May 31, 2025, we maintained a series of foreign currency forward contracts to hedge a portion of our projected operating expenses in these primary currency exposures, namely the British Pound Sterling, Euro, Indian Rupee and Philippine Peso. As of May 31, 2025, the hedge maturity periods of our outstanding foreign currency forward contracts range from the fourth quarter of fiscal 2025 through the third quarter of fiscal 2026. Based on the operating income for the three and nine months ended May 31, 2025, comparing the average foreign currency exchange rates for the th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ree and nine months ended May 31, 2025 to the rates for the three and nine months ended May 31, 2024, net of hedge activity, resulted in an increase in operating income of $1.1 million and $1.3 million, respectively. We utilize cash flow hedges to manage risk and not for speculative or trading purposes.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May 31, 2025, relative to the other foreign currencies in which we transact. The sensitivity analysis indicated that a devaluation of the U.S. dollar by 10% would have increased the fair value of our outstanding forward contracts by approximately $18 million as of May 31, 2025 and decreased our operating income, excluding these forward contracts, by an estimated $34 million for nine months ended May 31, 2025.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foreign currency exposures and our foreign currency forward contracts.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Risk</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9"/>
                <w:szCs w:val="19"/>
                <w:color w:val="auto"/>
              </w:rPr>
            </w:pPr>
          </w:p>
        </w:tc>
        <w:tc>
          <w:tcPr>
            <w:tcW w:w="24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May 31,</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May 31,</w:t>
            </w:r>
          </w:p>
        </w:tc>
        <w:tc>
          <w:tcPr>
            <w:tcW w:w="980" w:type="dxa"/>
            <w:vAlign w:val="bottom"/>
          </w:tcPr>
          <w:p>
            <w:pPr>
              <w:spacing w:after="0"/>
              <w:rPr>
                <w:sz w:val="20"/>
                <w:szCs w:val="20"/>
                <w:color w:val="auto"/>
              </w:rPr>
            </w:pPr>
          </w:p>
        </w:tc>
      </w:tr>
      <w:tr>
        <w:trPr>
          <w:trHeight w:val="27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38,456 $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8,911 $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May 31, 2025, we had Cash and cash equivalents of $356.4 million and Investments of $7.7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more information on our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our outstanding floating rate debt included $437.5 million under the 2025 Credit Agreement. As of May 31, 2025, the outstanding borrowings under the 2025 Credit Agreement bore interest at a rate equal to the applicable one-month Term SOFR plus a 0.975% spread (comprised of a 0.875% interest rate margin based on a debt leverage pricing grid plus a 0.1% credit spread adjustment).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mitigate our exposure to interest rate volatility due to changes in SOFR, we entered into the 2025 Swap Agreement on April 24, 2025, to hedge a portion of our outstanding floating SOFR debt with a fixed interest rate of 4.086%. As of May 31, 2025, the 2025 Swap Agreement has a notional amount of $150.0 million and matures on February 28, 2026.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Notes have a fixed interest rate and are not subject to interest rate change. As such, our interest rate exposure as of May 31, 2025 is limited to the outstanding principal balance of our floating rate debt under our 2025 Credit Facilities in excess of the 2025 Swap Agreement. As of May 31, 2025, our interest rate exposure equals the Term SOFR applied to $287.5 million, our outstanding debt, net of our 2025 Swap Agreement. Assuming the principal balance of our outstanding floating rate debt, net of the 2025 Swap Agreement, remained at $287.5 million, a hypothetical 25 basis point change (up or down) in the one-month SOFR would result in an approximate $1 million change to our annual interest expense as of May 31, 2025.</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swap agreements and outstanding borrowings as of May 31, 2025,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Based on the evaluation of our disclosure controls and procedures, our Principal Executive Officer and Principal Financial Officer have concluded that, as a result of material weaknesses in our internal control over financial reporting identified in connection with the preparation and audit of our Consolidated Financial Statements for the year ended August 31, 2024, our disclosure controls and procedures were not effective as of May 31, 2025.</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 management has concluded the Consolidated Financial Statements included in this Quarterly Report on Form 10-Q present fairly, in all material respects, our financial position, results of operations and cash flows for the periods presented in conformity with U.S. GAAP.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included in our Annual Report on Form 10-K for the fiscal year ended August 31, 2024, management identified certain control deficiencies related to the design and operation of our information technology (“IT”) general controls (“ITGCs”) that support our revenues, accounts receivable, and deferred revenues processes which, in the aggregate, rise to a material weakness in internal control over financial reporting. The deficiencies related to program change management and user access in connection with segregation of duties and restriction to appropriate users. As a result, the automated controls and IT dependent manual business process controls that rely upon information from the affected financial applications were also deemed not effective. Management has also concluded the material weakness existed in fiscal 2023.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full consideration to the material weakness, and the additional analyses and other procedures we performed to ensure that our Consolidated Financial Statements included in this Quarterly Report on Form 10-Q were prepared in accordance with GAAP, our management has concluded that our Consolidated Financial Statements present fairly, in all material respects, our financial position, results of operations and cash flows for the periods disclosed in conformity with GAAP. We have developed and are implementing a remediation plan for the material weakness, which is described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committed to remediating the material weakness in a timely manner. We are in the process of implementing and enhancing our internal controls related to the design and operation of our ITGCs that support our revenues, accounts receivable, and deferred revenues processes. As previously disclosed in our Annual Report on Form 10-K for the fiscal year ended August 31, 2024, our remediation plan includes, but is not limited to: (i) increasing timely reviews of IT system changes made; (ii) rationalizing access privileges for developer system users; (iii) implementing or modifying controls related to program change management and certain computer operations; and (iv) training of relevant personnel on the design and operation of any new or modified ITGCs.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steps are subject to ongoing management review, as well as oversight by the Audit Committee of our Board of Directors. Additional or modified measures may also be required to remediate the material weakness. We believe that these actions, collectively, will remediate the material weakness identified. However, we will not be able to conclude that we have completely remediated the material weakness until the applicable controls are fully implemented and operated for a sufficient period of time and management has concluded, through formal testing, that the remediated controls are operating effectively. We expect to complete these remediation measures in fiscal 2025. We will continue to monitor the design and effectiveness of these and other processes, procedures, and controls and will make any further changes management deems appropriate.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our remediation efforts will be fully effective. If these remediation efforts do not prove effective and control deficiencies and material weaknesses persist or occur in the future, the accuracy and timing of our financial reporting may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we are implementing our remediation plan related to the material weakness. There have been no changes in our internal control over financial reporting (as such term is defined in Rules 13a-15(f) and 15d-15(f) under the Exchange Act) during the three and nine months ended May 31, 2025 that have materially affected, or are reasonably likely to materially affect, our internal control over financial reporting.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included in Part I, Item 1., to this Quarterly Report on Form 10-Q is incorporated by reference in answer to this Item.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addition to the other information set forth in this Quarterly Report on Form 10-Q, you should carefully consider the risk factors we have previously disclosed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Form 10-K, and the updated risk factor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may impair our financial condition and operations and restrict our activities or our ability to satisfy our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indebtedness could have important consequences for our business, including making it more difficult to satisfy our obligations, increasing our vulnerability to general adverse economic and industry conditions, limiting our flexibility in planning for, or reacting to, changes in our business and the industry in which we operate, and placing us at a competitive disadvantage compared to our peers.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meet our payment and other obligations under our debt depends on our ability to generate sufficient cash flow in the future. We cannot be certain that our business will generate cash flow from operations, or that future borrowings will be available to us under our existing or any future credit facilities or otherwise, in an amount sufficient to enable us to meet our indebtedness obligations and to fund other liquidity needs. Certain of our borrowings are based upon variable interest rates, and although we leverage interest rate swap agreements to manage a portion of our floating interest rate exposure, in the event of increases in interest rates, this could result in higher interest expense.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are subject to certain covenants, including financial covenants and certain limitations on the incurrence of additional debt, the creation of liens, the ability to enter certain transactions, and other matters. These covenants could adversely affect our ability to finance our future operations or capital needs and pursue available business opportunities. Events beyond our control, including changes in general economic and business conditions, may affect our ability to meet required financial covenants. A breach of any of these covenants or any other restrictive covenants contained in the definitive documentation governing our indebtedness would result in a default or an event of default, which could result in all of our debt becoming</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immediately due and payable or require us to negotiate an amendment to financial or other covenants that could cause us to incur additional fees and 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new debt is added to our current debt levels, the risks described above could intensify.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May 31, 2025:</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7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purchased as part of publicly Approximate dollar value of shares</w:t>
            </w:r>
          </w:p>
        </w:tc>
        <w:tc>
          <w:tcPr>
            <w:tcW w:w="0" w:type="dxa"/>
            <w:vAlign w:val="bottom"/>
          </w:tcPr>
          <w:p>
            <w:pPr>
              <w:spacing w:after="0"/>
              <w:rPr>
                <w:sz w:val="1"/>
                <w:szCs w:val="1"/>
                <w:color w:val="auto"/>
              </w:rPr>
            </w:pPr>
          </w:p>
        </w:tc>
      </w:tr>
      <w:tr>
        <w:trPr>
          <w:trHeight w:val="189"/>
        </w:trPr>
        <w:tc>
          <w:tcPr>
            <w:tcW w:w="18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300" w:type="dxa"/>
            <w:vAlign w:val="bottom"/>
          </w:tcPr>
          <w:p>
            <w:pPr>
              <w:spacing w:after="0"/>
              <w:rPr>
                <w:sz w:val="16"/>
                <w:szCs w:val="16"/>
                <w:color w:val="auto"/>
              </w:rPr>
            </w:pPr>
          </w:p>
        </w:tc>
        <w:tc>
          <w:tcPr>
            <w:tcW w:w="1640" w:type="dxa"/>
            <w:vAlign w:val="bottom"/>
          </w:tcPr>
          <w:p>
            <w:pPr>
              <w:jc w:val="right"/>
              <w:ind w:right="370"/>
              <w:spacing w:after="0" w:line="189" w:lineRule="exact"/>
              <w:rPr>
                <w:sz w:val="20"/>
                <w:szCs w:val="20"/>
                <w:color w:val="auto"/>
              </w:rPr>
            </w:pPr>
            <w:r>
              <w:rPr>
                <w:rFonts w:ascii="Times New Roman" w:cs="Times New Roman" w:eastAsia="Times New Roman" w:hAnsi="Times New Roman"/>
                <w:sz w:val="18"/>
                <w:szCs w:val="18"/>
                <w:color w:val="auto"/>
              </w:rPr>
              <w:t>Average price</w:t>
            </w:r>
          </w:p>
        </w:tc>
        <w:tc>
          <w:tcPr>
            <w:tcW w:w="2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20" w:type="dxa"/>
            <w:vAlign w:val="bottom"/>
          </w:tcPr>
          <w:p>
            <w:pPr>
              <w:spacing w:after="0"/>
              <w:rPr>
                <w:sz w:val="16"/>
                <w:szCs w:val="16"/>
                <w:color w:val="auto"/>
              </w:rPr>
            </w:pPr>
          </w:p>
        </w:tc>
        <w:tc>
          <w:tcPr>
            <w:tcW w:w="2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9"/>
              </w:rPr>
              <w:t>that may yet be purchased under</w:t>
            </w:r>
          </w:p>
        </w:tc>
        <w:tc>
          <w:tcPr>
            <w:tcW w:w="0" w:type="dxa"/>
            <w:vAlign w:val="bottom"/>
          </w:tcPr>
          <w:p>
            <w:pPr>
              <w:spacing w:after="0"/>
              <w:rPr>
                <w:sz w:val="1"/>
                <w:szCs w:val="1"/>
                <w:color w:val="auto"/>
              </w:rPr>
            </w:pPr>
          </w:p>
        </w:tc>
      </w:tr>
      <w:tr>
        <w:trPr>
          <w:trHeight w:val="229"/>
        </w:trPr>
        <w:tc>
          <w:tcPr>
            <w:tcW w:w="186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10"/>
                <w:szCs w:val="10"/>
                <w:color w:val="auto"/>
              </w:rPr>
              <w:t>(1)</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paid per share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r>
              <w:rPr>
                <w:rFonts w:ascii="Times New Roman" w:cs="Times New Roman" w:eastAsia="Times New Roman" w:hAnsi="Times New Roman"/>
                <w:sz w:val="10"/>
                <w:szCs w:val="10"/>
                <w:color w:val="auto"/>
              </w:rPr>
              <w:t>(2)</w:t>
            </w: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the plans or programs</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440.07</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160,256</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425.94</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130,931</w:t>
            </w: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106,162</w:t>
            </w:r>
          </w:p>
        </w:tc>
        <w:tc>
          <w:tcPr>
            <w:tcW w:w="0" w:type="dxa"/>
            <w:vAlign w:val="bottom"/>
          </w:tcPr>
          <w:p>
            <w:pPr>
              <w:spacing w:after="0"/>
              <w:rPr>
                <w:sz w:val="1"/>
                <w:szCs w:val="1"/>
                <w:color w:val="auto"/>
              </w:rPr>
            </w:pPr>
          </w:p>
        </w:tc>
      </w:tr>
      <w:tr>
        <w:trPr>
          <w:trHeight w:val="228"/>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185,684</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184,050</w:t>
            </w: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56" w:name="page57"/>
    <w:bookmarkEnd w:id="56"/>
    <w:p>
      <w:pPr>
        <w:ind w:left="660" w:hanging="328"/>
        <w:spacing w:after="0" w:line="280"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184,050 shares purchased under the stock repurchase program, as well as 1,634 shares repurchased to satisfy withholding tax obligations due upon the vesting of stock-based awards.</w:t>
      </w:r>
    </w:p>
    <w:p>
      <w:pPr>
        <w:spacing w:after="0" w:line="16" w:lineRule="exact"/>
        <w:rPr>
          <w:rFonts w:ascii="Times New Roman" w:cs="Times New Roman" w:eastAsia="Times New Roman" w:hAnsi="Times New Roman"/>
          <w:sz w:val="16"/>
          <w:szCs w:val="16"/>
          <w:color w:val="auto"/>
        </w:rPr>
      </w:pPr>
    </w:p>
    <w:p>
      <w:pPr>
        <w:jc w:val="both"/>
        <w:ind w:left="660" w:hanging="328"/>
        <w:spacing w:after="0" w:line="259"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17, 2024, our Board of Directors authorized up to $300 million for share repurchases, which are available during fiscal 2025. As of May 31, 2025, $106.2 million remained authorized under our share repurchase program. On June 17, 2025, our Board of Directors authorized up to $400 million for share repurchases on or after September 1, 2025 through September 30, 2026.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26, 2024, we entered into an agreement to adopt a trading arrangement for the repurchase of shares of our common stock in the open market consistent with the provisions of Rule 10b5-1 of the Exchange Act. The arrangement provides for the repurchase of up to $250 million of our common stock during the period from September 27, 2024 through August 28, 2025 pursuant to a written algorithm for determining the amount, price and date for purchase of shares of our common stock. On June 24, 2025, we terminated this arrangement and entered a new trading arrangement for the repurchase of shares of our common stock in the open market consistent with the provisions of Rule 10b5-1 of the Exchange Act. This arrangement provides for the repurchase of up to $76 million of our common stock during the period from June 24, 2025 through August 28, 2025 pursuant to a written algorithm for determining the amount, price and date for purchase of shares of our common stock.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(as defined in Section 16 of the Exchange Act), adopted or terminated a Rule 10b5-1 trading arrangement or a non-Rule 10b5-1 trading arrangement (each as defined in Item 408(a) and (c) of Regulation S-K) during the quarter ended May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3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496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6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1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10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Exhibit No.</w:t>
            </w:r>
          </w:p>
        </w:tc>
        <w:tc>
          <w:tcPr>
            <w:tcW w:w="21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Filing Date   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Description</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960" w:type="dxa"/>
            <w:vAlign w:val="bottom"/>
            <w:gridSpan w:val="16"/>
          </w:tcPr>
          <w:p>
            <w:pPr>
              <w:spacing w:after="0" w:line="187"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Credit Agreement dated April 8, 2025, among FactSet Research</w:t>
              </w:r>
            </w:hyperlink>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Borders>
              <w:left w:val="single" w:sz="8" w:color="auto"/>
            </w:tcBorders>
          </w:tcPr>
          <w:p>
            <w:pPr>
              <w:spacing w:after="0"/>
              <w:rPr>
                <w:sz w:val="13"/>
                <w:szCs w:val="13"/>
                <w:color w:val="auto"/>
              </w:rPr>
            </w:pPr>
          </w:p>
        </w:tc>
        <w:tc>
          <w:tcPr>
            <w:tcW w:w="320" w:type="dxa"/>
            <w:vAlign w:val="bottom"/>
            <w:vMerge w:val="restart"/>
          </w:tcPr>
          <w:p>
            <w:pPr>
              <w:spacing w:after="0"/>
              <w:rPr>
                <w:rFonts w:ascii="Times New Roman" w:cs="Times New Roman" w:eastAsia="Times New Roman" w:hAnsi="Times New Roman"/>
                <w:sz w:val="18"/>
                <w:szCs w:val="18"/>
                <w:color w:val="0000FF"/>
                <w:w w:val="95"/>
              </w:rPr>
            </w:pPr>
            <w:hyperlink r:id="rId74">
              <w:r>
                <w:rPr>
                  <w:rFonts w:ascii="Times New Roman" w:cs="Times New Roman" w:eastAsia="Times New Roman" w:hAnsi="Times New Roman"/>
                  <w:sz w:val="18"/>
                  <w:szCs w:val="18"/>
                  <w:color w:val="0000FF"/>
                  <w:w w:val="95"/>
                </w:rPr>
                <w:t>10.1</w:t>
              </w:r>
            </w:hyperlink>
          </w:p>
        </w:tc>
        <w:tc>
          <w:tcPr>
            <w:tcW w:w="980" w:type="dxa"/>
            <w:vAlign w:val="bottom"/>
          </w:tcPr>
          <w:p>
            <w:pPr>
              <w:spacing w:after="0"/>
              <w:rPr>
                <w:sz w:val="13"/>
                <w:szCs w:val="13"/>
                <w:color w:val="auto"/>
              </w:rPr>
            </w:pPr>
          </w:p>
        </w:tc>
        <w:tc>
          <w:tcPr>
            <w:tcW w:w="46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74">
              <w:r>
                <w:rPr>
                  <w:rFonts w:ascii="Times New Roman" w:cs="Times New Roman" w:eastAsia="Times New Roman" w:hAnsi="Times New Roman"/>
                  <w:sz w:val="18"/>
                  <w:szCs w:val="18"/>
                  <w:color w:val="0000FF"/>
                  <w:w w:val="98"/>
                </w:rPr>
                <w:t>Systems Inc., the borrowing subsidiaries from time to time party</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001-11869</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2100" w:type="dxa"/>
            <w:vAlign w:val="bottom"/>
            <w:tcBorders>
              <w:right w:val="single" w:sz="8" w:color="auto"/>
            </w:tcBorders>
            <w:vMerge w:val="restart"/>
          </w:tcPr>
          <w:p>
            <w:pPr>
              <w:ind w:left="440"/>
              <w:spacing w:after="0"/>
              <w:rPr>
                <w:sz w:val="20"/>
                <w:szCs w:val="20"/>
                <w:color w:val="auto"/>
              </w:rPr>
            </w:pPr>
            <w:r>
              <w:rPr>
                <w:rFonts w:ascii="Times New Roman" w:cs="Times New Roman" w:eastAsia="Times New Roman" w:hAnsi="Times New Roman"/>
                <w:sz w:val="18"/>
                <w:szCs w:val="18"/>
                <w:color w:val="auto"/>
              </w:rPr>
              <w:t>4/8/2025</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1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40" w:type="dxa"/>
            <w:vAlign w:val="bottom"/>
            <w:tcBorders>
              <w:left w:val="single" w:sz="8" w:color="auto"/>
            </w:tcBorders>
            <w:vMerge w:val="restart"/>
          </w:tcPr>
          <w:p>
            <w:pPr>
              <w:spacing w:after="0"/>
              <w:rPr>
                <w:sz w:val="5"/>
                <w:szCs w:val="5"/>
                <w:color w:val="auto"/>
              </w:rPr>
            </w:pPr>
          </w:p>
        </w:tc>
        <w:tc>
          <w:tcPr>
            <w:tcW w:w="320" w:type="dxa"/>
            <w:vAlign w:val="bottom"/>
            <w:tcBorders>
              <w:bottom w:val="single" w:sz="8" w:color="0000FF"/>
            </w:tcBorders>
            <w:vMerge w:val="continue"/>
          </w:tcPr>
          <w:p>
            <w:pPr>
              <w:spacing w:after="0"/>
              <w:rPr>
                <w:sz w:val="5"/>
                <w:szCs w:val="5"/>
                <w:color w:val="auto"/>
              </w:rPr>
            </w:pPr>
          </w:p>
        </w:tc>
        <w:tc>
          <w:tcPr>
            <w:tcW w:w="980" w:type="dxa"/>
            <w:vAlign w:val="bottom"/>
            <w:vMerge w:val="restart"/>
          </w:tcPr>
          <w:p>
            <w:pPr>
              <w:spacing w:after="0"/>
              <w:rPr>
                <w:sz w:val="5"/>
                <w:szCs w:val="5"/>
                <w:color w:val="auto"/>
              </w:rPr>
            </w:pPr>
          </w:p>
        </w:tc>
        <w:tc>
          <w:tcPr>
            <w:tcW w:w="20" w:type="dxa"/>
            <w:vAlign w:val="bottom"/>
            <w:vMerge w:val="continue"/>
          </w:tcPr>
          <w:p>
            <w:pPr>
              <w:spacing w:after="0"/>
              <w:rPr>
                <w:sz w:val="5"/>
                <w:szCs w:val="5"/>
                <w:color w:val="auto"/>
              </w:rPr>
            </w:pPr>
          </w:p>
        </w:tc>
        <w:tc>
          <w:tcPr>
            <w:tcW w:w="4940" w:type="dxa"/>
            <w:vAlign w:val="bottom"/>
            <w:gridSpan w:val="15"/>
            <w:vMerge w:val="restart"/>
          </w:tcPr>
          <w:p>
            <w:pPr>
              <w:spacing w:after="0" w:line="16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thereto, the lenders from time to time party thereto, and PNC Bank,</w:t>
              </w:r>
            </w:hyperlink>
          </w:p>
        </w:tc>
        <w:tc>
          <w:tcPr>
            <w:tcW w:w="6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0" w:type="dxa"/>
            <w:vAlign w:val="bottom"/>
            <w:tcBorders>
              <w:left w:val="single" w:sz="8" w:color="auto"/>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940" w:type="dxa"/>
            <w:vAlign w:val="bottom"/>
            <w:gridSpan w:val="15"/>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2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National Association, as the administrative agent</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8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10.2</w:t>
            </w:r>
          </w:p>
        </w:tc>
        <w:tc>
          <w:tcPr>
            <w:tcW w:w="49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Employment Agreement dated May 28, 2025 between FactSet</w:t>
            </w: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340" w:type="dxa"/>
            <w:vAlign w:val="bottom"/>
            <w:tcBorders>
              <w:left w:val="single" w:sz="8" w:color="auto"/>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340" w:type="dxa"/>
            <w:vAlign w:val="bottom"/>
            <w:tcBorders>
              <w:left w:val="single" w:sz="8" w:color="auto"/>
            </w:tcBorders>
            <w:gridSpan w:val="3"/>
            <w:vMerge w:val="continue"/>
          </w:tcPr>
          <w:p>
            <w:pPr>
              <w:spacing w:after="0"/>
              <w:rPr>
                <w:sz w:val="5"/>
                <w:szCs w:val="5"/>
                <w:color w:val="auto"/>
              </w:rPr>
            </w:pPr>
          </w:p>
        </w:tc>
        <w:tc>
          <w:tcPr>
            <w:tcW w:w="4960" w:type="dxa"/>
            <w:vAlign w:val="bottom"/>
            <w:gridSpan w:val="16"/>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Research Systems Inc. and Sanoke Viswanathan</w:t>
            </w: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0" w:type="dxa"/>
            <w:vAlign w:val="bottom"/>
            <w:tcBorders>
              <w:left w:val="single" w:sz="8" w:color="auto"/>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980" w:type="dxa"/>
            <w:vAlign w:val="bottom"/>
          </w:tcPr>
          <w:p>
            <w:pPr>
              <w:spacing w:after="0"/>
              <w:rPr>
                <w:sz w:val="6"/>
                <w:szCs w:val="6"/>
                <w:color w:val="auto"/>
              </w:rPr>
            </w:pPr>
          </w:p>
        </w:tc>
        <w:tc>
          <w:tcPr>
            <w:tcW w:w="4960" w:type="dxa"/>
            <w:vAlign w:val="bottom"/>
            <w:gridSpan w:val="16"/>
            <w:vMerge w:val="continue"/>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8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49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w:t>
            </w: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3"/>
            <w:vMerge w:val="continue"/>
          </w:tcPr>
          <w:p>
            <w:pPr>
              <w:spacing w:after="0"/>
              <w:rPr>
                <w:sz w:val="13"/>
                <w:szCs w:val="13"/>
                <w:color w:val="auto"/>
              </w:rPr>
            </w:pPr>
          </w:p>
        </w:tc>
        <w:tc>
          <w:tcPr>
            <w:tcW w:w="47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3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3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49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Rule 13a-</w:t>
            </w: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3"/>
            <w:vMerge w:val="continue"/>
          </w:tcPr>
          <w:p>
            <w:pPr>
              <w:spacing w:after="0"/>
              <w:rPr>
                <w:sz w:val="13"/>
                <w:szCs w:val="13"/>
                <w:color w:val="auto"/>
              </w:rPr>
            </w:pPr>
          </w:p>
        </w:tc>
        <w:tc>
          <w:tcPr>
            <w:tcW w:w="468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3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476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w:t>
            </w:r>
          </w:p>
        </w:tc>
        <w:tc>
          <w:tcPr>
            <w:tcW w:w="20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3"/>
            <w:vMerge w:val="continue"/>
          </w:tcPr>
          <w:p>
            <w:pPr>
              <w:spacing w:after="0"/>
              <w:rPr>
                <w:sz w:val="13"/>
                <w:szCs w:val="13"/>
                <w:color w:val="auto"/>
              </w:rPr>
            </w:pPr>
          </w:p>
        </w:tc>
        <w:tc>
          <w:tcPr>
            <w:tcW w:w="496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w:t>
            </w: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9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3"/>
          </w:tcPr>
          <w:p>
            <w:pPr>
              <w:ind w:left="40"/>
              <w:spacing w:after="0" w:line="156" w:lineRule="exact"/>
              <w:rPr>
                <w:sz w:val="20"/>
                <w:szCs w:val="20"/>
                <w:color w:val="auto"/>
              </w:rPr>
            </w:pPr>
            <w:r>
              <w:rPr>
                <w:rFonts w:ascii="Times New Roman" w:cs="Times New Roman" w:eastAsia="Times New Roman" w:hAnsi="Times New Roman"/>
                <w:sz w:val="18"/>
                <w:szCs w:val="18"/>
                <w:color w:val="0000FF"/>
              </w:rPr>
              <w:t>32.2</w:t>
            </w:r>
          </w:p>
        </w:tc>
        <w:tc>
          <w:tcPr>
            <w:tcW w:w="47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w:t>
            </w:r>
          </w:p>
        </w:tc>
        <w:tc>
          <w:tcPr>
            <w:tcW w:w="2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2"/>
              </w:rPr>
              <w:t>Act</w:t>
            </w: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00" w:type="dxa"/>
            <w:vAlign w:val="bottom"/>
            <w:tcBorders>
              <w:right w:val="single" w:sz="8" w:color="auto"/>
            </w:tcBorders>
          </w:tcPr>
          <w:p>
            <w:pPr>
              <w:ind w:left="112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96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9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49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49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9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49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14"/>
                <w:szCs w:val="14"/>
                <w:color w:val="auto"/>
              </w:rPr>
            </w:pPr>
          </w:p>
        </w:tc>
        <w:tc>
          <w:tcPr>
            <w:tcW w:w="496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49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960" w:type="dxa"/>
            <w:vAlign w:val="bottom"/>
            <w:tcBorders>
              <w:bottom w:val="single" w:sz="8" w:color="auto"/>
            </w:tcBorders>
            <w:gridSpan w:val="16"/>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80" w:type="dxa"/>
            <w:vAlign w:val="bottom"/>
            <w:gridSpan w:val="7"/>
          </w:tcPr>
          <w:p>
            <w:pPr>
              <w:ind w:left="420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July 3, 2025</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HELEN L. SHAN</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Helen L. Shan</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60" w:name="page61"/>
    <w:bookmarkEnd w:id="60"/>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71"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47" w:lineRule="exact"/>
        <w:rPr>
          <w:sz w:val="20"/>
          <w:szCs w:val="20"/>
          <w:color w:val="auto"/>
        </w:rPr>
      </w:pPr>
    </w:p>
    <w:p>
      <w:pPr>
        <w:jc w:val="both"/>
        <w:ind w:left="3" w:right="100" w:firstLine="639"/>
        <w:spacing w:after="0" w:line="259"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May 28,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between FactSet Research Systems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together with its subsidiaries,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and Sanoke Viswanathan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left="3" w:right="100" w:firstLine="64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parties hereto desire to enter into this Agreement, pursuant to which Executive will serve as the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 of the Company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with the commencement of employment to begin on September 1, 2025 or such other date as mutually agreed upon by the parties (the date on which Executive actually commences employment with the Company, the “</w:t>
      </w:r>
      <w:r>
        <w:rPr>
          <w:rFonts w:ascii="Times New Roman" w:cs="Times New Roman" w:eastAsia="Times New Roman" w:hAnsi="Times New Roman"/>
          <w:sz w:val="22"/>
          <w:szCs w:val="22"/>
          <w:u w:val="single" w:color="auto"/>
          <w:color w:val="auto"/>
        </w:rPr>
        <w:t>Start Date</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left="3" w:right="120"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and agreements hereinafter set forth and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of which are hereby acknowledged, the parties hereto agree as follows:</w:t>
      </w:r>
    </w:p>
    <w:p>
      <w:pPr>
        <w:spacing w:after="0" w:line="194" w:lineRule="exact"/>
        <w:rPr>
          <w:sz w:val="20"/>
          <w:szCs w:val="20"/>
          <w:color w:val="auto"/>
        </w:rPr>
      </w:pPr>
    </w:p>
    <w:p>
      <w:pPr>
        <w:ind w:left="643" w:right="100" w:hanging="642"/>
        <w:spacing w:after="0" w:line="253" w:lineRule="auto"/>
        <w:tabs>
          <w:tab w:leader="none" w:pos="4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 Certain Activities</w:t>
      </w:r>
      <w:r>
        <w:rPr>
          <w:rFonts w:ascii="Times New Roman" w:cs="Times New Roman" w:eastAsia="Times New Roman" w:hAnsi="Times New Roman"/>
          <w:sz w:val="22"/>
          <w:szCs w:val="22"/>
          <w:color w:val="auto"/>
        </w:rPr>
        <w:t xml:space="preserve">. Executive’s employment with the Company under the terms and conditions of this Agreement will commence on the Start Date and will continue in effect until the termination of Executive’s employment in accordance with the terms and conditions of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Executive will be employed by the Company as an at-will employee and therefore Executive’s employment may be terminated by either party at any time, subject to the Company’s By-Laws and the provisions of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Location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303" w:hanging="654"/>
        <w:spacing w:after="0" w:line="256" w:lineRule="auto"/>
        <w:tabs>
          <w:tab w:leader="none" w:pos="113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will be employed by the Company as its CEO pursuant to the terms of this Agreement and will report directly and exclusively to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at all times during the Term. Executive shall be nominated, and agrees to serve without additional compensation, as a member of the Board during the Term.</w:t>
      </w:r>
    </w:p>
    <w:p>
      <w:pPr>
        <w:spacing w:after="0" w:line="216" w:lineRule="exact"/>
        <w:rPr>
          <w:rFonts w:ascii="Times New Roman" w:cs="Times New Roman" w:eastAsia="Times New Roman" w:hAnsi="Times New Roman"/>
          <w:sz w:val="22"/>
          <w:szCs w:val="22"/>
          <w:color w:val="auto"/>
        </w:rPr>
      </w:pPr>
    </w:p>
    <w:p>
      <w:pPr>
        <w:ind w:left="1303" w:hanging="654"/>
        <w:spacing w:after="0" w:line="257" w:lineRule="auto"/>
        <w:tabs>
          <w:tab w:leader="none" w:pos="113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location of Executive’s employment with the Company will be at the Company’s offices in Norwalk, Connecticut, or, if permitted by the Board, New York, New York, although Executive understands and agrees that Executive may be required to travel from time to time for business reasons.</w:t>
      </w:r>
    </w:p>
    <w:p>
      <w:pPr>
        <w:spacing w:after="0" w:line="213" w:lineRule="exact"/>
        <w:rPr>
          <w:rFonts w:ascii="Times New Roman" w:cs="Times New Roman" w:eastAsia="Times New Roman" w:hAnsi="Times New Roman"/>
          <w:sz w:val="22"/>
          <w:szCs w:val="22"/>
          <w:color w:val="auto"/>
        </w:rPr>
      </w:pPr>
    </w:p>
    <w:p>
      <w:pPr>
        <w:ind w:left="643" w:hanging="642"/>
        <w:spacing w:after="0" w:line="251" w:lineRule="auto"/>
        <w:tabs>
          <w:tab w:leader="none" w:pos="46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Responsibilities; Exclusivity</w:t>
      </w:r>
      <w:r>
        <w:rPr>
          <w:rFonts w:ascii="Times New Roman" w:cs="Times New Roman" w:eastAsia="Times New Roman" w:hAnsi="Times New Roman"/>
          <w:sz w:val="22"/>
          <w:szCs w:val="22"/>
          <w:color w:val="auto"/>
        </w:rPr>
        <w:t>. During the Term, Executive will (a) be a full-time employee of the Company, (b) perform such duties, and have such authority as is customary for Executive’s role at companies of a similar size and nature to the Company Group and, to the extent consistent with Executive’s CEO role, as reasonably requested by the Board from time to time, (c) Executive will be the most senior officer of the Company Group, and all other senior officers of the Company Group will report directly or indirectly to Executive (unless otherwise determined by Executive, or as required by applicable law</w:t>
      </w:r>
    </w:p>
    <w:p>
      <w:pPr>
        <w:sectPr>
          <w:pgSz w:w="11900" w:h="16838" w:orient="portrait"/>
          <w:cols w:equalWidth="0" w:num="1">
            <w:col w:w="11143"/>
          </w:cols>
          <w:pgMar w:left="417" w:top="1440" w:right="339" w:bottom="1440" w:gutter="0" w:footer="0" w:header="0"/>
        </w:sectPr>
      </w:pPr>
    </w:p>
    <w:bookmarkStart w:id="61" w:name="page62"/>
    <w:bookmarkEnd w:id="61"/>
    <w:p>
      <w:pPr>
        <w:spacing w:after="0" w:line="387" w:lineRule="exact"/>
        <w:rPr>
          <w:sz w:val="20"/>
          <w:szCs w:val="20"/>
          <w:color w:val="auto"/>
        </w:rPr>
      </w:pPr>
    </w:p>
    <w:p>
      <w:pPr>
        <w:jc w:val="both"/>
        <w:ind w:left="643"/>
        <w:spacing w:after="0" w:line="248" w:lineRule="auto"/>
        <w:rPr>
          <w:sz w:val="20"/>
          <w:szCs w:val="20"/>
          <w:color w:val="auto"/>
        </w:rPr>
      </w:pPr>
      <w:r>
        <w:rPr>
          <w:rFonts w:ascii="Times New Roman" w:cs="Times New Roman" w:eastAsia="Times New Roman" w:hAnsi="Times New Roman"/>
          <w:sz w:val="22"/>
          <w:szCs w:val="22"/>
          <w:color w:val="auto"/>
        </w:rPr>
        <w:t xml:space="preserve">or the principles of good corporate governance), and (d) except for periods of authorized vacation, disability or other approved leave, devote Executive’s full business time and attention to the business and affairs of the Company Group, and will not, without the prior written consent of the Board, (i) accept any other employment or consultancy, (ii) serve on the board of directors or similar body of any other entity, or (iii) engage in any other business activity for pecuniary advantage. Notwithstanding the foregoing, Executive may manage Executive’s personal investments and family affairs and perform and participate in charitable, civic, educational, professional, community and other related activities, in each case, to the extent such activities do not conflict or materially interfere, individually or in the aggregate, with Executive’s duties and responsibilities to the Company Group and do not breach any restrictive covenants in favor of the Company Group to which Executive is bound, including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Executive is permitted to continue to serve on the boards of directors of the entities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will resign from any such boards of directors if required to do so by the Board.</w:t>
      </w:r>
    </w:p>
    <w:p>
      <w:pPr>
        <w:spacing w:after="0" w:line="229" w:lineRule="exact"/>
        <w:rPr>
          <w:sz w:val="20"/>
          <w:szCs w:val="20"/>
          <w:color w:val="auto"/>
        </w:rPr>
      </w:pPr>
    </w:p>
    <w:p>
      <w:pPr>
        <w:ind w:left="383" w:hanging="383"/>
        <w:spacing w:after="0"/>
        <w:tabs>
          <w:tab w:leader="none" w:pos="38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303" w:hanging="655"/>
        <w:spacing w:after="0" w:line="250" w:lineRule="auto"/>
        <w:tabs>
          <w:tab w:leader="none" w:pos="117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will pay Executive a base salary in the amount of $1,000,000 per annum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xml:space="preserve">”) during the Term (subject to annual review and which may be increased (but not decreased) in the discretion of the Board), payable in such installments as the Company pays other similarly situated individuals. References to the “Board”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be inclusive of any committee of the Board that has been delegated applicable authority to make such determinations.</w:t>
      </w:r>
    </w:p>
    <w:p>
      <w:pPr>
        <w:spacing w:after="0" w:line="221" w:lineRule="exact"/>
        <w:rPr>
          <w:rFonts w:ascii="Times New Roman" w:cs="Times New Roman" w:eastAsia="Times New Roman" w:hAnsi="Times New Roman"/>
          <w:sz w:val="22"/>
          <w:szCs w:val="22"/>
          <w:color w:val="auto"/>
        </w:rPr>
      </w:pPr>
    </w:p>
    <w:p>
      <w:pPr>
        <w:ind w:left="1123" w:hanging="475"/>
        <w:spacing w:after="0"/>
        <w:tabs>
          <w:tab w:leader="none" w:pos="112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1943" w:right="100" w:hanging="646"/>
        <w:spacing w:after="0" w:line="250" w:lineRule="auto"/>
        <w:tabs>
          <w:tab w:leader="none" w:pos="1893"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fiscal year of the Company that begins during the Term, beginning with fiscal year 2026 (regardless of Executive’s Start Date), Executive will be eligible for an annual bonus (the “</w:t>
      </w:r>
      <w:r>
        <w:rPr>
          <w:rFonts w:ascii="Times New Roman" w:cs="Times New Roman" w:eastAsia="Times New Roman" w:hAnsi="Times New Roman"/>
          <w:sz w:val="22"/>
          <w:szCs w:val="22"/>
          <w:u w:val="single" w:color="auto"/>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with a target bonus amount equal to 200% of Base Salary, subject to annual review and which may be increased (but not decreased) in the discretion of the Board (the then-applicable target bonus,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amount of the Annual Bonus earned for any fiscal year to be determined in the sole discretion of the Board, based on performance criteria established by the Board in consultation with Executive.</w:t>
      </w:r>
    </w:p>
    <w:p>
      <w:pPr>
        <w:spacing w:after="0" w:line="220" w:lineRule="exact"/>
        <w:rPr>
          <w:rFonts w:ascii="Times New Roman" w:cs="Times New Roman" w:eastAsia="Times New Roman" w:hAnsi="Times New Roman"/>
          <w:sz w:val="22"/>
          <w:szCs w:val="22"/>
          <w:color w:val="auto"/>
        </w:rPr>
      </w:pPr>
    </w:p>
    <w:p>
      <w:pPr>
        <w:ind w:left="1943" w:right="100" w:hanging="646"/>
        <w:spacing w:after="0" w:line="253" w:lineRule="auto"/>
        <w:tabs>
          <w:tab w:leader="none" w:pos="1785"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Annual Bonus that becomes payable to Executive under this Agreement shall be paid to Executive in cash in full, no later than two and one-half months following the end of the fiscal year of the Company to which it relates;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otherwise provided herein, Executive is an active employee of the Company, and has not given or received notice of termination or resignation of employment, in each case, as of the payment date to which the Annual Bonus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43"/>
          </w:cols>
          <w:pgMar w:left="417" w:top="1440" w:right="339" w:bottom="1440" w:gutter="0" w:footer="0" w:header="0"/>
        </w:sectPr>
      </w:pPr>
    </w:p>
    <w:bookmarkStart w:id="62" w:name="page63"/>
    <w:bookmarkEnd w:id="62"/>
    <w:p>
      <w:pPr>
        <w:spacing w:after="0" w:line="387" w:lineRule="exact"/>
        <w:rPr>
          <w:sz w:val="20"/>
          <w:szCs w:val="20"/>
          <w:color w:val="auto"/>
        </w:rPr>
      </w:pPr>
    </w:p>
    <w:p>
      <w:pPr>
        <w:ind w:left="1303" w:hanging="654"/>
        <w:spacing w:after="0" w:line="246" w:lineRule="auto"/>
        <w:tabs>
          <w:tab w:leader="none" w:pos="112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Award</w:t>
      </w:r>
      <w:r>
        <w:rPr>
          <w:rFonts w:ascii="Times New Roman" w:cs="Times New Roman" w:eastAsia="Times New Roman" w:hAnsi="Times New Roman"/>
          <w:sz w:val="22"/>
          <w:szCs w:val="22"/>
          <w:color w:val="auto"/>
        </w:rPr>
        <w:t>. For each fiscal year of the Company that begins during the Term, beginning with fiscal year 2028, Executive will be eligible to receive annual equity awards (“</w:t>
      </w:r>
      <w:r>
        <w:rPr>
          <w:rFonts w:ascii="Times New Roman" w:cs="Times New Roman" w:eastAsia="Times New Roman" w:hAnsi="Times New Roman"/>
          <w:sz w:val="22"/>
          <w:szCs w:val="22"/>
          <w:u w:val="single" w:color="auto"/>
          <w:color w:val="auto"/>
        </w:rPr>
        <w:t>Annual Equity Award</w:t>
      </w:r>
      <w:r>
        <w:rPr>
          <w:rFonts w:ascii="Times New Roman" w:cs="Times New Roman" w:eastAsia="Times New Roman" w:hAnsi="Times New Roman"/>
          <w:sz w:val="22"/>
          <w:szCs w:val="22"/>
          <w:color w:val="auto"/>
        </w:rPr>
        <w:t>”) in accordance with the terms of the Plan (as defined below) and applicable award agreement(s) with a target grant date value of eleven million dollars ($11,000,000), subject to annual review by the Board (the then-applicable target grant date value, the “</w:t>
      </w:r>
      <w:r>
        <w:rPr>
          <w:rFonts w:ascii="Times New Roman" w:cs="Times New Roman" w:eastAsia="Times New Roman" w:hAnsi="Times New Roman"/>
          <w:sz w:val="22"/>
          <w:szCs w:val="22"/>
          <w:u w:val="single" w:color="auto"/>
          <w:color w:val="auto"/>
        </w:rPr>
        <w:t>Target Equity Award</w:t>
      </w:r>
      <w:r>
        <w:rPr>
          <w:rFonts w:ascii="Times New Roman" w:cs="Times New Roman" w:eastAsia="Times New Roman" w:hAnsi="Times New Roman"/>
          <w:sz w:val="22"/>
          <w:szCs w:val="22"/>
          <w:color w:val="auto"/>
        </w:rPr>
        <w:t>”). The Annual Equity Awards may be granted in the form of stock options,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performance-based RSUs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or any other form award permitted by the Plan, as determined by the Board in its discretion in consultation with Executive, and will be subject to the terms and conditions, including performance as applicable, as set forth in the applicable award agreement provided by the Company. For fiscal year 2026, the Annual Equity Award (the "</w:t>
      </w:r>
      <w:r>
        <w:rPr>
          <w:rFonts w:ascii="Times New Roman" w:cs="Times New Roman" w:eastAsia="Times New Roman" w:hAnsi="Times New Roman"/>
          <w:sz w:val="22"/>
          <w:szCs w:val="22"/>
          <w:u w:val="single" w:color="auto"/>
          <w:color w:val="auto"/>
        </w:rPr>
        <w:t>FY 2026 Option Award</w:t>
      </w:r>
      <w:r>
        <w:rPr>
          <w:rFonts w:ascii="Times New Roman" w:cs="Times New Roman" w:eastAsia="Times New Roman" w:hAnsi="Times New Roman"/>
          <w:sz w:val="22"/>
          <w:szCs w:val="22"/>
          <w:color w:val="auto"/>
        </w:rPr>
        <w:t>") will be granted solely in the form of a performance-vesting option with a grant date value of twenty-two million dollars ($22,000,000) that will be subject to the terms and conditions set forth in the Plan and in an award agreement which will not be inconsistent with the provisions of this Agreement, which will provide that the option will vest, subject to continued service, if, during the five (5) year performance period ending on the fifth (5th) anniversary of the grant date, the Company's common stock achieves a thirty (30) day trailing volume-weighted average price (measured on a rolling basis during the performance period) equal to or greater than one and a half times (1.5x) the thirty (30) day trailing volume- weighted average price ending on the grant date. The FY 2026 Option Award will not be exercisable prior to the third (3rd) anniversary of the grant date and will have a term of ten (10) years after the grant date. Upon a Change of Control (as defined below), the FY 2026 Option Award will have performance measured, and will be determined to either vest (and become exercisable in accordance with its terms to the extent that it remains outstanding following such Change of Control) or forfeit, as of the Change of Control based on the price paid (whether in cash, property or a mix of both) per share of common stock of the Company (after taking account of all applicable adjustments set forth in the purchase agreement, whether occurring at or after the closing of the transactions contemplated by such purchase agreement). Executive will not be eligible to receive any Annual Equity Award in fiscal year 2027.</w:t>
      </w:r>
    </w:p>
    <w:p>
      <w:pPr>
        <w:spacing w:after="0" w:line="243"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One-Time Awards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303" w:hanging="654"/>
        <w:spacing w:after="0" w:line="253" w:lineRule="auto"/>
        <w:tabs>
          <w:tab w:leader="none" w:pos="120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Make-Whole Cash Award</w:t>
      </w:r>
      <w:r>
        <w:rPr>
          <w:rFonts w:ascii="Times New Roman" w:cs="Times New Roman" w:eastAsia="Times New Roman" w:hAnsi="Times New Roman"/>
          <w:sz w:val="22"/>
          <w:szCs w:val="22"/>
          <w:color w:val="auto"/>
        </w:rPr>
        <w:t>. Upon Executive’s presentation of supporting materials reasonably satisfactory to the Board evidencing that Executive’s 2025 incentive compensation from Executive’s current employer will not be paid to Executive, Executive will receive a three million dollar ($3,000,000) one-time cash payment, paid on or promptly following, but no later than thirty (30) days after the Start Date, or if later, as soon as practicable following receipt and substantiation of such supporting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43"/>
          </w:cols>
          <w:pgMar w:left="417" w:top="1440" w:right="339" w:bottom="1440" w:gutter="0" w:footer="0" w:header="0"/>
        </w:sectPr>
      </w:pPr>
    </w:p>
    <w:bookmarkStart w:id="63" w:name="page64"/>
    <w:bookmarkEnd w:id="63"/>
    <w:p>
      <w:pPr>
        <w:spacing w:after="0" w:line="387" w:lineRule="exact"/>
        <w:rPr>
          <w:sz w:val="20"/>
          <w:szCs w:val="20"/>
          <w:color w:val="auto"/>
        </w:rPr>
      </w:pPr>
    </w:p>
    <w:p>
      <w:pPr>
        <w:ind w:left="1303" w:right="100" w:hanging="654"/>
        <w:spacing w:after="0" w:line="256" w:lineRule="auto"/>
        <w:tabs>
          <w:tab w:leader="none" w:pos="115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Awards</w:t>
      </w:r>
      <w:r>
        <w:rPr>
          <w:rFonts w:ascii="Times New Roman" w:cs="Times New Roman" w:eastAsia="Times New Roman" w:hAnsi="Times New Roman"/>
          <w:sz w:val="22"/>
          <w:szCs w:val="22"/>
          <w:color w:val="auto"/>
        </w:rPr>
        <w:t>. Upon Executive’s presentation of supporting materials reasonably satisfactory to the Board evidencing that Executive’s outstanding unvested equity awards provided by Executive’s current employer have been forfeited, Executive will receive the following payment (the “</w:t>
      </w:r>
      <w:r>
        <w:rPr>
          <w:rFonts w:ascii="Times New Roman" w:cs="Times New Roman" w:eastAsia="Times New Roman" w:hAnsi="Times New Roman"/>
          <w:sz w:val="22"/>
          <w:szCs w:val="22"/>
          <w:u w:val="single" w:color="auto"/>
          <w:color w:val="auto"/>
        </w:rPr>
        <w:t>Cash Replacement Award</w:t>
      </w:r>
      <w:r>
        <w:rPr>
          <w:rFonts w:ascii="Times New Roman" w:cs="Times New Roman" w:eastAsia="Times New Roman" w:hAnsi="Times New Roman"/>
          <w:sz w:val="22"/>
          <w:szCs w:val="22"/>
          <w:color w:val="auto"/>
        </w:rPr>
        <w:t>”) and grants of RSUs and PSUs (the “</w:t>
      </w:r>
      <w:r>
        <w:rPr>
          <w:rFonts w:ascii="Times New Roman" w:cs="Times New Roman" w:eastAsia="Times New Roman" w:hAnsi="Times New Roman"/>
          <w:sz w:val="22"/>
          <w:szCs w:val="22"/>
          <w:u w:val="single" w:color="auto"/>
          <w:color w:val="auto"/>
        </w:rPr>
        <w:t>Equity Replacement Awards</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ind w:left="1943" w:right="100" w:hanging="646"/>
        <w:spacing w:after="0" w:line="256" w:lineRule="auto"/>
        <w:tabs>
          <w:tab w:leader="none" w:pos="175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one-time cash award of ten million dollars ($10,000,000), subject to immediate repayment of the gross amount by Executive to the Company if Executive’s employment with the Company is terminated by the Company for Cause (as defined below) or by Executive without Good Reason (as defined below) prior to the first anniversary of the Start Date;</w:t>
      </w:r>
    </w:p>
    <w:p>
      <w:pPr>
        <w:spacing w:after="0" w:line="216" w:lineRule="exact"/>
        <w:rPr>
          <w:rFonts w:ascii="Times New Roman" w:cs="Times New Roman" w:eastAsia="Times New Roman" w:hAnsi="Times New Roman"/>
          <w:sz w:val="22"/>
          <w:szCs w:val="22"/>
          <w:color w:val="auto"/>
        </w:rPr>
      </w:pPr>
    </w:p>
    <w:p>
      <w:pPr>
        <w:ind w:left="1943" w:right="100" w:hanging="646"/>
        <w:spacing w:after="0" w:line="257" w:lineRule="auto"/>
        <w:tabs>
          <w:tab w:leader="none" w:pos="186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 of RSUs (“</w:t>
      </w:r>
      <w:r>
        <w:rPr>
          <w:rFonts w:ascii="Times New Roman" w:cs="Times New Roman" w:eastAsia="Times New Roman" w:hAnsi="Times New Roman"/>
          <w:sz w:val="22"/>
          <w:szCs w:val="22"/>
          <w:u w:val="single" w:color="auto"/>
          <w:color w:val="auto"/>
        </w:rPr>
        <w:t>Initial RSUs</w:t>
      </w:r>
      <w:r>
        <w:rPr>
          <w:rFonts w:ascii="Times New Roman" w:cs="Times New Roman" w:eastAsia="Times New Roman" w:hAnsi="Times New Roman"/>
          <w:sz w:val="22"/>
          <w:szCs w:val="22"/>
          <w:color w:val="auto"/>
        </w:rPr>
        <w:t>”) with a grant date value of twenty-six million dollars ($26,000,000), subject to vesting twenty-five percent (25%) per year on each anniversary of the grant date subject to Executive’s continued service, except as otherwise provided herein; and</w:t>
      </w:r>
    </w:p>
    <w:p>
      <w:pPr>
        <w:spacing w:after="0" w:line="213" w:lineRule="exact"/>
        <w:rPr>
          <w:rFonts w:ascii="Times New Roman" w:cs="Times New Roman" w:eastAsia="Times New Roman" w:hAnsi="Times New Roman"/>
          <w:sz w:val="22"/>
          <w:szCs w:val="22"/>
          <w:color w:val="auto"/>
        </w:rPr>
      </w:pPr>
    </w:p>
    <w:p>
      <w:pPr>
        <w:jc w:val="both"/>
        <w:ind w:left="1943" w:right="100" w:hanging="646"/>
        <w:spacing w:after="0" w:line="256" w:lineRule="auto"/>
        <w:tabs>
          <w:tab w:leader="none" w:pos="193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 of PSUs (“</w:t>
      </w:r>
      <w:r>
        <w:rPr>
          <w:rFonts w:ascii="Times New Roman" w:cs="Times New Roman" w:eastAsia="Times New Roman" w:hAnsi="Times New Roman"/>
          <w:sz w:val="22"/>
          <w:szCs w:val="22"/>
          <w:u w:val="single" w:color="auto"/>
          <w:color w:val="auto"/>
        </w:rPr>
        <w:t>Initial PSUs</w:t>
      </w:r>
      <w:r>
        <w:rPr>
          <w:rFonts w:ascii="Times New Roman" w:cs="Times New Roman" w:eastAsia="Times New Roman" w:hAnsi="Times New Roman"/>
          <w:sz w:val="22"/>
          <w:szCs w:val="22"/>
          <w:color w:val="auto"/>
        </w:rPr>
        <w:t>”) with a target grant date value of ten million dollars ($10,000,000), subject to a three-year performance period with performance criteria to be established by the Board in consultation with Executive, subject to Executive’s continued service through the end of the performance period, except as otherwise provided herein.</w:t>
      </w:r>
    </w:p>
    <w:p>
      <w:pPr>
        <w:spacing w:after="0" w:line="217" w:lineRule="exact"/>
        <w:rPr>
          <w:sz w:val="20"/>
          <w:szCs w:val="20"/>
          <w:color w:val="auto"/>
        </w:rPr>
      </w:pPr>
    </w:p>
    <w:p>
      <w:pPr>
        <w:jc w:val="both"/>
        <w:ind w:left="1303" w:right="100"/>
        <w:spacing w:after="0" w:line="250" w:lineRule="auto"/>
        <w:rPr>
          <w:sz w:val="20"/>
          <w:szCs w:val="20"/>
          <w:color w:val="auto"/>
        </w:rPr>
      </w:pPr>
      <w:r>
        <w:rPr>
          <w:rFonts w:ascii="Times New Roman" w:cs="Times New Roman" w:eastAsia="Times New Roman" w:hAnsi="Times New Roman"/>
          <w:sz w:val="22"/>
          <w:szCs w:val="22"/>
          <w:color w:val="auto"/>
        </w:rPr>
        <w:t>The Cash Replacement Award will be paid, and the Equity Replacement Awards will be granted on or promptly following, but no later than thirty (30) days after the Start Date, or if later, as soon as practicable following receipt and substantiation of such supporting materials, and the Equity Replacement Awards will be subject to the terms and conditions of the Plan and the applicable award agreements provided by the Company, which agreements will not be inconsistent with the provisions of this Agreement. The number of shares underlying the Initial RSUs and the Initial PSUs will be determined based on the thirty (30) day trailing volume-weighted average price of the Company's stock prior to May 27, 2025.</w:t>
      </w:r>
    </w:p>
    <w:p>
      <w:pPr>
        <w:spacing w:after="0" w:line="221" w:lineRule="exact"/>
        <w:rPr>
          <w:sz w:val="20"/>
          <w:szCs w:val="20"/>
          <w:color w:val="auto"/>
        </w:rPr>
      </w:pPr>
    </w:p>
    <w:p>
      <w:pPr>
        <w:ind w:left="383" w:hanging="383"/>
        <w:spacing w:after="0"/>
        <w:tabs>
          <w:tab w:leader="none" w:pos="38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303" w:hanging="654"/>
        <w:spacing w:after="0" w:line="256" w:lineRule="auto"/>
        <w:tabs>
          <w:tab w:leader="none" w:pos="116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xml:space="preserve">. During the Term, Executive shall be eligible to participate in all employee benefit plans generally available to similarly situated senior executives of the Company as in effect from time to time, subject to the terms of such plans. Nothing in this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shall require the Company to guarantee the provision of any specific employee benefit to Executive.</w:t>
      </w:r>
    </w:p>
    <w:p>
      <w:pPr>
        <w:spacing w:after="0" w:line="216" w:lineRule="exact"/>
        <w:rPr>
          <w:rFonts w:ascii="Times New Roman" w:cs="Times New Roman" w:eastAsia="Times New Roman" w:hAnsi="Times New Roman"/>
          <w:sz w:val="22"/>
          <w:szCs w:val="22"/>
          <w:color w:val="auto"/>
        </w:rPr>
      </w:pPr>
    </w:p>
    <w:p>
      <w:pPr>
        <w:ind w:left="1303" w:right="100" w:hanging="654"/>
        <w:spacing w:after="0" w:line="257" w:lineRule="auto"/>
        <w:tabs>
          <w:tab w:leader="none" w:pos="116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Business Expenses</w:t>
      </w:r>
      <w:r>
        <w:rPr>
          <w:rFonts w:ascii="Times New Roman" w:cs="Times New Roman" w:eastAsia="Times New Roman" w:hAnsi="Times New Roman"/>
          <w:sz w:val="22"/>
          <w:szCs w:val="22"/>
          <w:color w:val="auto"/>
        </w:rPr>
        <w:t>. The Company will reimburse Executive for any expenses reasonably and necessarily incurred by Executive during the Term in furtherance of Executive’s duties hereunder, including travel, meals and accommodations, upon submission by Executive of vouchers or receipts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43"/>
          </w:cols>
          <w:pgMar w:left="417" w:top="1440" w:right="339" w:bottom="1440" w:gutter="0" w:footer="0" w:header="0"/>
        </w:sectPr>
      </w:pPr>
    </w:p>
    <w:bookmarkStart w:id="64" w:name="page65"/>
    <w:bookmarkEnd w:id="64"/>
    <w:p>
      <w:pPr>
        <w:spacing w:after="0" w:line="387" w:lineRule="exact"/>
        <w:rPr>
          <w:sz w:val="20"/>
          <w:szCs w:val="20"/>
          <w:color w:val="auto"/>
        </w:rPr>
      </w:pPr>
    </w:p>
    <w:p>
      <w:pPr>
        <w:ind w:left="1303"/>
        <w:spacing w:after="0"/>
        <w:rPr>
          <w:sz w:val="20"/>
          <w:szCs w:val="20"/>
          <w:color w:val="auto"/>
        </w:rPr>
      </w:pPr>
      <w:r>
        <w:rPr>
          <w:rFonts w:ascii="Times New Roman" w:cs="Times New Roman" w:eastAsia="Times New Roman" w:hAnsi="Times New Roman"/>
          <w:sz w:val="22"/>
          <w:szCs w:val="22"/>
          <w:color w:val="auto"/>
        </w:rPr>
        <w:t>compliance with such rules and policies relating thereto as the Company may from time to time adopt.</w:t>
      </w:r>
    </w:p>
    <w:p>
      <w:pPr>
        <w:spacing w:after="0" w:line="260" w:lineRule="exact"/>
        <w:rPr>
          <w:sz w:val="20"/>
          <w:szCs w:val="20"/>
          <w:color w:val="auto"/>
        </w:rPr>
      </w:pPr>
    </w:p>
    <w:p>
      <w:pPr>
        <w:ind w:left="1303" w:hanging="654"/>
        <w:spacing w:after="0" w:line="268" w:lineRule="auto"/>
        <w:tabs>
          <w:tab w:leader="none" w:pos="1165"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Relocation</w:t>
      </w:r>
      <w:r>
        <w:rPr>
          <w:rFonts w:ascii="Times New Roman" w:cs="Times New Roman" w:eastAsia="Times New Roman" w:hAnsi="Times New Roman"/>
          <w:sz w:val="21"/>
          <w:szCs w:val="21"/>
          <w:color w:val="auto"/>
        </w:rPr>
        <w:t>. Executive (but not his immediate family) will relocate to Connecticut or the greater New York City area no later than the Start Date. In connection with Executive’s relocation, Executive will be provided with relocation benefits under the Company’s Global Mobility Program, including relocation airfare for Executive, shipment of household goods, temporary accommodations for thirty (30) days, a tax briefing prior to relocation with accountants selected by the Company and assistance with tax preparation for the first transition year.</w:t>
      </w:r>
    </w:p>
    <w:p>
      <w:pPr>
        <w:spacing w:after="0" w:line="258" w:lineRule="exact"/>
        <w:rPr>
          <w:rFonts w:ascii="Times New Roman" w:cs="Times New Roman" w:eastAsia="Times New Roman" w:hAnsi="Times New Roman"/>
          <w:sz w:val="21"/>
          <w:szCs w:val="21"/>
          <w:color w:val="auto"/>
        </w:rPr>
      </w:pPr>
    </w:p>
    <w:p>
      <w:pPr>
        <w:ind w:left="1303" w:hanging="654"/>
        <w:spacing w:after="0" w:line="268" w:lineRule="auto"/>
        <w:tabs>
          <w:tab w:leader="none" w:pos="1163"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Expenses</w:t>
      </w:r>
      <w:r>
        <w:rPr>
          <w:rFonts w:ascii="Times New Roman" w:cs="Times New Roman" w:eastAsia="Times New Roman" w:hAnsi="Times New Roman"/>
          <w:sz w:val="21"/>
          <w:szCs w:val="21"/>
          <w:color w:val="auto"/>
        </w:rPr>
        <w:t>. Upon presentation of appropriate documentation, the Company will reimburse Executive for (i) up to one hundred twenty-five thousand dollars ($125,000) in travel expenses for Executive and his family to travel between London and New York, (ii) up to one hundred thousand dollars ($100,000) in attorney fees relating to the negotiation and execution of this Agreement, and (iii) up to twenty-five thousand dollars ($25,000) per fiscal year in accounting or tax advisory fees related to services performed under this Agreement.</w:t>
      </w:r>
    </w:p>
    <w:p>
      <w:pPr>
        <w:spacing w:after="0" w:line="258" w:lineRule="exact"/>
        <w:rPr>
          <w:rFonts w:ascii="Times New Roman" w:cs="Times New Roman" w:eastAsia="Times New Roman" w:hAnsi="Times New Roman"/>
          <w:sz w:val="21"/>
          <w:szCs w:val="21"/>
          <w:color w:val="auto"/>
        </w:rPr>
      </w:pPr>
    </w:p>
    <w:p>
      <w:pPr>
        <w:ind w:left="1303" w:hanging="654"/>
        <w:spacing w:after="0" w:line="257" w:lineRule="auto"/>
        <w:tabs>
          <w:tab w:leader="none" w:pos="119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Executive will be indemnified by the Company against any claims arising in connection with Executive’s service as an officer and director of the Company to the fullest extent permitted by Delaware law and the Company’s governance documents.</w:t>
      </w:r>
    </w:p>
    <w:p>
      <w:pPr>
        <w:spacing w:after="0" w:line="213"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303" w:hanging="654"/>
        <w:spacing w:after="0" w:line="249" w:lineRule="auto"/>
        <w:tabs>
          <w:tab w:leader="none" w:pos="116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Executive’s employment will terminate upon the earliest to occur of the following during the Term (such date,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(i) the date on which the Company provides notice to Executive of his termination for Disability (as defined below); (ii) the date of Executive’s death; (iii) the date on which the Company provides notice to Executive of his termination for Cause;</w:t>
      </w:r>
    </w:p>
    <w:p>
      <w:pPr>
        <w:spacing w:after="0" w:line="2" w:lineRule="exact"/>
        <w:rPr>
          <w:rFonts w:ascii="Times New Roman" w:cs="Times New Roman" w:eastAsia="Times New Roman" w:hAnsi="Times New Roman"/>
          <w:sz w:val="22"/>
          <w:szCs w:val="22"/>
          <w:color w:val="auto"/>
        </w:rPr>
      </w:pPr>
    </w:p>
    <w:p>
      <w:pPr>
        <w:jc w:val="both"/>
        <w:ind w:left="1303"/>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(iv) the date which is ninety (90) days following the date on which the Company provides notice to Executive of his termination without Cause,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during such notice period the Company shall (A) be under no obligation to assign any duties to Executive, (B) be entitled to exclude him from its premises, and require Executive not to contact any customers, vendors or employees of the Company Group, (C) be entitled to require Executive to resign from any director or officer positions he holds in the Company Group, (D) be entitled to require Executive to take any accrued but unused paid time off, and (E) be entitled to appoint another person to perform Executive’s duties jointly with Executive or in Executive’s place, in the Board’s sole discretion,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(1) the foregoing shall not affect Executive’s entitlement to receive Base Salary during such notice period and continue to participate in employee benefit plans, (2) the foregoing actions shall not constitute Good Reason and (3) the Board reserves the right in its sole discretion to immediately terminate Executive without Cause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43"/>
          </w:cols>
          <w:pgMar w:left="417" w:top="1440" w:right="439" w:bottom="1440" w:gutter="0" w:footer="0" w:header="0"/>
        </w:sectPr>
      </w:pPr>
    </w:p>
    <w:bookmarkStart w:id="65" w:name="page66"/>
    <w:bookmarkEnd w:id="65"/>
    <w:p>
      <w:pPr>
        <w:spacing w:after="0" w:line="387" w:lineRule="exact"/>
        <w:rPr>
          <w:sz w:val="20"/>
          <w:szCs w:val="20"/>
          <w:color w:val="auto"/>
        </w:rPr>
      </w:pPr>
    </w:p>
    <w:p>
      <w:pPr>
        <w:jc w:val="both"/>
        <w:ind w:left="654" w:right="100"/>
        <w:spacing w:after="0" w:line="250" w:lineRule="auto"/>
        <w:rPr>
          <w:sz w:val="20"/>
          <w:szCs w:val="20"/>
          <w:color w:val="auto"/>
        </w:rPr>
      </w:pPr>
      <w:r>
        <w:rPr>
          <w:rFonts w:ascii="Times New Roman" w:cs="Times New Roman" w:eastAsia="Times New Roman" w:hAnsi="Times New Roman"/>
          <w:sz w:val="22"/>
          <w:szCs w:val="22"/>
          <w:color w:val="auto"/>
        </w:rPr>
        <w:t xml:space="preserve">pay Base Salary for such period in lieu of ninety (90) days’ notice or any remaining portion of such notice period, as applicable; (v) the date which is ninety (90) days following the date on which Executive provides notice to the Company of Executive’s resignation without Good Reason (or such earlier date as the Company may decide in its sole discretion) or (vi) the date of Executive’s resignation for Good Reason in accordance with </w:t>
      </w:r>
      <w:r>
        <w:rPr>
          <w:rFonts w:ascii="Times New Roman" w:cs="Times New Roman" w:eastAsia="Times New Roman" w:hAnsi="Times New Roman"/>
          <w:sz w:val="22"/>
          <w:szCs w:val="22"/>
          <w:u w:val="single" w:color="auto"/>
          <w:color w:val="auto"/>
        </w:rPr>
        <w:t>Section 7(g)(v)</w:t>
      </w:r>
      <w:r>
        <w:rPr>
          <w:rFonts w:ascii="Times New Roman" w:cs="Times New Roman" w:eastAsia="Times New Roman" w:hAnsi="Times New Roman"/>
          <w:sz w:val="22"/>
          <w:szCs w:val="22"/>
          <w:color w:val="auto"/>
        </w:rPr>
        <w:t>. Upon any termination of employment hereunder, Executive shall resign from all positions held with the Company Group, including as a director or officer of any member of the Company Group, and as a trustee of any employee benefit plan or related trust.</w:t>
      </w:r>
    </w:p>
    <w:p>
      <w:pPr>
        <w:spacing w:after="0" w:line="207" w:lineRule="exact"/>
        <w:rPr>
          <w:sz w:val="20"/>
          <w:szCs w:val="20"/>
          <w:color w:val="auto"/>
        </w:rPr>
      </w:pPr>
    </w:p>
    <w:p>
      <w:pPr>
        <w:jc w:val="right"/>
        <w:ind w:left="654" w:right="100" w:hanging="654"/>
        <w:spacing w:after="0" w:line="261" w:lineRule="auto"/>
        <w:tabs>
          <w:tab w:leader="none" w:pos="50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Generally</w:t>
      </w:r>
      <w:r>
        <w:rPr>
          <w:rFonts w:ascii="Times New Roman" w:cs="Times New Roman" w:eastAsia="Times New Roman" w:hAnsi="Times New Roman"/>
          <w:sz w:val="21"/>
          <w:szCs w:val="21"/>
          <w:color w:val="auto"/>
        </w:rPr>
        <w:t xml:space="preserve">. If Executive’s employment with the Company terminates for any reason, Executive will not be entitled to any further compensation or benefits other than as set forth in </w:t>
      </w:r>
      <w:r>
        <w:rPr>
          <w:rFonts w:ascii="Times New Roman" w:cs="Times New Roman" w:eastAsia="Times New Roman" w:hAnsi="Times New Roman"/>
          <w:sz w:val="21"/>
          <w:szCs w:val="21"/>
          <w:u w:val="single" w:color="auto"/>
          <w:color w:val="auto"/>
        </w:rPr>
        <w:t>Sections 7(c)</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7(f)</w:t>
      </w:r>
      <w:r>
        <w:rPr>
          <w:rFonts w:ascii="Times New Roman" w:cs="Times New Roman" w:eastAsia="Times New Roman" w:hAnsi="Times New Roman"/>
          <w:sz w:val="21"/>
          <w:szCs w:val="21"/>
          <w:color w:val="auto"/>
        </w:rPr>
        <w:t xml:space="preserve"> and as follows, in each case if applicable as of the Termination Date: (i) any accrued but unpaid Base Salary, payable as provided in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(ii) reimbursement for any expenses properly incurred and reported by Executive prior to the Termination Date in accordance with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payable on the Company’s first regularly scheduled payroll date which occurs at least ten (10) business days after the Termination Date;</w:t>
      </w:r>
    </w:p>
    <w:p>
      <w:pPr>
        <w:jc w:val="both"/>
        <w:ind w:left="654" w:right="100" w:hanging="6"/>
        <w:spacing w:after="0" w:line="258" w:lineRule="auto"/>
        <w:tabs>
          <w:tab w:leader="none" w:pos="1045"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vested employee health, welfare (other than severance) and retirement benefits, if any, to which Executive may be entitled under the Company’s employee benefit plans described in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as of the Termination Date, including paid time off in accordance with Company policy and any vested rights with respect to equity awards issued under the Plan (or any successor thereto) to the extent not provided for in this Agreement; and</w:t>
      </w:r>
    </w:p>
    <w:p>
      <w:pPr>
        <w:spacing w:after="0" w:line="1" w:lineRule="exact"/>
        <w:rPr>
          <w:rFonts w:ascii="Times New Roman" w:cs="Times New Roman" w:eastAsia="Times New Roman" w:hAnsi="Times New Roman"/>
          <w:sz w:val="21"/>
          <w:szCs w:val="21"/>
          <w:color w:val="auto"/>
        </w:rPr>
      </w:pPr>
    </w:p>
    <w:p>
      <w:pPr>
        <w:ind w:left="1014" w:hanging="366"/>
        <w:spacing w:after="0"/>
        <w:tabs>
          <w:tab w:leader="none" w:pos="101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continued rights to indemnification under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Accrued Rights</w:t>
      </w:r>
      <w:r>
        <w:rPr>
          <w:rFonts w:ascii="Times New Roman" w:cs="Times New Roman" w:eastAsia="Times New Roman" w:hAnsi="Times New Roman"/>
          <w:sz w:val="22"/>
          <w:szCs w:val="22"/>
          <w:color w:val="auto"/>
        </w:rPr>
        <w:t>”).</w:t>
      </w:r>
    </w:p>
    <w:p>
      <w:pPr>
        <w:spacing w:after="0" w:line="236" w:lineRule="exact"/>
        <w:rPr>
          <w:rFonts w:ascii="Times New Roman" w:cs="Times New Roman" w:eastAsia="Times New Roman" w:hAnsi="Times New Roman"/>
          <w:sz w:val="22"/>
          <w:szCs w:val="22"/>
          <w:color w:val="auto"/>
        </w:rPr>
      </w:pPr>
    </w:p>
    <w:p>
      <w:pPr>
        <w:jc w:val="right"/>
        <w:ind w:left="654" w:hanging="654"/>
        <w:spacing w:after="0" w:line="259" w:lineRule="auto"/>
        <w:tabs>
          <w:tab w:leader="none" w:pos="52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without Cause or Resignation for Good Reason, Other than During the Change of Control Period</w:t>
      </w:r>
      <w:r>
        <w:rPr>
          <w:rFonts w:ascii="Times New Roman" w:cs="Times New Roman" w:eastAsia="Times New Roman" w:hAnsi="Times New Roman"/>
          <w:sz w:val="21"/>
          <w:szCs w:val="21"/>
          <w:color w:val="auto"/>
        </w:rPr>
        <w:t xml:space="preserve">. If Executive’s employment is terminated by the Company without Cause or Executive resigns for Good Reason, in each case, other than during the Change of Control Period (as defined below), then Executive will be entitled to receive the Accrued Rights, and if (x) Executive timely executes and does not revoke the release of claims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no later than thirty (30) days following the Termination Date (or such later date required by applicable law as determined by the Board or a designated committee thereof) (the effective date following the end of any applicable revocation period, the “</w:t>
      </w:r>
      <w:r>
        <w:rPr>
          <w:rFonts w:ascii="Times New Roman" w:cs="Times New Roman" w:eastAsia="Times New Roman" w:hAnsi="Times New Roman"/>
          <w:sz w:val="21"/>
          <w:szCs w:val="21"/>
          <w:u w:val="single" w:color="auto"/>
          <w:color w:val="auto"/>
        </w:rPr>
        <w:t>Release Effective Date</w:t>
      </w:r>
      <w:r>
        <w:rPr>
          <w:rFonts w:ascii="Times New Roman" w:cs="Times New Roman" w:eastAsia="Times New Roman" w:hAnsi="Times New Roman"/>
          <w:sz w:val="21"/>
          <w:szCs w:val="21"/>
          <w:color w:val="auto"/>
        </w:rPr>
        <w:t xml:space="preserve">”), and (y) Executive does not (x) breach </w:t>
      </w:r>
      <w:r>
        <w:rPr>
          <w:rFonts w:ascii="Times New Roman" w:cs="Times New Roman" w:eastAsia="Times New Roman" w:hAnsi="Times New Roman"/>
          <w:sz w:val="21"/>
          <w:szCs w:val="21"/>
          <w:u w:val="single" w:color="auto"/>
          <w:color w:val="auto"/>
        </w:rPr>
        <w:t>Sections 9(b)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9(e)</w:t>
      </w:r>
      <w:r>
        <w:rPr>
          <w:rFonts w:ascii="Times New Roman" w:cs="Times New Roman" w:eastAsia="Times New Roman" w:hAnsi="Times New Roman"/>
          <w:sz w:val="21"/>
          <w:szCs w:val="21"/>
          <w:color w:val="auto"/>
        </w:rPr>
        <w:t xml:space="preserve"> or (y) materially breach </w:t>
      </w:r>
      <w:r>
        <w:rPr>
          <w:rFonts w:ascii="Times New Roman" w:cs="Times New Roman" w:eastAsia="Times New Roman" w:hAnsi="Times New Roman"/>
          <w:sz w:val="21"/>
          <w:szCs w:val="21"/>
          <w:u w:val="single" w:color="auto"/>
          <w:color w:val="auto"/>
        </w:rPr>
        <w:t>Sections 9(c)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9(f)</w:t>
      </w:r>
      <w:r>
        <w:rPr>
          <w:rFonts w:ascii="Times New Roman" w:cs="Times New Roman" w:eastAsia="Times New Roman" w:hAnsi="Times New Roman"/>
          <w:sz w:val="21"/>
          <w:szCs w:val="21"/>
          <w:color w:val="auto"/>
        </w:rPr>
        <w:t xml:space="preserve"> or</w:t>
      </w:r>
    </w:p>
    <w:p>
      <w:pPr>
        <w:spacing w:after="0" w:line="6" w:lineRule="exact"/>
        <w:rPr>
          <w:rFonts w:ascii="Times New Roman" w:cs="Times New Roman" w:eastAsia="Times New Roman" w:hAnsi="Times New Roman"/>
          <w:sz w:val="21"/>
          <w:szCs w:val="21"/>
          <w:color w:val="auto"/>
        </w:rPr>
      </w:pPr>
    </w:p>
    <w:p>
      <w:pPr>
        <w:ind w:left="65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9(g)</w:t>
      </w:r>
      <w:r>
        <w:rPr>
          <w:rFonts w:ascii="Times New Roman" w:cs="Times New Roman" w:eastAsia="Times New Roman" w:hAnsi="Times New Roman"/>
          <w:sz w:val="22"/>
          <w:szCs w:val="22"/>
          <w:color w:val="auto"/>
        </w:rPr>
        <w:t>, then Executive will receive the following:</w:t>
      </w:r>
    </w:p>
    <w:p>
      <w:pPr>
        <w:spacing w:after="0" w:line="234" w:lineRule="exact"/>
        <w:rPr>
          <w:rFonts w:ascii="Times New Roman" w:cs="Times New Roman" w:eastAsia="Times New Roman" w:hAnsi="Times New Roman"/>
          <w:sz w:val="21"/>
          <w:szCs w:val="21"/>
          <w:color w:val="auto"/>
        </w:rPr>
      </w:pPr>
    </w:p>
    <w:p>
      <w:pPr>
        <w:ind w:left="1294" w:hanging="646"/>
        <w:spacing w:after="0" w:line="256" w:lineRule="auto"/>
        <w:tabs>
          <w:tab w:leader="none" w:pos="106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one and a half (1.5) times the sum of Executive’s then- applicable Base Salary and Target Bonus ("</w:t>
      </w:r>
      <w:r>
        <w:rPr>
          <w:rFonts w:ascii="Times New Roman" w:cs="Times New Roman" w:eastAsia="Times New Roman" w:hAnsi="Times New Roman"/>
          <w:sz w:val="22"/>
          <w:szCs w:val="22"/>
          <w:u w:val="single" w:color="auto"/>
          <w:color w:val="auto"/>
        </w:rPr>
        <w:t>General Severance</w:t>
      </w:r>
      <w:r>
        <w:rPr>
          <w:rFonts w:ascii="Times New Roman" w:cs="Times New Roman" w:eastAsia="Times New Roman" w:hAnsi="Times New Roman"/>
          <w:sz w:val="22"/>
          <w:szCs w:val="22"/>
          <w:color w:val="auto"/>
        </w:rPr>
        <w:t>"), payable in approximately equal installments over the eighteen (18) month period following the Termination Date, in accordance with Company payroll procedures, beginning on the next practicable payroll date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3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494"/>
          </w:cols>
          <w:pgMar w:left="1066" w:top="1440" w:right="339" w:bottom="1440" w:gutter="0" w:footer="0" w:header="0"/>
        </w:sectPr>
      </w:pPr>
    </w:p>
    <w:bookmarkStart w:id="66" w:name="page67"/>
    <w:bookmarkEnd w:id="66"/>
    <w:p>
      <w:pPr>
        <w:spacing w:after="0" w:line="3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Release Effective Date with the first such payment including amounts accrued from the Termination Date;</w:t>
      </w:r>
    </w:p>
    <w:p>
      <w:pPr>
        <w:spacing w:after="0" w:line="272" w:lineRule="exact"/>
        <w:rPr>
          <w:sz w:val="20"/>
          <w:szCs w:val="20"/>
          <w:color w:val="auto"/>
        </w:rPr>
      </w:pPr>
    </w:p>
    <w:p>
      <w:pPr>
        <w:jc w:val="both"/>
        <w:ind w:left="920" w:right="100" w:hanging="646"/>
        <w:spacing w:after="0" w:line="257" w:lineRule="auto"/>
        <w:tabs>
          <w:tab w:leader="none" w:pos="98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earned but unpaid Annual Bonus for the year immediately preceding the year in which the Termination Date occurs, paid as and when annual bonuses are paid generally by the Company to its senior executives for such year;</w:t>
      </w:r>
    </w:p>
    <w:p>
      <w:pPr>
        <w:spacing w:after="0" w:line="213" w:lineRule="exact"/>
        <w:rPr>
          <w:rFonts w:ascii="Times New Roman" w:cs="Times New Roman" w:eastAsia="Times New Roman" w:hAnsi="Times New Roman"/>
          <w:sz w:val="22"/>
          <w:szCs w:val="22"/>
          <w:color w:val="auto"/>
        </w:rPr>
      </w:pPr>
    </w:p>
    <w:p>
      <w:pPr>
        <w:ind w:left="920" w:right="100" w:hanging="646"/>
        <w:spacing w:after="0" w:line="250" w:lineRule="auto"/>
        <w:tabs>
          <w:tab w:leader="none" w:pos="8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pro-rated portion of the then-applicable Annual Bonus based on the number of days elapsed in the fiscal year in which the Termination Date occurs through the Termination Date with performance based on the actual level of achievement of the applicable performance goals (except that any performance goals based on Executive’s personal performance shall be treated as attained at no less than target level), and any other performance goals shall be deemed achieved at least at the level applicable to similarly situated active employees of the Company, paid as and when annual bonuses are paid generally by the Company to its senior executives for such year;</w:t>
      </w:r>
    </w:p>
    <w:p>
      <w:pPr>
        <w:spacing w:after="0" w:line="31" w:lineRule="exact"/>
        <w:rPr>
          <w:rFonts w:ascii="Times New Roman" w:cs="Times New Roman" w:eastAsia="Times New Roman" w:hAnsi="Times New Roman"/>
          <w:sz w:val="22"/>
          <w:szCs w:val="22"/>
          <w:color w:val="auto"/>
        </w:rPr>
      </w:pPr>
    </w:p>
    <w:p>
      <w:pPr>
        <w:jc w:val="both"/>
        <w:ind w:left="920" w:hanging="646"/>
        <w:spacing w:after="0" w:line="249" w:lineRule="auto"/>
        <w:tabs>
          <w:tab w:leader="none" w:pos="90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by the Company of the cost of Executive’s premiums for continued coverage under the group health plan of the Company (or other member of the Company Group) for Executives and Executive’s eligible dependents covered by the applicable group health plan as of the Termination Date, in an amount equal to the cost of such premiums paid by the Company (or applicable member of the Company Group) in order to provide Executive with participation in such plans at active employee rates (the “</w:t>
      </w:r>
      <w:r>
        <w:rPr>
          <w:rFonts w:ascii="Times New Roman" w:cs="Times New Roman" w:eastAsia="Times New Roman" w:hAnsi="Times New Roman"/>
          <w:sz w:val="22"/>
          <w:szCs w:val="22"/>
          <w:u w:val="single" w:color="auto"/>
          <w:color w:val="auto"/>
        </w:rPr>
        <w:t>Welfare Continuation Reimbursement</w:t>
      </w:r>
      <w:r>
        <w:rPr>
          <w:rFonts w:ascii="Times New Roman" w:cs="Times New Roman" w:eastAsia="Times New Roman" w:hAnsi="Times New Roman"/>
          <w:sz w:val="22"/>
          <w:szCs w:val="22"/>
          <w:color w:val="auto"/>
        </w:rPr>
        <w:t xml:space="preserve">”) for eighteen (18) months following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timely elects and enrolls in continuation coverage under COBRA, which reimbursement shall be payable directly to the sponsor of the applicable group health plan during the COBRA continuation period, commencing on the first day of the month following the Termination Date (or if later, the first day of the month following the Release Effective Date);</w:t>
      </w:r>
    </w:p>
    <w:p>
      <w:pPr>
        <w:spacing w:after="0" w:line="223" w:lineRule="exact"/>
        <w:rPr>
          <w:rFonts w:ascii="Times New Roman" w:cs="Times New Roman" w:eastAsia="Times New Roman" w:hAnsi="Times New Roman"/>
          <w:sz w:val="22"/>
          <w:szCs w:val="22"/>
          <w:color w:val="auto"/>
        </w:rPr>
      </w:pPr>
    </w:p>
    <w:p>
      <w:pPr>
        <w:ind w:left="920" w:right="120" w:hanging="646"/>
        <w:spacing w:after="0" w:line="257" w:lineRule="auto"/>
        <w:tabs>
          <w:tab w:leader="none" w:pos="78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outplacement assistance with a firm determined by the Company for up to one year following the Termination Date (or, if earlier, the date Executive commences employment with a subsequent employer), up to a maximum cost of $25,000 (the “</w:t>
      </w:r>
      <w:r>
        <w:rPr>
          <w:rFonts w:ascii="Times New Roman" w:cs="Times New Roman" w:eastAsia="Times New Roman" w:hAnsi="Times New Roman"/>
          <w:sz w:val="22"/>
          <w:szCs w:val="22"/>
          <w:u w:val="single" w:color="auto"/>
          <w:color w:val="auto"/>
        </w:rPr>
        <w:t>Outplacement Assistance</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left="920" w:right="100" w:hanging="646"/>
        <w:spacing w:after="0" w:line="256" w:lineRule="auto"/>
        <w:tabs>
          <w:tab w:leader="none" w:pos="85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RSUs will immediately vest and be settled no later than sixty (60) days after the Termination Date, and the Initial PSUs will remain outstanding for the duration of the performance period (without proration) and be eligible to vest based on actual achievement of the applicable performance criteria in accordance with the applicable equity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20"/>
          </w:cols>
          <w:pgMar w:left="1440" w:top="1440" w:right="339" w:bottom="1440" w:gutter="0" w:footer="0" w:header="0"/>
        </w:sectPr>
      </w:pPr>
    </w:p>
    <w:bookmarkStart w:id="67" w:name="page68"/>
    <w:bookmarkEnd w:id="67"/>
    <w:p>
      <w:pPr>
        <w:spacing w:after="0" w:line="387" w:lineRule="exact"/>
        <w:rPr>
          <w:sz w:val="20"/>
          <w:szCs w:val="20"/>
          <w:color w:val="auto"/>
        </w:rPr>
      </w:pPr>
    </w:p>
    <w:p>
      <w:pPr>
        <w:jc w:val="both"/>
        <w:ind w:left="1294" w:hanging="646"/>
        <w:spacing w:after="0" w:line="249" w:lineRule="auto"/>
        <w:tabs>
          <w:tab w:leader="none" w:pos="127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the FY 2026 Option Award is vested as of the Termination Date, the FY 2026 Option Award will remain outstanding and exercisable for the one year period following the Termination Date, but in no event beyond the scheduled expiration date and (B) if the FY 2026 Option Award is not vested as of the Termination Date, the FY 2026 Option Award will remain eligible to vest for a period of three (3) months following the Termination Date and (x) if the FY 2026 Option Award becomes vested during such period, it will remain outstanding and exercisable for the one year period following the Termination Date, but in no event beyond the scheduled expiration date, however (y) if the FY 2026 Option Award does not vest by the end of such period, then it will be forfeited;</w:t>
      </w:r>
    </w:p>
    <w:p>
      <w:pPr>
        <w:spacing w:after="0" w:line="222" w:lineRule="exact"/>
        <w:rPr>
          <w:rFonts w:ascii="Times New Roman" w:cs="Times New Roman" w:eastAsia="Times New Roman" w:hAnsi="Times New Roman"/>
          <w:sz w:val="22"/>
          <w:szCs w:val="22"/>
          <w:color w:val="auto"/>
        </w:rPr>
      </w:pPr>
    </w:p>
    <w:p>
      <w:pPr>
        <w:jc w:val="both"/>
        <w:ind w:left="1294" w:hanging="646"/>
        <w:spacing w:after="0" w:line="248" w:lineRule="auto"/>
        <w:tabs>
          <w:tab w:leader="none" w:pos="131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outstanding Company equity awards held by Executive on the Termination Date will be treated as follows: (v) the next unvested tranche of all time-based stock options and RSUs that is scheduled to vest pursuant to the applicable award agreement on the vesting dated immediately following the Termination Date will vest on the Release Effective Date, with such vested RSUs settled at the time settlement would have occurred under the applicable award agreement as if Executive had continued in employment through such settlement date and such vested options will be exercisable for one year after the Release Effective Date (but no later than the scheduled expiration date), (w) PSUs will continue to be eligible to vest based on actual achievement of the applicable performance criteria, in a pro- rated number of PSUs based on the number of days elapsed in the performance period through the Termination Date (rounded up to the nearest share), settled in accordance with the Plan and the applicable award agreement, (x) all PSUs that do not vest at the end of the applicable performance period in accordance with (w) will be forfeited without consideration, (y) notwithstanding (v) through (w), any equity awards that were granted less than one year prior to the Termination Date will be immediately forfeited without consideration and (z) any performance-based stock options granted in fiscal year 2028 or later will be treated as provided for in the applicable award agreement.</w:t>
      </w:r>
    </w:p>
    <w:p>
      <w:pPr>
        <w:spacing w:after="0" w:line="223" w:lineRule="exact"/>
        <w:rPr>
          <w:rFonts w:ascii="Times New Roman" w:cs="Times New Roman" w:eastAsia="Times New Roman" w:hAnsi="Times New Roman"/>
          <w:sz w:val="22"/>
          <w:szCs w:val="22"/>
          <w:color w:val="auto"/>
        </w:rPr>
      </w:pPr>
    </w:p>
    <w:p>
      <w:pPr>
        <w:jc w:val="both"/>
        <w:ind w:left="654" w:hanging="654"/>
        <w:spacing w:after="0" w:line="249" w:lineRule="auto"/>
        <w:tabs>
          <w:tab w:leader="none" w:pos="58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Resignation for Good Reason, During the Change of Control Period</w:t>
      </w:r>
      <w:r>
        <w:rPr>
          <w:rFonts w:ascii="Times New Roman" w:cs="Times New Roman" w:eastAsia="Times New Roman" w:hAnsi="Times New Roman"/>
          <w:sz w:val="22"/>
          <w:szCs w:val="22"/>
          <w:color w:val="auto"/>
        </w:rPr>
        <w:t xml:space="preserve">. If Executive’s employment is terminated by the Company without Cause or Executive resigns for Good Reason, in each case, during the Change of Control Period, then Executive will be entitled to receive the Accrued Rights, and if Executive does not (x) breach </w:t>
      </w:r>
      <w:r>
        <w:rPr>
          <w:rFonts w:ascii="Times New Roman" w:cs="Times New Roman" w:eastAsia="Times New Roman" w:hAnsi="Times New Roman"/>
          <w:sz w:val="22"/>
          <w:szCs w:val="22"/>
          <w:u w:val="single" w:color="auto"/>
          <w:color w:val="auto"/>
        </w:rPr>
        <w:t>Sections 9(b)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9(e)</w:t>
      </w:r>
      <w:r>
        <w:rPr>
          <w:rFonts w:ascii="Times New Roman" w:cs="Times New Roman" w:eastAsia="Times New Roman" w:hAnsi="Times New Roman"/>
          <w:sz w:val="22"/>
          <w:szCs w:val="22"/>
          <w:color w:val="auto"/>
        </w:rPr>
        <w:t xml:space="preserve"> or</w:t>
      </w:r>
    </w:p>
    <w:p>
      <w:pPr>
        <w:spacing w:after="0" w:line="2" w:lineRule="exact"/>
        <w:rPr>
          <w:rFonts w:ascii="Times New Roman" w:cs="Times New Roman" w:eastAsia="Times New Roman" w:hAnsi="Times New Roman"/>
          <w:sz w:val="22"/>
          <w:szCs w:val="22"/>
          <w:color w:val="auto"/>
        </w:rPr>
      </w:pPr>
    </w:p>
    <w:p>
      <w:pPr>
        <w:ind w:left="65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 materially breach </w:t>
      </w:r>
      <w:r>
        <w:rPr>
          <w:rFonts w:ascii="Times New Roman" w:cs="Times New Roman" w:eastAsia="Times New Roman" w:hAnsi="Times New Roman"/>
          <w:sz w:val="22"/>
          <w:szCs w:val="22"/>
          <w:u w:val="single" w:color="auto"/>
          <w:color w:val="auto"/>
        </w:rPr>
        <w:t>Sections 9(c)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9(g)</w:t>
      </w:r>
      <w:r>
        <w:rPr>
          <w:rFonts w:ascii="Times New Roman" w:cs="Times New Roman" w:eastAsia="Times New Roman" w:hAnsi="Times New Roman"/>
          <w:sz w:val="22"/>
          <w:szCs w:val="22"/>
          <w:color w:val="auto"/>
        </w:rPr>
        <w:t>, then Executive will receive the following:</w:t>
      </w:r>
    </w:p>
    <w:p>
      <w:pPr>
        <w:spacing w:after="0" w:line="234" w:lineRule="exact"/>
        <w:rPr>
          <w:rFonts w:ascii="Times New Roman" w:cs="Times New Roman" w:eastAsia="Times New Roman" w:hAnsi="Times New Roman"/>
          <w:sz w:val="22"/>
          <w:szCs w:val="22"/>
          <w:color w:val="auto"/>
        </w:rPr>
      </w:pPr>
    </w:p>
    <w:p>
      <w:pPr>
        <w:ind w:left="1294" w:right="20" w:hanging="646"/>
        <w:spacing w:after="0" w:line="284" w:lineRule="auto"/>
        <w:tabs>
          <w:tab w:leader="none" w:pos="113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two (2) times the sum of Executive’s then-applicable Base Salary and Target Bonus, paid in a lump sum within ten (10) days after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34"/>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394"/>
          </w:cols>
          <w:pgMar w:left="1066" w:top="1440" w:right="4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920" w:right="100" w:hanging="646"/>
        <w:spacing w:after="0" w:line="257" w:lineRule="auto"/>
        <w:tabs>
          <w:tab w:leader="none" w:pos="98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earned but unpaid Annual Bonus for the year immediately preceding the year in which the Termination Date occurs, paid as and when annual bonuses are paid generally by the Company to its senior executives for such year;</w:t>
      </w:r>
    </w:p>
    <w:p>
      <w:pPr>
        <w:spacing w:after="0" w:line="213" w:lineRule="exact"/>
        <w:rPr>
          <w:rFonts w:ascii="Times New Roman" w:cs="Times New Roman" w:eastAsia="Times New Roman" w:hAnsi="Times New Roman"/>
          <w:sz w:val="22"/>
          <w:szCs w:val="22"/>
          <w:color w:val="auto"/>
        </w:rPr>
      </w:pPr>
    </w:p>
    <w:p>
      <w:pPr>
        <w:ind w:left="920" w:right="100" w:hanging="646"/>
        <w:spacing w:after="0" w:line="275" w:lineRule="auto"/>
        <w:tabs>
          <w:tab w:leader="none" w:pos="84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 rata portion of the then-applicable Annual Bonus based on the number of days elapsed in the fiscal year in which the Termination Date occurs through the Termination Date with performance deemed to be achieved at the target level, to be paid no later than ten (10) days after the Termination Date;</w:t>
      </w:r>
    </w:p>
    <w:p>
      <w:pPr>
        <w:spacing w:after="0" w:line="195" w:lineRule="exact"/>
        <w:rPr>
          <w:rFonts w:ascii="Times New Roman" w:cs="Times New Roman" w:eastAsia="Times New Roman" w:hAnsi="Times New Roman"/>
          <w:sz w:val="21"/>
          <w:szCs w:val="21"/>
          <w:color w:val="auto"/>
        </w:rPr>
      </w:pPr>
    </w:p>
    <w:p>
      <w:pPr>
        <w:jc w:val="both"/>
        <w:ind w:left="920" w:hanging="646"/>
        <w:spacing w:after="0" w:line="272" w:lineRule="auto"/>
        <w:tabs>
          <w:tab w:leader="none" w:pos="90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Welfare Continuation Reimbursement for twenty-four (24) months following the Termination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 timely elects and enrolls in continuation coverage under COBRA, which reimbursement shall be payable directly to the sponsor of the applicable group health plan during the COBRA continuation period, commencing on the first day of the month following the Termination Date;</w:t>
      </w:r>
    </w:p>
    <w:p>
      <w:pPr>
        <w:spacing w:after="0" w:line="201" w:lineRule="exact"/>
        <w:rPr>
          <w:rFonts w:ascii="Times New Roman" w:cs="Times New Roman" w:eastAsia="Times New Roman" w:hAnsi="Times New Roman"/>
          <w:sz w:val="21"/>
          <w:szCs w:val="21"/>
          <w:color w:val="auto"/>
        </w:rPr>
      </w:pPr>
    </w:p>
    <w:p>
      <w:pPr>
        <w:ind w:left="740" w:hanging="467"/>
        <w:spacing w:after="0"/>
        <w:tabs>
          <w:tab w:leader="none" w:pos="7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Outplacement Assistance;</w:t>
      </w:r>
    </w:p>
    <w:p>
      <w:pPr>
        <w:spacing w:after="0" w:line="246" w:lineRule="exact"/>
        <w:rPr>
          <w:rFonts w:ascii="Times New Roman" w:cs="Times New Roman" w:eastAsia="Times New Roman" w:hAnsi="Times New Roman"/>
          <w:sz w:val="22"/>
          <w:szCs w:val="22"/>
          <w:color w:val="auto"/>
        </w:rPr>
      </w:pPr>
    </w:p>
    <w:p>
      <w:pPr>
        <w:ind w:left="920" w:right="120" w:hanging="646"/>
        <w:spacing w:after="0" w:line="263" w:lineRule="auto"/>
        <w:tabs>
          <w:tab w:leader="none" w:pos="80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 Replacement Awards will immediately vest, with the Initial PSUs deemed to be achieved at the target level of performance, and all Equity Replacement Awards will be settled no later than ten (10) days after the Termination Date;</w:t>
      </w:r>
    </w:p>
    <w:p>
      <w:pPr>
        <w:spacing w:after="0" w:line="207" w:lineRule="exact"/>
        <w:rPr>
          <w:rFonts w:ascii="Times New Roman" w:cs="Times New Roman" w:eastAsia="Times New Roman" w:hAnsi="Times New Roman"/>
          <w:sz w:val="22"/>
          <w:szCs w:val="22"/>
          <w:color w:val="auto"/>
        </w:rPr>
      </w:pPr>
    </w:p>
    <w:p>
      <w:pPr>
        <w:jc w:val="both"/>
        <w:ind w:left="920" w:right="100" w:hanging="646"/>
        <w:spacing w:after="0" w:line="251" w:lineRule="auto"/>
        <w:tabs>
          <w:tab w:leader="none" w:pos="92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FY 2026 Option Award will receive the treatment specified under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and if the FY 2026 Option Award is not forfeited as of the closing of the Change of Control and remains outstanding and exercisable following such Change of Control, the FY 2026 Option Award will remain outstanding and exercisable for the one year period following the Termination Date, but in no event beyond the scheduled expiration date (and otherwise subject in all cases to the terms of the Plan, including Section 12 thereof); and</w:t>
      </w:r>
    </w:p>
    <w:p>
      <w:pPr>
        <w:spacing w:after="0" w:line="221" w:lineRule="exact"/>
        <w:rPr>
          <w:rFonts w:ascii="Times New Roman" w:cs="Times New Roman" w:eastAsia="Times New Roman" w:hAnsi="Times New Roman"/>
          <w:sz w:val="22"/>
          <w:szCs w:val="22"/>
          <w:color w:val="auto"/>
        </w:rPr>
      </w:pPr>
    </w:p>
    <w:p>
      <w:pPr>
        <w:jc w:val="both"/>
        <w:ind w:left="920" w:right="100" w:hanging="646"/>
        <w:spacing w:after="0" w:line="262" w:lineRule="auto"/>
        <w:tabs>
          <w:tab w:leader="none" w:pos="9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outstanding Company equity awards held by Executive on the Termination Date will be treated as follows: (v) all time-based stock options and RSUs will immediately vest, with such vested RSUs settled within ten (10) days after the Termination Date and such vested options will be exercisable for one year after the Termination Date (but no later than the scheduled expiration date), (w) a number of PSUs will vest based on the greater of (A) a prorated number of PSUs at the target level of performance based on the number of days elapsed in the performance period through the Termination Date or (B) the number of PSUs that vest based on the level of actual performance achievement measured as of the end of the last fiscal quarter prior to the Change of Control,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120"/>
          </w:cols>
          <w:pgMar w:left="1440" w:top="1440" w:right="339" w:bottom="1440" w:gutter="0" w:footer="0" w:header="0"/>
        </w:sectPr>
      </w:pPr>
    </w:p>
    <w:bookmarkStart w:id="69" w:name="page70"/>
    <w:bookmarkEnd w:id="69"/>
    <w:p>
      <w:pPr>
        <w:spacing w:after="0" w:line="387" w:lineRule="exact"/>
        <w:rPr>
          <w:sz w:val="20"/>
          <w:szCs w:val="20"/>
          <w:color w:val="auto"/>
        </w:rPr>
      </w:pPr>
    </w:p>
    <w:p>
      <w:pPr>
        <w:jc w:val="both"/>
        <w:ind w:left="1294" w:right="120"/>
        <w:spacing w:after="0" w:line="256" w:lineRule="auto"/>
        <w:rPr>
          <w:sz w:val="20"/>
          <w:szCs w:val="20"/>
          <w:color w:val="auto"/>
        </w:rPr>
      </w:pPr>
      <w:r>
        <w:rPr>
          <w:rFonts w:ascii="Times New Roman" w:cs="Times New Roman" w:eastAsia="Times New Roman" w:hAnsi="Times New Roman"/>
          <w:sz w:val="22"/>
          <w:szCs w:val="22"/>
          <w:color w:val="auto"/>
        </w:rPr>
        <w:t>with such vested PSUs settled within ten (10) days after the Termination Date, (w) all PSUs that do not vest in accordance with (w) will be immediately forfeited without consideration and (y) all performance-based stock options granted in fiscal year 2028 or later will be treated as provided for in the applicable award agreement.</w:t>
      </w:r>
    </w:p>
    <w:p>
      <w:pPr>
        <w:spacing w:after="0" w:line="217" w:lineRule="exact"/>
        <w:rPr>
          <w:sz w:val="20"/>
          <w:szCs w:val="20"/>
          <w:color w:val="auto"/>
        </w:rPr>
      </w:pPr>
    </w:p>
    <w:p>
      <w:pPr>
        <w:jc w:val="right"/>
        <w:ind w:left="654" w:right="100" w:hanging="654"/>
        <w:spacing w:after="0" w:line="266" w:lineRule="auto"/>
        <w:tabs>
          <w:tab w:leader="none" w:pos="5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 or Disability</w:t>
      </w:r>
      <w:r>
        <w:rPr>
          <w:rFonts w:ascii="Times New Roman" w:cs="Times New Roman" w:eastAsia="Times New Roman" w:hAnsi="Times New Roman"/>
          <w:sz w:val="21"/>
          <w:szCs w:val="21"/>
          <w:color w:val="auto"/>
        </w:rPr>
        <w:t>. If Executive’s employment is terminated due to Executive’s death or by the Company due to Executive’s Disability, then Executive will be entitled to receive the Accrued Rights, and if</w:t>
      </w:r>
    </w:p>
    <w:p>
      <w:pPr>
        <w:spacing w:after="0" w:line="1" w:lineRule="exact"/>
        <w:rPr>
          <w:rFonts w:ascii="Times New Roman" w:cs="Times New Roman" w:eastAsia="Times New Roman" w:hAnsi="Times New Roman"/>
          <w:sz w:val="21"/>
          <w:szCs w:val="21"/>
          <w:color w:val="auto"/>
        </w:rPr>
      </w:pPr>
    </w:p>
    <w:p>
      <w:pPr>
        <w:jc w:val="both"/>
        <w:ind w:left="654" w:right="10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(x) Executive (or in the case of Executive’s death or incapacity, Executive’s estate or authorized representative) executes and does not revoke the Release within thirty (30) days (or such longer period as required by law and set forth in the Release) following the Termination Date and (y) Executive (in the case of Executive's Disability) does not breach the restrictive covenants set forth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then:</w:t>
      </w:r>
    </w:p>
    <w:p>
      <w:pPr>
        <w:spacing w:after="0" w:line="226" w:lineRule="exact"/>
        <w:rPr>
          <w:sz w:val="20"/>
          <w:szCs w:val="20"/>
          <w:color w:val="auto"/>
        </w:rPr>
      </w:pPr>
    </w:p>
    <w:p>
      <w:pPr>
        <w:ind w:left="1294" w:right="120" w:hanging="646"/>
        <w:spacing w:after="0" w:line="263" w:lineRule="auto"/>
        <w:tabs>
          <w:tab w:leader="none" w:pos="107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earned but unpaid Annual Bonus for the year immediately preceding the year in which the Termination Date occurs, paid as and when annual bonuses are paid generally by the Company to its senior executives for such year;</w:t>
      </w:r>
    </w:p>
    <w:p>
      <w:pPr>
        <w:spacing w:after="0" w:line="207" w:lineRule="exact"/>
        <w:rPr>
          <w:rFonts w:ascii="Times New Roman" w:cs="Times New Roman" w:eastAsia="Times New Roman" w:hAnsi="Times New Roman"/>
          <w:sz w:val="22"/>
          <w:szCs w:val="22"/>
          <w:color w:val="auto"/>
        </w:rPr>
      </w:pPr>
    </w:p>
    <w:p>
      <w:pPr>
        <w:ind w:left="1294" w:right="100" w:hanging="646"/>
        <w:spacing w:after="0" w:line="250" w:lineRule="auto"/>
        <w:tabs>
          <w:tab w:leader="none" w:pos="114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pro-rated portion of the then-applicable Annual Bonus based on the number of days elapsed in the fiscal year in which the Termination Date occurs through the Termination Date with performance based on the actual level of achievement of the applicable performance goals (except that any performance goals based on Executive’s personal performance shall be treated as attained at no less than target level), and any other performance goals shall be deemed achieved at least at the level applicable to similarly situated active employees of the Company, paid as and when annual bonuses are paid generally by the Company to its senior executives for such year;</w:t>
      </w:r>
    </w:p>
    <w:p>
      <w:pPr>
        <w:spacing w:after="0" w:line="220" w:lineRule="exact"/>
        <w:rPr>
          <w:rFonts w:ascii="Times New Roman" w:cs="Times New Roman" w:eastAsia="Times New Roman" w:hAnsi="Times New Roman"/>
          <w:sz w:val="22"/>
          <w:szCs w:val="22"/>
          <w:color w:val="auto"/>
        </w:rPr>
      </w:pPr>
    </w:p>
    <w:p>
      <w:pPr>
        <w:jc w:val="both"/>
        <w:ind w:left="1294" w:hanging="646"/>
        <w:spacing w:after="0" w:line="252" w:lineRule="auto"/>
        <w:tabs>
          <w:tab w:leader="none" w:pos="126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RSUs will immediately vest and be settled no later than sixty (60) days after the Termination Date, and the Initial PSUs will remain outstanding for the duration of the performance period (without proration) and be eligible to vest based on actual achievement of the applicable performance criteria in accordance with the applicable equity award agreement;</w:t>
      </w:r>
    </w:p>
    <w:p>
      <w:pPr>
        <w:spacing w:after="0" w:line="219" w:lineRule="exact"/>
        <w:rPr>
          <w:rFonts w:ascii="Times New Roman" w:cs="Times New Roman" w:eastAsia="Times New Roman" w:hAnsi="Times New Roman"/>
          <w:sz w:val="22"/>
          <w:szCs w:val="22"/>
          <w:color w:val="auto"/>
        </w:rPr>
      </w:pPr>
    </w:p>
    <w:p>
      <w:pPr>
        <w:jc w:val="both"/>
        <w:ind w:left="1294" w:hanging="646"/>
        <w:spacing w:after="0" w:line="268" w:lineRule="auto"/>
        <w:tabs>
          <w:tab w:leader="none" w:pos="124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if the FY 2026 Option Award is vested as of the Termination Date, the FY 2026 Option Award will remain outstanding and exercisable for the one year period following the Termination Date, but in no event beyond the scheduled expiration date and (B) if the FY 2026 Option Award is not vested as of the Termination Date, the FY 2026 Option Award will remain eligible to vest for a period of three (3) months following the Termination Date and (x) if the FY 2026 Option Award becomes vested during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77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494"/>
          </w:cols>
          <w:pgMar w:left="1066" w:top="1440" w:right="339" w:bottom="1440" w:gutter="0" w:footer="0" w:header="0"/>
        </w:sectPr>
      </w:pPr>
    </w:p>
    <w:bookmarkStart w:id="70" w:name="page71"/>
    <w:bookmarkEnd w:id="70"/>
    <w:p>
      <w:pPr>
        <w:spacing w:after="0" w:line="387" w:lineRule="exact"/>
        <w:rPr>
          <w:sz w:val="20"/>
          <w:szCs w:val="20"/>
          <w:color w:val="auto"/>
        </w:rPr>
      </w:pPr>
    </w:p>
    <w:p>
      <w:pPr>
        <w:jc w:val="both"/>
        <w:ind w:left="1294" w:right="20"/>
        <w:spacing w:after="0" w:line="257" w:lineRule="auto"/>
        <w:rPr>
          <w:sz w:val="20"/>
          <w:szCs w:val="20"/>
          <w:color w:val="auto"/>
        </w:rPr>
      </w:pPr>
      <w:r>
        <w:rPr>
          <w:rFonts w:ascii="Times New Roman" w:cs="Times New Roman" w:eastAsia="Times New Roman" w:hAnsi="Times New Roman"/>
          <w:sz w:val="22"/>
          <w:szCs w:val="22"/>
          <w:color w:val="auto"/>
        </w:rPr>
        <w:t>period, it will remain outstanding and exercisable for the one year period following the Termination Date, but in no event beyond the scheduled expiration date, however (y) if the FY 2026 Option Award does not vest by the end of such period, then it will be forfeited; and</w:t>
      </w:r>
    </w:p>
    <w:p>
      <w:pPr>
        <w:spacing w:after="0" w:line="213" w:lineRule="exact"/>
        <w:rPr>
          <w:sz w:val="20"/>
          <w:szCs w:val="20"/>
          <w:color w:val="auto"/>
        </w:rPr>
      </w:pPr>
    </w:p>
    <w:p>
      <w:pPr>
        <w:ind w:left="1294" w:right="100" w:hanging="646"/>
        <w:spacing w:after="0" w:line="250" w:lineRule="auto"/>
        <w:tabs>
          <w:tab w:leader="none" w:pos="112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outstanding Company equity awards held by Executive on the Termination Date will be treated as follows: (v) all time-based stock options and RSUs will immediately vest, with such vested RSUs settled within ten (10) days after the Termination Date and such vested options will be exercisable for one year after the Termination Date (but no later than the scheduled expiration date), (w) PSUs will vest based on the target level of achievement with such vested PSUs settled within ten (10) days after the Termination Date, (x) notwithstanding (v) though (w), any equity awards that were granted less than one year prior to the Termination Date will be immediately forfeited without consideration and (y) all performance-based stock options granted in fiscal year 2028 or later will be treated as provided for in the applicable award agreement.</w:t>
      </w:r>
    </w:p>
    <w:p>
      <w:pPr>
        <w:spacing w:after="0" w:line="220" w:lineRule="exact"/>
        <w:rPr>
          <w:rFonts w:ascii="Times New Roman" w:cs="Times New Roman" w:eastAsia="Times New Roman" w:hAnsi="Times New Roman"/>
          <w:sz w:val="22"/>
          <w:szCs w:val="22"/>
          <w:color w:val="auto"/>
        </w:rPr>
      </w:pPr>
    </w:p>
    <w:p>
      <w:pPr>
        <w:ind w:left="654" w:hanging="654"/>
        <w:spacing w:after="0" w:line="257" w:lineRule="auto"/>
        <w:tabs>
          <w:tab w:leader="none" w:pos="45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Retirement</w:t>
      </w:r>
      <w:r>
        <w:rPr>
          <w:rFonts w:ascii="Times New Roman" w:cs="Times New Roman" w:eastAsia="Times New Roman" w:hAnsi="Times New Roman"/>
          <w:sz w:val="22"/>
          <w:szCs w:val="22"/>
          <w:color w:val="auto"/>
        </w:rPr>
        <w:t>. Upon Executive’s retirement, as approved by the Board (or a designated committee thereof), Executive will be entitled to receive the Accrued Rights and all of Executive’s then-outstanding equity awards will be treated in accordance with the Plan and the applicable award agreement(s).</w:t>
      </w:r>
    </w:p>
    <w:p>
      <w:pPr>
        <w:spacing w:after="0" w:line="213" w:lineRule="exact"/>
        <w:rPr>
          <w:rFonts w:ascii="Times New Roman" w:cs="Times New Roman" w:eastAsia="Times New Roman" w:hAnsi="Times New Roman"/>
          <w:sz w:val="22"/>
          <w:szCs w:val="22"/>
          <w:color w:val="auto"/>
        </w:rPr>
      </w:pPr>
    </w:p>
    <w:p>
      <w:pPr>
        <w:jc w:val="both"/>
        <w:ind w:left="654" w:right="100" w:hanging="654"/>
        <w:spacing w:after="0" w:line="247" w:lineRule="auto"/>
        <w:tabs>
          <w:tab w:leader="none" w:pos="65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Hire</w:t>
      </w:r>
      <w:r>
        <w:rPr>
          <w:rFonts w:ascii="Times New Roman" w:cs="Times New Roman" w:eastAsia="Times New Roman" w:hAnsi="Times New Roman"/>
          <w:sz w:val="22"/>
          <w:szCs w:val="22"/>
          <w:color w:val="auto"/>
        </w:rPr>
        <w:t>. If, following execution of this Agreement, the Company unilaterally rescinds the offer of employment to Executive under this Agreement prior to the Start Date, other than because (i) Executive has engaged in conduct that constitutes Cause (including any violation by Executive of a post-termination obligation to Executive’s prior employer), (ii) information becoming known about Executive or Executive's role with his current employer that would reasonably be expected to materially adversely affect the reputation of Executive or the Company, or that would reasonably be expected to impact Executive's abilities to perform his duties under this Agreement, or (iii) Executive is unable or unwilling to commence employment with the Company, then such rescission will be treated as a Termination by the Company without Cause Other than During the Change in Control Period, Executive will receive General Severance and, in calendar year 2026, a payment of forty-six million dollars ($46,000,000) (but for the avoidance of doubt, no other payments or benefits), provided that Executive (i) executes and does not revoke the Release within thirty (30) days (or such longer period as required by law and set forth in the Release) following the date of rescission, (ii) agrees to not be re-employed by his current employer or any other employer for a period of one year and (iii) provides supporting materials to the reasonable satisfaction of the Company that Executive's 2025 annual cash bonus and all of his equity awards with his current employer have been forfeited without consideration, and that Executive did not receive any other consideration from Executive's current employer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74"/>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494"/>
          </w:cols>
          <w:pgMar w:left="1066"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5" w:hanging="475"/>
        <w:spacing w:after="0"/>
        <w:tabs>
          <w:tab w:leader="none" w:pos="47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w:t>
      </w:r>
    </w:p>
    <w:p>
      <w:pPr>
        <w:spacing w:after="0" w:line="260" w:lineRule="exact"/>
        <w:rPr>
          <w:rFonts w:ascii="Times New Roman" w:cs="Times New Roman" w:eastAsia="Times New Roman" w:hAnsi="Times New Roman"/>
          <w:sz w:val="22"/>
          <w:szCs w:val="22"/>
          <w:color w:val="auto"/>
        </w:rPr>
      </w:pPr>
    </w:p>
    <w:p>
      <w:pPr>
        <w:jc w:val="both"/>
        <w:ind w:left="1295" w:hanging="646"/>
        <w:spacing w:after="0" w:line="247" w:lineRule="auto"/>
        <w:tabs>
          <w:tab w:leader="none" w:pos="129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means that Executive (i) has engaged in gross negligence, gross incompetence, or gross misconduct in the performance of Executive’s duties with respect to the Company Group; (ii) has willfully and continually failed to perform Executive’s duties and responsibilities to the Company Group; (iii) has breached any material provision of any written agreement between the Company Group, on the one hand, and Executive, on the other hand, including any confidentiality, non-solicitation or non-compete agreement, or any material policy or code of conduct established by the Company Group; (iv) has engaged in willful misconduct that is, or would reasonably expected to be, materially injurious to the Company Group; (v) has engaged in other personal or professional conduct that can reasonably be expected to bring public embarrassment or disgrace to the Company Group; (vi) has committed an act of theft, fraud, embezzlement, misappropriation, insubordination or dishonesty resulting in material harm to the Company Group; (vii) has committed a material breach of a fiduciary duty to the Company Group; or (viii) has been convicted of or pleaded guilty or no contest to any felony (or a crime of similar import in a foreign jurisdiction) or any crime involving fraud, dishonesty or moral turpitude;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occurrence of one or more conditions specified in (i) through (iv) above, the Board (or a designated committee thereof shall, if the Board (or a designated committee thereof) determines such action capable of being corrected, provide notice to Executive of the existence of such condition(s) and Executive shall have thirty (30) days following receipt of such notice to correct such condition(s), if correctable, and any failure by Executive to correct such condition(s) shall result in Executive’s termination of employment for Cause upon expiration of such thirty- (30-) day corrective period or such later date specified by the Board. Notwithstanding the foregoing, for purposes of a termination of employment during the Change of Control Period, (A) “Cause” shall only mean Executive has engaged in conduct described in clauses (i), (iv), (vi), (vii) or (viii) above and (B) the termination of employment of Executive shall not be deemed for “Cause” unless and until not less than two-thirds of the entire membership of the Board has adopted a resolution finding that, in its reasonable, good faith opinion, Executive is guilty of the conduct described in clauses (i), (iv), (vi), (vii) or (viii) above, and specifying the particulars thereof in detail.</w:t>
      </w:r>
    </w:p>
    <w:p>
      <w:pPr>
        <w:spacing w:after="0" w:line="210" w:lineRule="exact"/>
        <w:rPr>
          <w:rFonts w:ascii="Times New Roman" w:cs="Times New Roman" w:eastAsia="Times New Roman" w:hAnsi="Times New Roman"/>
          <w:sz w:val="22"/>
          <w:szCs w:val="22"/>
          <w:color w:val="auto"/>
        </w:rPr>
      </w:pPr>
    </w:p>
    <w:p>
      <w:pPr>
        <w:ind w:left="1135" w:hanging="487"/>
        <w:spacing w:after="0"/>
        <w:tabs>
          <w:tab w:leader="none" w:pos="113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“Change of Control” as defined in the Plan.</w:t>
      </w:r>
    </w:p>
    <w:p>
      <w:pPr>
        <w:spacing w:after="0" w:line="260" w:lineRule="exact"/>
        <w:rPr>
          <w:rFonts w:ascii="Times New Roman" w:cs="Times New Roman" w:eastAsia="Times New Roman" w:hAnsi="Times New Roman"/>
          <w:sz w:val="22"/>
          <w:szCs w:val="22"/>
          <w:color w:val="auto"/>
        </w:rPr>
      </w:pPr>
    </w:p>
    <w:p>
      <w:pPr>
        <w:ind w:left="1295" w:hanging="646"/>
        <w:spacing w:after="0" w:line="271" w:lineRule="auto"/>
        <w:tabs>
          <w:tab w:leader="none" w:pos="124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Period</w:t>
      </w:r>
      <w:r>
        <w:rPr>
          <w:rFonts w:ascii="Times New Roman" w:cs="Times New Roman" w:eastAsia="Times New Roman" w:hAnsi="Times New Roman"/>
          <w:sz w:val="22"/>
          <w:szCs w:val="22"/>
          <w:color w:val="auto"/>
        </w:rPr>
        <w:t>” means the period commencing on the date a Change of Control occurs and ending on the second anniversary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775"/>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395"/>
          </w:cols>
          <w:pgMar w:left="1065" w:top="1440" w:right="4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right="80" w:hanging="646"/>
        <w:spacing w:after="0" w:line="257" w:lineRule="auto"/>
        <w:tabs>
          <w:tab w:leader="none" w:pos="8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Executive’s substantial inability to perform his duties for the Company Group due to physical or mental illness or incapacity for any consecutive period of six (6) months or any non-consecutive periods aggregating six (6) months or more in any twelve (12)-month period.</w:t>
      </w:r>
    </w:p>
    <w:p>
      <w:pPr>
        <w:spacing w:after="0" w:line="213" w:lineRule="exact"/>
        <w:rPr>
          <w:rFonts w:ascii="Times New Roman" w:cs="Times New Roman" w:eastAsia="Times New Roman" w:hAnsi="Times New Roman"/>
          <w:sz w:val="22"/>
          <w:szCs w:val="22"/>
          <w:color w:val="auto"/>
        </w:rPr>
      </w:pPr>
    </w:p>
    <w:p>
      <w:pPr>
        <w:ind w:left="740" w:hanging="466"/>
        <w:spacing w:after="0"/>
        <w:tabs>
          <w:tab w:leader="none" w:pos="7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any of the following actions taken without the consent of Executive:</w:t>
      </w:r>
    </w:p>
    <w:p>
      <w:pPr>
        <w:spacing w:after="0" w:line="260" w:lineRule="exact"/>
        <w:rPr>
          <w:rFonts w:ascii="Times New Roman" w:cs="Times New Roman" w:eastAsia="Times New Roman" w:hAnsi="Times New Roman"/>
          <w:sz w:val="22"/>
          <w:szCs w:val="22"/>
          <w:color w:val="auto"/>
        </w:rPr>
      </w:pPr>
    </w:p>
    <w:p>
      <w:pPr>
        <w:ind w:left="1580" w:hanging="658"/>
        <w:spacing w:after="0" w:line="271" w:lineRule="auto"/>
        <w:tabs>
          <w:tab w:leader="none" w:pos="141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to Executive’s title such that Executive ceases to be the CEO and the senior most officer of the Company Group;</w:t>
      </w:r>
    </w:p>
    <w:p>
      <w:pPr>
        <w:spacing w:after="0" w:line="198" w:lineRule="exact"/>
        <w:rPr>
          <w:rFonts w:ascii="Times New Roman" w:cs="Times New Roman" w:eastAsia="Times New Roman" w:hAnsi="Times New Roman"/>
          <w:sz w:val="22"/>
          <w:szCs w:val="22"/>
          <w:color w:val="auto"/>
        </w:rPr>
      </w:pPr>
    </w:p>
    <w:p>
      <w:pPr>
        <w:jc w:val="both"/>
        <w:ind w:left="1580" w:right="80" w:hanging="658"/>
        <w:spacing w:after="0" w:line="257" w:lineRule="auto"/>
        <w:tabs>
          <w:tab w:leader="none" w:pos="156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authority, duties or responsibilities, or a requirement that Executive report to any person or governing body other than directly to the Board (or a designated committee thereof);</w:t>
      </w:r>
    </w:p>
    <w:p>
      <w:pPr>
        <w:spacing w:after="0" w:line="213" w:lineRule="exact"/>
        <w:rPr>
          <w:rFonts w:ascii="Times New Roman" w:cs="Times New Roman" w:eastAsia="Times New Roman" w:hAnsi="Times New Roman"/>
          <w:sz w:val="22"/>
          <w:szCs w:val="22"/>
          <w:color w:val="auto"/>
        </w:rPr>
      </w:pPr>
    </w:p>
    <w:p>
      <w:pPr>
        <w:ind w:left="1380" w:hanging="458"/>
        <w:spacing w:after="0"/>
        <w:tabs>
          <w:tab w:leader="none" w:pos="138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Base Salary or Target Bonus opportunity;</w:t>
      </w:r>
    </w:p>
    <w:p>
      <w:pPr>
        <w:spacing w:after="0" w:line="260" w:lineRule="exact"/>
        <w:rPr>
          <w:rFonts w:ascii="Times New Roman" w:cs="Times New Roman" w:eastAsia="Times New Roman" w:hAnsi="Times New Roman"/>
          <w:sz w:val="22"/>
          <w:szCs w:val="22"/>
          <w:color w:val="auto"/>
        </w:rPr>
      </w:pPr>
    </w:p>
    <w:p>
      <w:pPr>
        <w:ind w:left="1580" w:right="100" w:hanging="658"/>
        <w:spacing w:after="0" w:line="271" w:lineRule="auto"/>
        <w:tabs>
          <w:tab w:leader="none" w:pos="148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the Company Group of any material provision of any material written agreement between the Company Group, on the one hand, and Executive;</w:t>
      </w:r>
    </w:p>
    <w:p>
      <w:pPr>
        <w:spacing w:after="0" w:line="198" w:lineRule="exact"/>
        <w:rPr>
          <w:rFonts w:ascii="Times New Roman" w:cs="Times New Roman" w:eastAsia="Times New Roman" w:hAnsi="Times New Roman"/>
          <w:sz w:val="22"/>
          <w:szCs w:val="22"/>
          <w:color w:val="auto"/>
        </w:rPr>
      </w:pPr>
    </w:p>
    <w:p>
      <w:pPr>
        <w:ind w:left="1580" w:right="100" w:hanging="658"/>
        <w:spacing w:after="0" w:line="257" w:lineRule="auto"/>
        <w:tabs>
          <w:tab w:leader="none" w:pos="142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Company Group to obtain the assumption in writing of its obligations under this Agreement by any successor to all or substantially all of its business or assets in connection with any Change of Control; or</w:t>
      </w:r>
    </w:p>
    <w:p>
      <w:pPr>
        <w:spacing w:after="0" w:line="213" w:lineRule="exact"/>
        <w:rPr>
          <w:rFonts w:ascii="Times New Roman" w:cs="Times New Roman" w:eastAsia="Times New Roman" w:hAnsi="Times New Roman"/>
          <w:sz w:val="22"/>
          <w:szCs w:val="22"/>
          <w:color w:val="auto"/>
        </w:rPr>
      </w:pPr>
    </w:p>
    <w:p>
      <w:pPr>
        <w:ind w:left="1580" w:right="80" w:hanging="658"/>
        <w:spacing w:after="0" w:line="271" w:lineRule="auto"/>
        <w:tabs>
          <w:tab w:leader="none" w:pos="143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relocation of Executive’s primary location of employment to more than fifty (50) miles from the location set forth in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left="920" w:right="100"/>
        <w:spacing w:after="0" w:line="250" w:lineRule="auto"/>
        <w:rPr>
          <w:sz w:val="20"/>
          <w:szCs w:val="20"/>
          <w:color w:val="auto"/>
        </w:rPr>
      </w:pPr>
      <w:r>
        <w:rPr>
          <w:rFonts w:ascii="Times New Roman" w:cs="Times New Roman" w:eastAsia="Times New Roman" w:hAnsi="Times New Roman"/>
          <w:sz w:val="22"/>
          <w:szCs w:val="22"/>
          <w:color w:val="auto"/>
        </w:rPr>
        <w:t>Good Reason shall not exist unless (A) Executive provides the Company with written notice no later than thirty (30) days after the occurrence of the event purported to be the basis for Good Reason, setting forth in reasonable detail Executive’s basis for a claim of Good Reason, (B) the Company fails to cure such event within sixty (60) days after receipt of such notice and (C) Executive resigns from employment and all other positions with the Company Group no later than thirty (30) days after the end of the notice period in (B). Notwithstanding the foregoing, during a Change of Control Period, “Good Reason” shall be deemed to include any clauses set forth in the definition of "Good Reason" provided under the Company’s Executive Severance Plan, as amended from time to time, or any successor plan thereto, that are not contained in the above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100"/>
          </w:cols>
          <w:pgMar w:left="1440" w:top="1440" w:right="359" w:bottom="1440" w:gutter="0" w:footer="0" w:header="0"/>
        </w:sectPr>
      </w:pPr>
    </w:p>
    <w:bookmarkStart w:id="73" w:name="page74"/>
    <w:bookmarkEnd w:id="73"/>
    <w:p>
      <w:pPr>
        <w:spacing w:after="0" w:line="387" w:lineRule="exact"/>
        <w:rPr>
          <w:sz w:val="20"/>
          <w:szCs w:val="20"/>
          <w:color w:val="auto"/>
        </w:rPr>
      </w:pPr>
    </w:p>
    <w:p>
      <w:pPr>
        <w:ind w:left="1943" w:right="120" w:hanging="646"/>
        <w:spacing w:after="0" w:line="271" w:lineRule="auto"/>
        <w:tabs>
          <w:tab w:leader="none" w:pos="1836"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Company’s Stock Option and Award Plan, as amended and restated effective December 19, 2017, as amended from time to time, or any successor plan thereto.</w:t>
      </w:r>
    </w:p>
    <w:p>
      <w:pPr>
        <w:spacing w:after="0" w:line="198" w:lineRule="exact"/>
        <w:rPr>
          <w:rFonts w:ascii="Times New Roman" w:cs="Times New Roman" w:eastAsia="Times New Roman" w:hAnsi="Times New Roman"/>
          <w:sz w:val="22"/>
          <w:szCs w:val="22"/>
          <w:color w:val="auto"/>
        </w:rPr>
      </w:pPr>
    </w:p>
    <w:p>
      <w:pPr>
        <w:ind w:left="643" w:right="100" w:hanging="642"/>
        <w:spacing w:after="0" w:line="250" w:lineRule="auto"/>
        <w:tabs>
          <w:tab w:leader="none" w:pos="37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Executive represents that Executive is able to accept this job and carry out the work that it would involve without breaching any legal restrictions on Executive’s activities, such as restrictions imposed by a current or former employer. Executive further confirms that Executive will not remove or copy any documents or proprietary data or materials of any kind, electronic or otherwise, from Executive’s current or former employer or bring any such materials to the Company without written authorization from Executive’s current or former employer, nor will Executive use or disclose any confidential information of Executive’s current or former employer during the course and scope of Executive’s employment with the Company.</w:t>
      </w:r>
    </w:p>
    <w:p>
      <w:pPr>
        <w:spacing w:after="0" w:line="220"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303" w:right="100" w:hanging="654"/>
        <w:spacing w:after="0" w:line="260" w:lineRule="auto"/>
        <w:tabs>
          <w:tab w:leader="none" w:pos="1124"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w:t>
      </w:r>
      <w:r>
        <w:rPr>
          <w:rFonts w:ascii="Times New Roman" w:cs="Times New Roman" w:eastAsia="Times New Roman" w:hAnsi="Times New Roman"/>
          <w:sz w:val="21"/>
          <w:szCs w:val="21"/>
          <w:color w:val="auto"/>
        </w:rPr>
        <w:t xml:space="preserve">. Executive agrees and acknowledges that, in the course of Executive’s services to the Company Group, Executive will have significant access to and will become acquainted with information about the Company Group that is non-public, confidential or proprietary in nature. Executive agrees and acknowledges that the Company Group is engaged throughout the world in a highly competitive business and the success of the Company Group in the marketplace depends upon its goodwill and reputation. Executive agrees and acknowledges that reasonable limits on Executive’s ability to engage in activities competitive with the Company Group are warranted to protect its substantial investment in developing and maintaining its status in the marketplace, reputation and goodwill. Executive recognizes that in order to guard the legitimate interests of the Company Group, it is necessary for it to protect all “Confidential Information” (as defined below) and the disclosure of Confidential Information would place the Company Group at a competitive disadvantage. Executive further agrees that Executive’s obligations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are reasonable and will be absolute and unconditional and that Executive will comply with any other restrictive covenants provisions or agreements in favor of the Company Group that Executive hereafter becomes party to or obligated thereunder.</w:t>
      </w:r>
    </w:p>
    <w:p>
      <w:pPr>
        <w:spacing w:after="0" w:line="217" w:lineRule="exact"/>
        <w:rPr>
          <w:rFonts w:ascii="Times New Roman" w:cs="Times New Roman" w:eastAsia="Times New Roman" w:hAnsi="Times New Roman"/>
          <w:sz w:val="21"/>
          <w:szCs w:val="21"/>
          <w:color w:val="auto"/>
        </w:rPr>
      </w:pPr>
    </w:p>
    <w:p>
      <w:pPr>
        <w:jc w:val="both"/>
        <w:ind w:left="1303" w:hanging="654"/>
        <w:spacing w:after="0" w:line="249" w:lineRule="auto"/>
        <w:tabs>
          <w:tab w:leader="none" w:pos="127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9(j)</w:t>
      </w:r>
      <w:r>
        <w:rPr>
          <w:rFonts w:ascii="Times New Roman" w:cs="Times New Roman" w:eastAsia="Times New Roman" w:hAnsi="Times New Roman"/>
          <w:sz w:val="22"/>
          <w:szCs w:val="22"/>
          <w:color w:val="auto"/>
        </w:rPr>
        <w:t>, during Executive’s employment and at all times following Executive’s termination of employment for any reason, Executive will hold in a fiduciary capacity for the benefit of or about the Company all non-public information, matters and materials of the Company Group, including, without limitation, know-how, trade secrets, customer lists, pricing policies, operational methods, information relating to products, processes, research, development, inventions, computer programs and software, databases and data processing, customers, services and other business and financial affairs and information as to customers or other third parties (collectively, the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and will not, directly or indirectly, use or disclose such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43"/>
          </w:cols>
          <w:pgMar w:left="417" w:top="1440" w:right="339" w:bottom="1440" w:gutter="0" w:footer="0" w:header="0"/>
        </w:sectPr>
      </w:pPr>
    </w:p>
    <w:bookmarkStart w:id="74" w:name="page75"/>
    <w:bookmarkEnd w:id="74"/>
    <w:p>
      <w:pPr>
        <w:spacing w:after="0" w:line="387" w:lineRule="exact"/>
        <w:rPr>
          <w:sz w:val="20"/>
          <w:szCs w:val="20"/>
          <w:color w:val="auto"/>
        </w:rPr>
      </w:pPr>
    </w:p>
    <w:p>
      <w:pPr>
        <w:jc w:val="both"/>
        <w:ind w:left="655"/>
        <w:spacing w:after="0" w:line="257" w:lineRule="auto"/>
        <w:rPr>
          <w:sz w:val="20"/>
          <w:szCs w:val="20"/>
          <w:color w:val="auto"/>
        </w:rPr>
      </w:pPr>
      <w:r>
        <w:rPr>
          <w:rFonts w:ascii="Times New Roman" w:cs="Times New Roman" w:eastAsia="Times New Roman" w:hAnsi="Times New Roman"/>
          <w:sz w:val="22"/>
          <w:szCs w:val="22"/>
          <w:color w:val="auto"/>
        </w:rPr>
        <w:t xml:space="preserve">Information to any Person. “Confidential Information” will not include any information which is in the public or industry domain during Executive’s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information is not in the public or industry domain as a consequence of any action or inaction by Executive in violation of this Agreement.</w:t>
      </w:r>
    </w:p>
    <w:p>
      <w:pPr>
        <w:spacing w:after="0" w:line="213" w:lineRule="exact"/>
        <w:rPr>
          <w:sz w:val="20"/>
          <w:szCs w:val="20"/>
          <w:color w:val="auto"/>
        </w:rPr>
      </w:pPr>
    </w:p>
    <w:p>
      <w:pPr>
        <w:jc w:val="right"/>
        <w:ind w:left="655" w:right="100" w:hanging="654"/>
        <w:spacing w:after="0" w:line="267" w:lineRule="auto"/>
        <w:tabs>
          <w:tab w:leader="none" w:pos="53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Property</w:t>
      </w:r>
      <w:r>
        <w:rPr>
          <w:rFonts w:ascii="Times New Roman" w:cs="Times New Roman" w:eastAsia="Times New Roman" w:hAnsi="Times New Roman"/>
          <w:sz w:val="21"/>
          <w:szCs w:val="21"/>
          <w:color w:val="auto"/>
        </w:rPr>
        <w:t>. Upon the termination of Executive’s employment for any reason, or at such earlier time as may be requested by the Company, Executive will deliver to the Company all documents, papers and records (including, but not limited to, electronic media) in Executive’s possession or subject to Executive’s control that</w:t>
      </w:r>
    </w:p>
    <w:p>
      <w:pPr>
        <w:spacing w:after="0" w:line="1" w:lineRule="exact"/>
        <w:rPr>
          <w:rFonts w:ascii="Times New Roman" w:cs="Times New Roman" w:eastAsia="Times New Roman" w:hAnsi="Times New Roman"/>
          <w:sz w:val="21"/>
          <w:szCs w:val="21"/>
          <w:color w:val="auto"/>
        </w:rPr>
      </w:pPr>
    </w:p>
    <w:p>
      <w:pPr>
        <w:jc w:val="both"/>
        <w:ind w:left="655" w:right="100" w:hanging="6"/>
        <w:spacing w:after="0" w:line="245" w:lineRule="auto"/>
        <w:tabs>
          <w:tab w:leader="none" w:pos="97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belong to the Company Group or (ii) contain or reflect any Confidential Information concerning the Company Group. To the extent such documents, papers and records are stored or maintained on any personal computer, email, cloud account, or other storage device and cannot be returned to the Company in their entirety, Executive agrees to permanently delete such materials upon the instruction of the Company. Upon reasonable request, Executive will certify (by affidavit, if requested by the Company) that such deletions have occurred. Notwithstanding the foregoing, Executive shall be entitled to retain a copy of this Agreement and any other compensatory agreement between Executive and a member of the Company Group, and any tax information returns and payroll stubs reasonably necessary for the preparation of his personal tax returns.</w:t>
      </w:r>
    </w:p>
    <w:p>
      <w:pPr>
        <w:spacing w:after="0" w:line="232" w:lineRule="exact"/>
        <w:rPr>
          <w:rFonts w:ascii="Times New Roman" w:cs="Times New Roman" w:eastAsia="Times New Roman" w:hAnsi="Times New Roman"/>
          <w:sz w:val="22"/>
          <w:szCs w:val="22"/>
          <w:color w:val="auto"/>
        </w:rPr>
      </w:pPr>
    </w:p>
    <w:p>
      <w:pPr>
        <w:ind w:left="475" w:hanging="475"/>
        <w:spacing w:after="0"/>
        <w:tabs>
          <w:tab w:leader="none" w:pos="47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295" w:right="20" w:hanging="646"/>
        <w:spacing w:after="0" w:line="257" w:lineRule="auto"/>
        <w:tabs>
          <w:tab w:leader="none" w:pos="109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while Executive is employed by the Company and for a period of twelve (12) months following the Termination Date,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Executive shall not engage in Competition with the Company Group.</w:t>
      </w:r>
    </w:p>
    <w:p>
      <w:pPr>
        <w:spacing w:after="0" w:line="213" w:lineRule="exact"/>
        <w:rPr>
          <w:rFonts w:ascii="Times New Roman" w:cs="Times New Roman" w:eastAsia="Times New Roman" w:hAnsi="Times New Roman"/>
          <w:sz w:val="22"/>
          <w:szCs w:val="22"/>
          <w:color w:val="auto"/>
        </w:rPr>
      </w:pPr>
    </w:p>
    <w:p>
      <w:pPr>
        <w:jc w:val="both"/>
        <w:ind w:left="1295" w:hanging="646"/>
        <w:spacing w:after="0" w:line="261" w:lineRule="auto"/>
        <w:tabs>
          <w:tab w:leader="none" w:pos="1295"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Competition</w:t>
      </w:r>
      <w:r>
        <w:rPr>
          <w:rFonts w:ascii="Times New Roman" w:cs="Times New Roman" w:eastAsia="Times New Roman" w:hAnsi="Times New Roman"/>
          <w:sz w:val="21"/>
          <w:szCs w:val="21"/>
          <w:color w:val="auto"/>
        </w:rPr>
        <w:t xml:space="preserve">” means (A) participating, directly or indirectly, as an individual proprietor, officer, employee in a management or executive-level role, or director of, or (B) providing consulting, advisory, business, investment, strategic, sales, financial, operational, technical or design advice or services (in each case, to the extent that Executive provided such advice or services to the Company Group at any time during Executive’s employment with the Company Group) to, in each case, any Competitive Business within the United States and/or any country in which Executive provided services (including supervisory or oversight services) on behalf of the Company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“Competition” shall not include: the performance of services for any enterprise to the extent such services are restricted solely to one or more distinct portions of the operations and businesses of such entity and such distinct portions are not engaged in the Competitive Business or do not supply product to the Company Group for the Competitive Business, and Executive does not have any discussions with, or participate in, the governance, strategy, development, management or operations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75"/>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495"/>
          </w:cols>
          <w:pgMar w:left="1065" w:top="1440" w:right="339" w:bottom="1440" w:gutter="0" w:footer="0" w:header="0"/>
        </w:sectPr>
      </w:pPr>
    </w:p>
    <w:bookmarkStart w:id="75" w:name="page76"/>
    <w:bookmarkEnd w:id="75"/>
    <w:p>
      <w:pPr>
        <w:spacing w:after="0" w:line="387" w:lineRule="exact"/>
        <w:rPr>
          <w:sz w:val="20"/>
          <w:szCs w:val="20"/>
          <w:color w:val="auto"/>
        </w:rPr>
      </w:pPr>
    </w:p>
    <w:p>
      <w:pPr>
        <w:jc w:val="both"/>
        <w:ind w:left="1295"/>
        <w:spacing w:after="0" w:line="251" w:lineRule="auto"/>
        <w:rPr>
          <w:sz w:val="20"/>
          <w:szCs w:val="20"/>
          <w:color w:val="auto"/>
        </w:rPr>
      </w:pPr>
      <w:r>
        <w:rPr>
          <w:rFonts w:ascii="Times New Roman" w:cs="Times New Roman" w:eastAsia="Times New Roman" w:hAnsi="Times New Roman"/>
          <w:sz w:val="22"/>
          <w:szCs w:val="22"/>
          <w:color w:val="auto"/>
        </w:rPr>
        <w:t>business segments that engage in the Competitive Business or supply product to the Company Group for the Competitive Business; and a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means any business that competes, in whole or in part, with the business of the Company Group, including any service or product offered by the Company Group, with respect to which Executive provides services (including supervisory or oversight services), including with respect to open data and software solutions for investment professionals, or with respect to which Executive receives Confidential Information.</w:t>
      </w:r>
    </w:p>
    <w:p>
      <w:pPr>
        <w:spacing w:after="0" w:line="222" w:lineRule="exact"/>
        <w:rPr>
          <w:sz w:val="20"/>
          <w:szCs w:val="20"/>
          <w:color w:val="auto"/>
        </w:rPr>
      </w:pPr>
    </w:p>
    <w:p>
      <w:pPr>
        <w:ind w:left="455" w:hanging="454"/>
        <w:spacing w:after="0"/>
        <w:tabs>
          <w:tab w:leader="none" w:pos="4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Executive agrees that, during the Restricted Period, Executive shall not, directly or indirectly:</w:t>
      </w:r>
    </w:p>
    <w:p>
      <w:pPr>
        <w:spacing w:after="0" w:line="260" w:lineRule="exact"/>
        <w:rPr>
          <w:rFonts w:ascii="Times New Roman" w:cs="Times New Roman" w:eastAsia="Times New Roman" w:hAnsi="Times New Roman"/>
          <w:sz w:val="22"/>
          <w:szCs w:val="22"/>
          <w:color w:val="auto"/>
        </w:rPr>
      </w:pPr>
    </w:p>
    <w:p>
      <w:pPr>
        <w:ind w:left="1295" w:hanging="646"/>
        <w:spacing w:after="0" w:line="248" w:lineRule="auto"/>
        <w:tabs>
          <w:tab w:leader="none" w:pos="1209"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upon, solicit, divert, take away or attempt to solicit any of the customers, prospective customers, vendors or suppliers or any other business contacts of the Company Group with whom Executive had direct or indirect contact, or about whom Executive learned Confidential Information, in each case, during the then-immediately preceding twenty- four (24) months ending no later than the last day of Executive’s employment with the Company Group (a “</w:t>
      </w:r>
      <w:r>
        <w:rPr>
          <w:rFonts w:ascii="Times New Roman" w:cs="Times New Roman" w:eastAsia="Times New Roman" w:hAnsi="Times New Roman"/>
          <w:sz w:val="22"/>
          <w:szCs w:val="22"/>
          <w:u w:val="single" w:color="auto"/>
          <w:color w:val="auto"/>
        </w:rPr>
        <w:t>Business Relation</w:t>
      </w:r>
      <w:r>
        <w:rPr>
          <w:rFonts w:ascii="Times New Roman" w:cs="Times New Roman" w:eastAsia="Times New Roman" w:hAnsi="Times New Roman"/>
          <w:sz w:val="22"/>
          <w:szCs w:val="22"/>
          <w:color w:val="auto"/>
        </w:rPr>
        <w:t xml:space="preserve">”), or cause such Business Relation to reduce or adversely change the terms of their business relationship with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9(e)(i)</w:t>
      </w:r>
      <w:r>
        <w:rPr>
          <w:rFonts w:ascii="Times New Roman" w:cs="Times New Roman" w:eastAsia="Times New Roman" w:hAnsi="Times New Roman"/>
          <w:sz w:val="22"/>
          <w:szCs w:val="22"/>
          <w:color w:val="auto"/>
        </w:rPr>
        <w:t xml:space="preserve"> shall not limit Executive’s ability to solicit, call upon, contact or approach any business contacts with whom or which Executive had a relationship prior to Executive’s position with the Company Group; or</w:t>
      </w:r>
    </w:p>
    <w:p>
      <w:pPr>
        <w:spacing w:after="0" w:line="225" w:lineRule="exact"/>
        <w:rPr>
          <w:rFonts w:ascii="Times New Roman" w:cs="Times New Roman" w:eastAsia="Times New Roman" w:hAnsi="Times New Roman"/>
          <w:sz w:val="22"/>
          <w:szCs w:val="22"/>
          <w:color w:val="auto"/>
        </w:rPr>
      </w:pPr>
    </w:p>
    <w:p>
      <w:pPr>
        <w:jc w:val="both"/>
        <w:ind w:left="1295" w:right="100" w:hanging="646"/>
        <w:spacing w:after="0" w:line="250" w:lineRule="auto"/>
        <w:tabs>
          <w:tab w:leader="none" w:pos="122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Solicit, recruit, retain, hire, induce, offer to hire, entice away or in any manner persuade or attempt to persuade any officer, employee, independent contractor, consultant or agent of the Company Group who learned, developed or had access to Confidential Information and who was employed, engaged or recruited during Executive’s employment with the Company Group to discontinue his relationship with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Executive shall not be prohibited from placing general advertisements or conducting any other form of general solicitation that is not specifically targeted at the Company Group’s employees.</w:t>
      </w:r>
    </w:p>
    <w:p>
      <w:pPr>
        <w:spacing w:after="0" w:line="220" w:lineRule="exact"/>
        <w:rPr>
          <w:rFonts w:ascii="Times New Roman" w:cs="Times New Roman" w:eastAsia="Times New Roman" w:hAnsi="Times New Roman"/>
          <w:sz w:val="22"/>
          <w:szCs w:val="22"/>
          <w:color w:val="auto"/>
        </w:rPr>
      </w:pPr>
    </w:p>
    <w:p>
      <w:pPr>
        <w:ind w:left="435" w:hanging="435"/>
        <w:spacing w:after="0"/>
        <w:tabs>
          <w:tab w:leader="none" w:pos="43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295" w:right="100" w:hanging="646"/>
        <w:spacing w:after="0" w:line="257" w:lineRule="auto"/>
        <w:tabs>
          <w:tab w:leader="none" w:pos="1103"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9(j)</w:t>
      </w:r>
      <w:r>
        <w:rPr>
          <w:rFonts w:ascii="Times New Roman" w:cs="Times New Roman" w:eastAsia="Times New Roman" w:hAnsi="Times New Roman"/>
          <w:sz w:val="22"/>
          <w:szCs w:val="22"/>
          <w:color w:val="auto"/>
        </w:rPr>
        <w:t>, Executive agrees that, at all times during and for three years after the Termination Date, Executive will not make critical, negative or disparaging remarks about the Company Group that would reasonably be expected to result in material harm to the Company Group,</w:t>
      </w:r>
    </w:p>
    <w:p>
      <w:pPr>
        <w:spacing w:after="0" w:line="38" w:lineRule="exact"/>
        <w:rPr>
          <w:sz w:val="20"/>
          <w:szCs w:val="20"/>
          <w:color w:val="auto"/>
        </w:rPr>
      </w:pPr>
    </w:p>
    <w:p>
      <w:pPr>
        <w:ind w:left="1295" w:right="20"/>
        <w:spacing w:after="0" w:line="271" w:lineRule="auto"/>
        <w:rPr>
          <w:sz w:val="20"/>
          <w:szCs w:val="20"/>
          <w:color w:val="auto"/>
        </w:rPr>
      </w:pPr>
      <w:r>
        <w:rPr>
          <w:rFonts w:ascii="Times New Roman" w:cs="Times New Roman" w:eastAsia="Times New Roman" w:hAnsi="Times New Roman"/>
          <w:sz w:val="22"/>
          <w:szCs w:val="22"/>
          <w:color w:val="auto"/>
        </w:rPr>
        <w:t>including, but not limited to, comments about any of their respective products, services, management, business or employment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775"/>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495"/>
          </w:cols>
          <w:pgMar w:left="1065" w:top="1440" w:right="339" w:bottom="1440" w:gutter="0" w:footer="0" w:header="0"/>
        </w:sectPr>
      </w:pPr>
    </w:p>
    <w:bookmarkStart w:id="76" w:name="page77"/>
    <w:bookmarkEnd w:id="76"/>
    <w:p>
      <w:pPr>
        <w:spacing w:after="0" w:line="387" w:lineRule="exact"/>
        <w:rPr>
          <w:sz w:val="20"/>
          <w:szCs w:val="20"/>
          <w:color w:val="auto"/>
        </w:rPr>
      </w:pPr>
    </w:p>
    <w:p>
      <w:pPr>
        <w:ind w:left="1294" w:hanging="646"/>
        <w:spacing w:after="0" w:line="249" w:lineRule="auto"/>
        <w:tabs>
          <w:tab w:leader="none" w:pos="116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at all times during and for three years after the Termination Date, the Company will instruct all current and future senior executive officers of the Company Group and each member of the Board, for so long as such individual remains employed by or serves as a director of the Company Group, not to make critical, negative or disparaging remarks about Executive that would reasonably be expected to result in material harm to Executive. Similarly, the Company Group agrees that, at all times during and for three years after the Termination Date, it will not, in any official communication published by the Company Group, make critical, negative or disparaging remarks about Executive that would reasonably be expected to result in material harm to Executive.</w:t>
      </w:r>
    </w:p>
    <w:p>
      <w:pPr>
        <w:spacing w:after="0" w:line="222" w:lineRule="exact"/>
        <w:rPr>
          <w:rFonts w:ascii="Times New Roman" w:cs="Times New Roman" w:eastAsia="Times New Roman" w:hAnsi="Times New Roman"/>
          <w:sz w:val="22"/>
          <w:szCs w:val="22"/>
          <w:color w:val="auto"/>
        </w:rPr>
      </w:pPr>
    </w:p>
    <w:p>
      <w:pPr>
        <w:jc w:val="both"/>
        <w:ind w:left="654" w:hanging="654"/>
        <w:spacing w:after="0" w:line="249" w:lineRule="auto"/>
        <w:tabs>
          <w:tab w:leader="none" w:pos="65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All copyrights, trademarks, trade names, servicemarks, patents and other intangible or intellectual property rights that may be invented, conceived, developed or enhanced during Executive’s employment with the Company Group (whether prior to or after the Start Date) that either (i) relate to the business of the Company Group thereof or (ii) result from any work performed by Executive for the Company Group, will be the sole property of the Company Group, as the case may be, and Executive hereby waives any right or interest that Executive may otherwise have in respect thereof. Upon request of the Company, Executive will execute, acknowledge and deliver any assignment or other instrument or document reasonably necessary or appropriate to give effect to this </w:t>
      </w:r>
      <w:r>
        <w:rPr>
          <w:rFonts w:ascii="Times New Roman" w:cs="Times New Roman" w:eastAsia="Times New Roman" w:hAnsi="Times New Roman"/>
          <w:sz w:val="22"/>
          <w:szCs w:val="22"/>
          <w:u w:val="single" w:color="auto"/>
          <w:color w:val="auto"/>
        </w:rPr>
        <w:t>Section 9(g)</w:t>
      </w:r>
      <w:r>
        <w:rPr>
          <w:rFonts w:ascii="Times New Roman" w:cs="Times New Roman" w:eastAsia="Times New Roman" w:hAnsi="Times New Roman"/>
          <w:sz w:val="22"/>
          <w:szCs w:val="22"/>
          <w:color w:val="auto"/>
        </w:rPr>
        <w:t xml:space="preserve"> and do all other acts and things reasonably necessary to enable the Company Group, as the case may be, to exploit the same or to obtain patents or similar protection with respect thereto.</w:t>
      </w:r>
    </w:p>
    <w:p>
      <w:pPr>
        <w:spacing w:after="0" w:line="223" w:lineRule="exact"/>
        <w:rPr>
          <w:rFonts w:ascii="Times New Roman" w:cs="Times New Roman" w:eastAsia="Times New Roman" w:hAnsi="Times New Roman"/>
          <w:sz w:val="22"/>
          <w:szCs w:val="22"/>
          <w:color w:val="auto"/>
        </w:rPr>
      </w:pPr>
    </w:p>
    <w:p>
      <w:pPr>
        <w:jc w:val="both"/>
        <w:ind w:left="654" w:right="100" w:hanging="654"/>
        <w:spacing w:after="0" w:line="262" w:lineRule="auto"/>
        <w:tabs>
          <w:tab w:leader="none" w:pos="59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w:t>
      </w:r>
      <w:r>
        <w:rPr>
          <w:rFonts w:ascii="Times New Roman" w:cs="Times New Roman" w:eastAsia="Times New Roman" w:hAnsi="Times New Roman"/>
          <w:sz w:val="21"/>
          <w:szCs w:val="21"/>
          <w:color w:val="auto"/>
        </w:rPr>
        <w:t xml:space="preserve">. The parties hereto agree and acknowledge that the duration, scope and geographic area of the covenants described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are fair, reasonable and necessary in order to protect the good will and other legitimate interests of the Company Group, that adequate consideration has been received by Executive for such obligations, and that these obligations do not prevent Executive from earning a livelihood. If, however, for any reason any arbitrator or court of competent jurisdiction determines that the restrictions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are not reasonable, that consideration is inadequate or that Executive has been prevented unlawfully from earning a livelihood, such restrictions will be interpreted, modified or rewritten to include as much of the duration, scope and geographic area identified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as will render such restrictions valid and enforceable.</w:t>
      </w:r>
    </w:p>
    <w:p>
      <w:pPr>
        <w:spacing w:after="0" w:line="213" w:lineRule="exact"/>
        <w:rPr>
          <w:rFonts w:ascii="Times New Roman" w:cs="Times New Roman" w:eastAsia="Times New Roman" w:hAnsi="Times New Roman"/>
          <w:sz w:val="21"/>
          <w:szCs w:val="21"/>
          <w:color w:val="auto"/>
        </w:rPr>
      </w:pPr>
    </w:p>
    <w:p>
      <w:pPr>
        <w:jc w:val="both"/>
        <w:ind w:left="654" w:right="100" w:hanging="654"/>
        <w:spacing w:after="0" w:line="253" w:lineRule="auto"/>
        <w:tabs>
          <w:tab w:leader="none" w:pos="64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Breach</w:t>
      </w:r>
      <w:r>
        <w:rPr>
          <w:rFonts w:ascii="Times New Roman" w:cs="Times New Roman" w:eastAsia="Times New Roman" w:hAnsi="Times New Roman"/>
          <w:sz w:val="22"/>
          <w:szCs w:val="22"/>
          <w:color w:val="auto"/>
        </w:rPr>
        <w:t>. The Company and Executive agree that the restrictive covenants contained in this Agreement are severable and separate, and the unenforceability of any specific covenant herein will not affect the validity of any other covenant set forth herein. Executive acknowledges that the Company Group will suffer irreparable harm as a result of a breach of such restrictive covenants by Executive for which an adequate monetary remedy does not exist and a remedy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774"/>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494"/>
          </w:cols>
          <w:pgMar w:left="1066" w:top="1440" w:right="339" w:bottom="1440" w:gutter="0" w:footer="0" w:header="0"/>
        </w:sectPr>
      </w:pPr>
    </w:p>
    <w:bookmarkStart w:id="77" w:name="page78"/>
    <w:bookmarkEnd w:id="77"/>
    <w:p>
      <w:pPr>
        <w:spacing w:after="0" w:line="387" w:lineRule="exact"/>
        <w:rPr>
          <w:sz w:val="20"/>
          <w:szCs w:val="20"/>
          <w:color w:val="auto"/>
        </w:rPr>
      </w:pPr>
    </w:p>
    <w:p>
      <w:pPr>
        <w:jc w:val="both"/>
        <w:ind w:left="655" w:right="100"/>
        <w:spacing w:after="0" w:line="249" w:lineRule="auto"/>
        <w:rPr>
          <w:sz w:val="20"/>
          <w:szCs w:val="20"/>
          <w:color w:val="auto"/>
        </w:rPr>
      </w:pPr>
      <w:r>
        <w:rPr>
          <w:rFonts w:ascii="Times New Roman" w:cs="Times New Roman" w:eastAsia="Times New Roman" w:hAnsi="Times New Roman"/>
          <w:sz w:val="22"/>
          <w:szCs w:val="22"/>
          <w:color w:val="auto"/>
        </w:rPr>
        <w:t xml:space="preserve">law may prove to be inadequate. Accordingly, in the event of any actual or threatened breach by Executive of any provision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the Company Group will, in addition to any other remedies permitted by law, be entitled to obtain remedies in equity, including, without limitation, specific performance, injunctive relief, a temporary restraining order, and/or a permanent injunction in any court of competent jurisdiction, to prevent or otherwise restrain a breach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without the necessity of proving damages, posting a bond or other security, and Executive hereby consents to the entry of such relief against him and agrees not to contest such entry. Such relief will be in addition to and not in substitution of any other remedies available to the Company Group. The existence of any claim or cause of action of Executive against the Company Group, whether predicated on this Agreement or otherwise, will not constitute a defense to the enforcement by the Company Group of said covenants.</w:t>
      </w:r>
    </w:p>
    <w:p>
      <w:pPr>
        <w:spacing w:after="0" w:line="224" w:lineRule="exact"/>
        <w:rPr>
          <w:sz w:val="20"/>
          <w:szCs w:val="20"/>
          <w:color w:val="auto"/>
        </w:rPr>
      </w:pPr>
    </w:p>
    <w:p>
      <w:pPr>
        <w:ind w:left="415" w:hanging="415"/>
        <w:spacing w:after="0"/>
        <w:tabs>
          <w:tab w:leader="none" w:pos="41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295" w:hanging="646"/>
        <w:spacing w:after="0" w:line="248" w:lineRule="auto"/>
        <w:tabs>
          <w:tab w:leader="none" w:pos="108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18 U.S.C. §1833(b), Executive shall not be held criminally or civilly liable under any Federal or State trade secret law for the disclosure of a trade secret of the Company Group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Executive’s attorney and use the trade secret information in the court proceeding, if Executive (1) 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w:t>
      </w:r>
    </w:p>
    <w:p>
      <w:pPr>
        <w:spacing w:after="0" w:line="229" w:lineRule="exact"/>
        <w:rPr>
          <w:rFonts w:ascii="Times New Roman" w:cs="Times New Roman" w:eastAsia="Times New Roman" w:hAnsi="Times New Roman"/>
          <w:sz w:val="22"/>
          <w:szCs w:val="22"/>
          <w:color w:val="auto"/>
        </w:rPr>
      </w:pPr>
    </w:p>
    <w:p>
      <w:pPr>
        <w:ind w:left="1295" w:right="120" w:hanging="646"/>
        <w:spacing w:after="0" w:line="255" w:lineRule="auto"/>
        <w:tabs>
          <w:tab w:leader="none" w:pos="11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nothing in this Agreement or any other agreement that Executive has with the Company Group shall prohibit or restrict Executive from:</w:t>
      </w:r>
    </w:p>
    <w:p>
      <w:pPr>
        <w:spacing w:after="0" w:line="1" w:lineRule="exact"/>
        <w:rPr>
          <w:rFonts w:ascii="Times New Roman" w:cs="Times New Roman" w:eastAsia="Times New Roman" w:hAnsi="Times New Roman"/>
          <w:sz w:val="22"/>
          <w:szCs w:val="22"/>
          <w:color w:val="auto"/>
        </w:rPr>
      </w:pPr>
    </w:p>
    <w:p>
      <w:pPr>
        <w:jc w:val="both"/>
        <w:ind w:left="1295" w:right="100" w:firstLine="2"/>
        <w:spacing w:after="0" w:line="247" w:lineRule="auto"/>
        <w:tabs>
          <w:tab w:leader="none" w:pos="1667"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voluntarily communicating with an attorney retained by Executive, (B) voluntarily communicating with any law enforcement, government agency, including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Equal Employment Opportunity Commission, the Attorney General, the New York State Division of Human Rights, or any other state or local commission on human rights, or any self-regulatory organization regarding possible violations of law (including alleged criminal conduct or unlawful employment practices), in each case without advance notice to the Company Group, or otherwise initiating, testifying, assisting, complying with a subpoena from, or participating in any manner with an investigation conducted by such government agency, (C) recovering a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75"/>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495"/>
          </w:cols>
          <w:pgMar w:left="1065" w:top="1440" w:right="339" w:bottom="1440" w:gutter="0" w:footer="0" w:header="0"/>
        </w:sectPr>
      </w:pPr>
    </w:p>
    <w:bookmarkStart w:id="78" w:name="page79"/>
    <w:bookmarkEnd w:id="78"/>
    <w:p>
      <w:pPr>
        <w:spacing w:after="0" w:line="387" w:lineRule="exact"/>
        <w:rPr>
          <w:sz w:val="20"/>
          <w:szCs w:val="20"/>
          <w:color w:val="auto"/>
        </w:rPr>
      </w:pPr>
    </w:p>
    <w:p>
      <w:pPr>
        <w:jc w:val="both"/>
        <w:ind w:left="1943"/>
        <w:spacing w:after="0" w:line="260" w:lineRule="auto"/>
        <w:rPr>
          <w:sz w:val="20"/>
          <w:szCs w:val="20"/>
          <w:color w:val="auto"/>
        </w:rPr>
      </w:pPr>
      <w:r>
        <w:rPr>
          <w:rFonts w:ascii="Times New Roman" w:cs="Times New Roman" w:eastAsia="Times New Roman" w:hAnsi="Times New Roman"/>
          <w:sz w:val="21"/>
          <w:szCs w:val="21"/>
          <w:color w:val="auto"/>
        </w:rPr>
        <w:t>whistleblower award as provided under Section 21F of the Securities Exchange Act of 1934, (D) disclosing any Confidential Information to a court or other administrative or legislative body in response to a subpoena, court order or written request (with advance notice to the Company Group prior to any such disclosure to the extent legally permitted), (E) filing or disclosing any facts necessary to receive unemployment insurance, Medicaid or other public benefits to which Executive is entitled, (F) disclosing the underlying facts or circumstances relating to claims of discrimination, in violation of laws prohibiting discrimination, against the Company Group, including disclosing information with respect to sexual misconduct, sexual harassment, sexual assault or other unlawful employment practices, (G) disclosing any Confidential Information to the extent required in the course of Executive’s employment,</w:t>
      </w:r>
    </w:p>
    <w:p>
      <w:pPr>
        <w:spacing w:after="0" w:line="5" w:lineRule="exact"/>
        <w:rPr>
          <w:sz w:val="20"/>
          <w:szCs w:val="20"/>
          <w:color w:val="auto"/>
        </w:rPr>
      </w:pPr>
    </w:p>
    <w:p>
      <w:pPr>
        <w:jc w:val="both"/>
        <w:ind w:left="1943" w:firstLine="2"/>
        <w:spacing w:after="0" w:line="245" w:lineRule="auto"/>
        <w:tabs>
          <w:tab w:leader="none" w:pos="2314"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any Confidential Information to Executive’s personal advisers for purposes of enforcing or interpreting this Agreement or any other material written agreement between Executive and a member of the Company Group (or in the case of any other litigation between Executive and the Company Group), or to a court or arbitrator for the purpose of enforcing or interpreting this Agreement (or in the case of any other litigation between Executive and the Company Group), and who in each case have been informed as to the confidential nature of such Confidential Information and, as to advisers, their obligation (contractual or otherwise) to keep such Confidential Information confidential, or (I) enforcing this Agreement or any other material written agreement between Executive and a member of the Company Group.</w:t>
      </w:r>
    </w:p>
    <w:p>
      <w:pPr>
        <w:spacing w:after="0" w:line="216" w:lineRule="exact"/>
        <w:rPr>
          <w:rFonts w:ascii="Times New Roman" w:cs="Times New Roman" w:eastAsia="Times New Roman" w:hAnsi="Times New Roman"/>
          <w:sz w:val="22"/>
          <w:szCs w:val="22"/>
          <w:color w:val="auto"/>
        </w:rPr>
      </w:pPr>
    </w:p>
    <w:p>
      <w:pPr>
        <w:ind w:left="643" w:right="20" w:hanging="642"/>
        <w:spacing w:after="0" w:line="251" w:lineRule="auto"/>
        <w:tabs>
          <w:tab w:leader="none" w:pos="52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and all of the terms and conditions hereof, will bind the Company and its successors and assigns and will bind Executive and Executive’s heirs, executors and administrators. No transfer or assignment of this Agreement will release the Company from any obligation to Executive hereunder. Neither this Agreement, nor any of the Company’s Group’s rights or obligations hereunder, may be assigned or otherwise subject to hypothecation by Executive, and any such attempted assignment or hypothecation will be null and void. The Company Group may assign any of its rights hereunder, in whole or in part, to any successor or assign.</w:t>
      </w:r>
    </w:p>
    <w:p>
      <w:pPr>
        <w:spacing w:after="0" w:line="221" w:lineRule="exact"/>
        <w:rPr>
          <w:rFonts w:ascii="Times New Roman" w:cs="Times New Roman" w:eastAsia="Times New Roman" w:hAnsi="Times New Roman"/>
          <w:sz w:val="22"/>
          <w:szCs w:val="22"/>
          <w:color w:val="auto"/>
        </w:rPr>
      </w:pPr>
    </w:p>
    <w:p>
      <w:pPr>
        <w:ind w:left="483" w:hanging="483"/>
        <w:spacing w:after="0"/>
        <w:tabs>
          <w:tab w:leader="none" w:pos="48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303" w:hanging="654"/>
        <w:spacing w:after="0" w:line="265" w:lineRule="auto"/>
        <w:tabs>
          <w:tab w:leader="none" w:pos="1149"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set forth in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the Company Group and Executive mutually consent to the resolution by final and binding arbitration of any and all disputes, controversies or claims between them including, without limitation, (i) any dispute, controversy or claim related in any way to Executive’s employment with the Company Group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043"/>
          </w:cols>
          <w:pgMar w:left="417" w:top="1440" w:right="439" w:bottom="1440" w:gutter="0" w:footer="0" w:header="0"/>
        </w:sectPr>
      </w:pPr>
    </w:p>
    <w:bookmarkStart w:id="79" w:name="page80"/>
    <w:bookmarkEnd w:id="79"/>
    <w:p>
      <w:pPr>
        <w:spacing w:after="0" w:line="387" w:lineRule="exact"/>
        <w:rPr>
          <w:sz w:val="20"/>
          <w:szCs w:val="20"/>
          <w:color w:val="auto"/>
        </w:rPr>
      </w:pPr>
    </w:p>
    <w:p>
      <w:pPr>
        <w:jc w:val="both"/>
        <w:ind w:left="654"/>
        <w:spacing w:after="0" w:line="263" w:lineRule="auto"/>
        <w:rPr>
          <w:sz w:val="20"/>
          <w:szCs w:val="20"/>
          <w:color w:val="auto"/>
        </w:rPr>
      </w:pPr>
      <w:r>
        <w:rPr>
          <w:rFonts w:ascii="Times New Roman" w:cs="Times New Roman" w:eastAsia="Times New Roman" w:hAnsi="Times New Roman"/>
          <w:sz w:val="21"/>
          <w:szCs w:val="21"/>
          <w:color w:val="auto"/>
        </w:rPr>
        <w:t>any claim arising out of or relating to this Agreement or the breach thereof (collectively, “</w:t>
      </w:r>
      <w:r>
        <w:rPr>
          <w:rFonts w:ascii="Times New Roman" w:cs="Times New Roman" w:eastAsia="Times New Roman" w:hAnsi="Times New Roman"/>
          <w:sz w:val="21"/>
          <w:szCs w:val="21"/>
          <w:u w:val="single" w:color="auto"/>
          <w:color w:val="auto"/>
        </w:rPr>
        <w:t>Disputes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herein will require arbitration of any claim or charge which, by law, cannot be the subject of a compulsory arbitration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notwithstanding anything to the contrary herein, Executive may, but is not required to, arbitrate claims for sexual harassment or assault to the extent applicable law renders a pre-dispute arbitration agreement covering such claims invalid or unenforceable. All Disputes will be resolved exclusively by arbitration administered by the Judicial Arbitration and Mediation Services (“</w:t>
      </w:r>
      <w:r>
        <w:rPr>
          <w:rFonts w:ascii="Times New Roman" w:cs="Times New Roman" w:eastAsia="Times New Roman" w:hAnsi="Times New Roman"/>
          <w:sz w:val="21"/>
          <w:szCs w:val="21"/>
          <w:u w:val="single" w:color="auto"/>
          <w:color w:val="auto"/>
        </w:rPr>
        <w:t>JAMS</w:t>
      </w:r>
      <w:r>
        <w:rPr>
          <w:rFonts w:ascii="Times New Roman" w:cs="Times New Roman" w:eastAsia="Times New Roman" w:hAnsi="Times New Roman"/>
          <w:sz w:val="21"/>
          <w:szCs w:val="21"/>
          <w:color w:val="auto"/>
        </w:rPr>
        <w:t>”) under the JAMS Employment Dispute Resolution Rule then in effect (the “</w:t>
      </w:r>
      <w:r>
        <w:rPr>
          <w:rFonts w:ascii="Times New Roman" w:cs="Times New Roman" w:eastAsia="Times New Roman" w:hAnsi="Times New Roman"/>
          <w:sz w:val="21"/>
          <w:szCs w:val="21"/>
          <w:u w:val="single" w:color="auto"/>
          <w:color w:val="auto"/>
        </w:rPr>
        <w:t>JAMS Rules</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54" w:right="20" w:hanging="654"/>
        <w:spacing w:after="0" w:line="271" w:lineRule="auto"/>
        <w:tabs>
          <w:tab w:leader="none" w:pos="50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proceeding brought under this Agreement will be conducted in New York, New York, or another mutually agreed upon location before one arbitrator selected in accordance with the JAMS Rules.</w:t>
      </w:r>
    </w:p>
    <w:p>
      <w:pPr>
        <w:spacing w:after="0" w:line="198" w:lineRule="exact"/>
        <w:rPr>
          <w:rFonts w:ascii="Times New Roman" w:cs="Times New Roman" w:eastAsia="Times New Roman" w:hAnsi="Times New Roman"/>
          <w:sz w:val="22"/>
          <w:szCs w:val="22"/>
          <w:color w:val="auto"/>
        </w:rPr>
      </w:pPr>
    </w:p>
    <w:p>
      <w:pPr>
        <w:ind w:left="654" w:hanging="654"/>
        <w:spacing w:after="0" w:line="249" w:lineRule="auto"/>
        <w:tabs>
          <w:tab w:leader="none" w:pos="49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the authority to award any remedy is subject to whatever limitations, if any, exist in the applicable law on such remedies and (ii) the arbitrator is not empowered to award damages in excess of compensatory damages, and each party hereto irrevocably waives any right to recover punitive, exemplary or similar damages with respect to any dispute, controversy or claim. The arbitrator will issue a decision or award in writing, stating the essential findings of fact and conclusions of law.</w:t>
      </w:r>
    </w:p>
    <w:p>
      <w:pPr>
        <w:spacing w:after="0" w:line="222" w:lineRule="exact"/>
        <w:rPr>
          <w:rFonts w:ascii="Times New Roman" w:cs="Times New Roman" w:eastAsia="Times New Roman" w:hAnsi="Times New Roman"/>
          <w:sz w:val="22"/>
          <w:szCs w:val="22"/>
          <w:color w:val="auto"/>
        </w:rPr>
      </w:pPr>
    </w:p>
    <w:p>
      <w:pPr>
        <w:ind w:left="654" w:right="20" w:hanging="654"/>
        <w:spacing w:after="0" w:line="268" w:lineRule="auto"/>
        <w:tabs>
          <w:tab w:leader="none" w:pos="48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judgment on or enforcement of any award, including an award providing for interim or permanent injunctive relief, rendered by the arbitrator may be entered, enforced or appealed from in any court of competent jurisdiction. Any arbitration proceedings, decision or award rendered hereunder, and the validity, effect and interpretation of this arbitration provision, will be governed by the Federal Arbitration Act, 9 U.S.C. §1 et seq.</w:t>
      </w:r>
    </w:p>
    <w:p>
      <w:pPr>
        <w:spacing w:after="0" w:line="203" w:lineRule="exact"/>
        <w:rPr>
          <w:rFonts w:ascii="Times New Roman" w:cs="Times New Roman" w:eastAsia="Times New Roman" w:hAnsi="Times New Roman"/>
          <w:sz w:val="21"/>
          <w:szCs w:val="21"/>
          <w:color w:val="auto"/>
        </w:rPr>
      </w:pPr>
    </w:p>
    <w:p>
      <w:pPr>
        <w:ind w:left="654" w:hanging="654"/>
        <w:spacing w:after="0" w:line="263" w:lineRule="auto"/>
        <w:tabs>
          <w:tab w:leader="none" w:pos="57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774"/>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394"/>
          </w:cols>
          <w:pgMar w:left="1066" w:top="1440" w:right="439" w:bottom="1440" w:gutter="0" w:footer="0" w:header="0"/>
        </w:sectPr>
      </w:pPr>
    </w:p>
    <w:bookmarkStart w:id="80" w:name="page81"/>
    <w:bookmarkEnd w:id="80"/>
    <w:p>
      <w:pPr>
        <w:spacing w:after="0" w:line="387" w:lineRule="exact"/>
        <w:rPr>
          <w:sz w:val="20"/>
          <w:szCs w:val="20"/>
          <w:color w:val="auto"/>
        </w:rPr>
      </w:pPr>
    </w:p>
    <w:p>
      <w:pPr>
        <w:ind w:left="483" w:hanging="483"/>
        <w:spacing w:after="0"/>
        <w:tabs>
          <w:tab w:leader="none" w:pos="48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p>
    <w:p>
      <w:pPr>
        <w:spacing w:after="0" w:line="260" w:lineRule="exact"/>
        <w:rPr>
          <w:rFonts w:ascii="Times New Roman" w:cs="Times New Roman" w:eastAsia="Times New Roman" w:hAnsi="Times New Roman"/>
          <w:sz w:val="22"/>
          <w:szCs w:val="22"/>
          <w:color w:val="auto"/>
        </w:rPr>
      </w:pPr>
    </w:p>
    <w:p>
      <w:pPr>
        <w:ind w:left="1303" w:hanging="654"/>
        <w:spacing w:after="0" w:line="250" w:lineRule="auto"/>
        <w:tabs>
          <w:tab w:leader="none" w:pos="111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w:t>
      </w:r>
    </w:p>
    <w:p>
      <w:pPr>
        <w:spacing w:after="0" w:line="248" w:lineRule="exact"/>
        <w:rPr>
          <w:sz w:val="20"/>
          <w:szCs w:val="20"/>
          <w:color w:val="auto"/>
        </w:rPr>
      </w:pPr>
    </w:p>
    <w:p>
      <w:pPr>
        <w:ind w:left="1283"/>
        <w:spacing w:after="0"/>
        <w:rPr>
          <w:sz w:val="20"/>
          <w:szCs w:val="20"/>
          <w:color w:val="auto"/>
        </w:rPr>
      </w:pPr>
      <w:r>
        <w:rPr>
          <w:rFonts w:ascii="Times New Roman" w:cs="Times New Roman" w:eastAsia="Times New Roman" w:hAnsi="Times New Roman"/>
          <w:sz w:val="22"/>
          <w:szCs w:val="22"/>
          <w:color w:val="auto"/>
        </w:rPr>
        <w:t>To the Company:</w:t>
      </w:r>
    </w:p>
    <w:p>
      <w:pPr>
        <w:spacing w:after="0" w:line="247" w:lineRule="exact"/>
        <w:rPr>
          <w:sz w:val="20"/>
          <w:szCs w:val="20"/>
          <w:color w:val="auto"/>
        </w:rPr>
      </w:pPr>
    </w:p>
    <w:p>
      <w:pPr>
        <w:ind w:left="1943"/>
        <w:spacing w:after="0"/>
        <w:rPr>
          <w:sz w:val="20"/>
          <w:szCs w:val="20"/>
          <w:color w:val="auto"/>
        </w:rPr>
      </w:pPr>
      <w:r>
        <w:rPr>
          <w:rFonts w:ascii="Times New Roman" w:cs="Times New Roman" w:eastAsia="Times New Roman" w:hAnsi="Times New Roman"/>
          <w:sz w:val="22"/>
          <w:szCs w:val="22"/>
          <w:color w:val="auto"/>
        </w:rPr>
        <w:t>FactSet Research Systems Inc. 45 Glover Avenue</w:t>
      </w:r>
    </w:p>
    <w:p>
      <w:pPr>
        <w:ind w:left="1943"/>
        <w:spacing w:after="0" w:line="211"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943"/>
        <w:spacing w:after="0"/>
        <w:rPr>
          <w:sz w:val="20"/>
          <w:szCs w:val="20"/>
          <w:color w:val="auto"/>
        </w:rPr>
      </w:pPr>
      <w:r>
        <w:rPr>
          <w:rFonts w:ascii="Times New Roman" w:cs="Times New Roman" w:eastAsia="Times New Roman" w:hAnsi="Times New Roman"/>
          <w:sz w:val="22"/>
          <w:szCs w:val="22"/>
          <w:color w:val="auto"/>
        </w:rPr>
        <w:t>Norwalk, CT 06850 Attention: Chair of the Board</w:t>
      </w:r>
    </w:p>
    <w:p>
      <w:pPr>
        <w:spacing w:after="0" w:line="236" w:lineRule="exact"/>
        <w:rPr>
          <w:sz w:val="20"/>
          <w:szCs w:val="20"/>
          <w:color w:val="auto"/>
        </w:rPr>
      </w:pPr>
    </w:p>
    <w:p>
      <w:pPr>
        <w:ind w:left="1303"/>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47" w:lineRule="exact"/>
        <w:rPr>
          <w:sz w:val="20"/>
          <w:szCs w:val="20"/>
          <w:color w:val="auto"/>
        </w:rPr>
      </w:pPr>
    </w:p>
    <w:p>
      <w:pPr>
        <w:ind w:left="1943" w:right="3360"/>
        <w:spacing w:after="0" w:line="284" w:lineRule="auto"/>
        <w:rPr>
          <w:sz w:val="20"/>
          <w:szCs w:val="20"/>
          <w:color w:val="auto"/>
        </w:rPr>
      </w:pPr>
      <w:r>
        <w:rPr>
          <w:rFonts w:ascii="Times New Roman" w:cs="Times New Roman" w:eastAsia="Times New Roman" w:hAnsi="Times New Roman"/>
          <w:sz w:val="22"/>
          <w:szCs w:val="22"/>
          <w:color w:val="auto"/>
        </w:rPr>
        <w:t>Skadden, Arps, Slate, Meagher &amp; Flom LLP One Manhattan West New York, NY 10001 Attention: Michael A. Wiseman</w:t>
      </w:r>
    </w:p>
    <w:p>
      <w:pPr>
        <w:spacing w:after="0" w:line="22" w:lineRule="exact"/>
        <w:rPr>
          <w:sz w:val="20"/>
          <w:szCs w:val="20"/>
          <w:color w:val="auto"/>
        </w:rPr>
      </w:pPr>
    </w:p>
    <w:p>
      <w:pPr>
        <w:ind w:left="1943"/>
        <w:spacing w:after="0"/>
        <w:rPr>
          <w:sz w:val="20"/>
          <w:szCs w:val="20"/>
          <w:color w:val="auto"/>
        </w:rPr>
      </w:pPr>
      <w:r>
        <w:rPr>
          <w:rFonts w:ascii="Times New Roman" w:cs="Times New Roman" w:eastAsia="Times New Roman" w:hAnsi="Times New Roman"/>
          <w:sz w:val="22"/>
          <w:szCs w:val="22"/>
          <w:color w:val="auto"/>
        </w:rPr>
        <w:t>Email: michael.wiseman@skadden.com To Executive:</w:t>
      </w:r>
    </w:p>
    <w:p>
      <w:pPr>
        <w:spacing w:after="0" w:line="112" w:lineRule="exact"/>
        <w:rPr>
          <w:sz w:val="20"/>
          <w:szCs w:val="20"/>
          <w:color w:val="auto"/>
        </w:rPr>
      </w:pPr>
    </w:p>
    <w:p>
      <w:pPr>
        <w:ind w:left="1943"/>
        <w:spacing w:after="0"/>
        <w:rPr>
          <w:sz w:val="20"/>
          <w:szCs w:val="20"/>
          <w:color w:val="auto"/>
        </w:rPr>
      </w:pPr>
      <w:r>
        <w:rPr>
          <w:rFonts w:ascii="Times New Roman" w:cs="Times New Roman" w:eastAsia="Times New Roman" w:hAnsi="Times New Roman"/>
          <w:sz w:val="22"/>
          <w:szCs w:val="22"/>
          <w:color w:val="auto"/>
        </w:rPr>
        <w:t>At the address shown in the Company’s personnel records</w:t>
      </w:r>
    </w:p>
    <w:p>
      <w:pPr>
        <w:spacing w:after="0" w:line="260" w:lineRule="exact"/>
        <w:rPr>
          <w:sz w:val="20"/>
          <w:szCs w:val="20"/>
          <w:color w:val="auto"/>
        </w:rPr>
      </w:pPr>
    </w:p>
    <w:p>
      <w:pPr>
        <w:ind w:left="1303" w:hanging="654"/>
        <w:spacing w:after="0" w:line="256" w:lineRule="auto"/>
        <w:tabs>
          <w:tab w:leader="none" w:pos="112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any exhibits hereto) constitutes the sole and entire agreement of the parties to this Agreement with respect to the subject matter contained herein and therein, and, effective as of the Effective Date, supersedes all prior and contemporaneous representations, warranties, understandings and agreements, both written and oral, with respect to such subject matter.</w:t>
      </w:r>
    </w:p>
    <w:p>
      <w:pPr>
        <w:spacing w:after="0" w:line="216" w:lineRule="exact"/>
        <w:rPr>
          <w:rFonts w:ascii="Times New Roman" w:cs="Times New Roman" w:eastAsia="Times New Roman" w:hAnsi="Times New Roman"/>
          <w:sz w:val="22"/>
          <w:szCs w:val="22"/>
          <w:color w:val="auto"/>
        </w:rPr>
      </w:pPr>
    </w:p>
    <w:p>
      <w:pPr>
        <w:ind w:left="1303" w:right="20" w:hanging="654"/>
        <w:spacing w:after="0" w:line="271" w:lineRule="auto"/>
        <w:tabs>
          <w:tab w:leader="none" w:pos="119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reference only and shall not affect the interpretation of this Agreement.</w:t>
      </w:r>
    </w:p>
    <w:p>
      <w:pPr>
        <w:spacing w:after="0" w:line="198" w:lineRule="exact"/>
        <w:rPr>
          <w:rFonts w:ascii="Times New Roman" w:cs="Times New Roman" w:eastAsia="Times New Roman" w:hAnsi="Times New Roman"/>
          <w:sz w:val="22"/>
          <w:szCs w:val="22"/>
          <w:color w:val="auto"/>
        </w:rPr>
      </w:pPr>
    </w:p>
    <w:p>
      <w:pPr>
        <w:ind w:left="1303" w:hanging="654"/>
        <w:spacing w:after="0" w:line="257" w:lineRule="auto"/>
        <w:tabs>
          <w:tab w:leader="none" w:pos="116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Modification; Waiver</w:t>
      </w:r>
      <w:r>
        <w:rPr>
          <w:rFonts w:ascii="Times New Roman" w:cs="Times New Roman" w:eastAsia="Times New Roman" w:hAnsi="Times New Roman"/>
          <w:sz w:val="22"/>
          <w:szCs w:val="22"/>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043"/>
          </w:cols>
          <w:pgMar w:left="417" w:top="1440" w:right="439" w:bottom="1440" w:gutter="0" w:footer="0" w:header="0"/>
        </w:sectPr>
      </w:pPr>
    </w:p>
    <w:bookmarkStart w:id="81" w:name="page82"/>
    <w:bookmarkEnd w:id="81"/>
    <w:p>
      <w:pPr>
        <w:spacing w:after="0" w:line="387" w:lineRule="exact"/>
        <w:rPr>
          <w:sz w:val="20"/>
          <w:szCs w:val="20"/>
          <w:color w:val="auto"/>
        </w:rPr>
      </w:pPr>
    </w:p>
    <w:p>
      <w:pPr>
        <w:ind w:left="654" w:right="20"/>
        <w:spacing w:after="0" w:line="271" w:lineRule="auto"/>
        <w:rPr>
          <w:sz w:val="20"/>
          <w:szCs w:val="20"/>
          <w:color w:val="auto"/>
        </w:rPr>
      </w:pPr>
      <w:r>
        <w:rPr>
          <w:rFonts w:ascii="Times New Roman" w:cs="Times New Roman" w:eastAsia="Times New Roman" w:hAnsi="Times New Roman"/>
          <w:sz w:val="22"/>
          <w:szCs w:val="22"/>
          <w:color w:val="auto"/>
        </w:rPr>
        <w:t>thereof nor shall any single or partial exercise of any right, remedy, power or privilege hereunder preclude any other or further exercise thereof or the exercise of any other right, remedy, power or privilege.</w:t>
      </w:r>
    </w:p>
    <w:p>
      <w:pPr>
        <w:spacing w:after="0" w:line="198" w:lineRule="exact"/>
        <w:rPr>
          <w:sz w:val="20"/>
          <w:szCs w:val="20"/>
          <w:color w:val="auto"/>
        </w:rPr>
      </w:pPr>
    </w:p>
    <w:p>
      <w:pPr>
        <w:ind w:left="654" w:right="20" w:hanging="654"/>
        <w:spacing w:after="0" w:line="257" w:lineRule="auto"/>
        <w:tabs>
          <w:tab w:leader="none" w:pos="50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internal laws of the State of Connecticut without giving effect to any choice or conflict of law provision or rule (whether of the State of Connecticut or any other jurisdiction).</w:t>
      </w:r>
    </w:p>
    <w:p>
      <w:pPr>
        <w:spacing w:after="0" w:line="213" w:lineRule="exact"/>
        <w:rPr>
          <w:rFonts w:ascii="Times New Roman" w:cs="Times New Roman" w:eastAsia="Times New Roman" w:hAnsi="Times New Roman"/>
          <w:sz w:val="22"/>
          <w:szCs w:val="22"/>
          <w:color w:val="auto"/>
        </w:rPr>
      </w:pPr>
    </w:p>
    <w:p>
      <w:pPr>
        <w:ind w:left="654" w:right="20" w:hanging="654"/>
        <w:spacing w:after="0" w:line="263" w:lineRule="auto"/>
        <w:tabs>
          <w:tab w:leader="none" w:pos="51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Survivorship</w:t>
      </w:r>
      <w:r>
        <w:rPr>
          <w:rFonts w:ascii="Times New Roman" w:cs="Times New Roman" w:eastAsia="Times New Roman" w:hAnsi="Times New Roman"/>
          <w:sz w:val="22"/>
          <w:szCs w:val="22"/>
          <w:color w:val="auto"/>
        </w:rPr>
        <w:t xml:space="preserve">. The provisions of this Agreement necessary to carry out the intention of the parties as expressed herein will survive the termination or expiration of this Agreement, including, without limitation, the provisions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w:t>
      </w:r>
    </w:p>
    <w:p>
      <w:pPr>
        <w:spacing w:after="0" w:line="207" w:lineRule="exact"/>
        <w:rPr>
          <w:rFonts w:ascii="Times New Roman" w:cs="Times New Roman" w:eastAsia="Times New Roman" w:hAnsi="Times New Roman"/>
          <w:sz w:val="22"/>
          <w:szCs w:val="22"/>
          <w:color w:val="auto"/>
        </w:rPr>
      </w:pPr>
    </w:p>
    <w:p>
      <w:pPr>
        <w:ind w:left="654" w:hanging="654"/>
        <w:spacing w:after="0" w:line="252" w:lineRule="auto"/>
        <w:tabs>
          <w:tab w:leader="none" w:pos="56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219" w:lineRule="exact"/>
        <w:rPr>
          <w:rFonts w:ascii="Times New Roman" w:cs="Times New Roman" w:eastAsia="Times New Roman" w:hAnsi="Times New Roman"/>
          <w:sz w:val="22"/>
          <w:szCs w:val="22"/>
          <w:color w:val="auto"/>
        </w:rPr>
      </w:pPr>
    </w:p>
    <w:p>
      <w:pPr>
        <w:ind w:left="654" w:right="20" w:hanging="654"/>
        <w:spacing w:after="0" w:line="256" w:lineRule="auto"/>
        <w:tabs>
          <w:tab w:leader="none" w:pos="48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compensation payable to Executive pursuant to this Agreement will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203" w:lineRule="exact"/>
        <w:rPr>
          <w:rFonts w:ascii="Times New Roman" w:cs="Times New Roman" w:eastAsia="Times New Roman" w:hAnsi="Times New Roman"/>
          <w:sz w:val="22"/>
          <w:szCs w:val="22"/>
          <w:color w:val="auto"/>
        </w:rPr>
      </w:pPr>
    </w:p>
    <w:p>
      <w:pPr>
        <w:ind w:left="654" w:hanging="654"/>
        <w:spacing w:after="0" w:line="252" w:lineRule="auto"/>
        <w:tabs>
          <w:tab w:leader="none" w:pos="52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 Inconsistencies</w:t>
      </w:r>
      <w:r>
        <w:rPr>
          <w:rFonts w:ascii="Times New Roman" w:cs="Times New Roman" w:eastAsia="Times New Roman" w:hAnsi="Times New Roman"/>
          <w:sz w:val="22"/>
          <w:szCs w:val="22"/>
          <w:color w:val="auto"/>
        </w:rPr>
        <w:t>. In no event will Executive be obligated to seek other employment or take any other action by way of mitigation of the amounts payable to Executive under any of the provisions of this Agreement. In the event of any inconsistency between the terms of this Agreement and any form, award, plan or policy of the Company, the terms of this Agreement will govern and control (including with respect any restrictive covenants). In the event of any inconsistency between any provision of this Agreement and any provision of any employee handbook, personnel manual, program, policy, or arrangement of the Company or any of its affiliates, the provisions of this Agreement shall control.</w:t>
      </w:r>
    </w:p>
    <w:p>
      <w:pPr>
        <w:spacing w:after="0" w:line="206" w:lineRule="exact"/>
        <w:rPr>
          <w:rFonts w:ascii="Times New Roman" w:cs="Times New Roman" w:eastAsia="Times New Roman" w:hAnsi="Times New Roman"/>
          <w:sz w:val="22"/>
          <w:szCs w:val="22"/>
          <w:color w:val="auto"/>
        </w:rPr>
      </w:pPr>
    </w:p>
    <w:p>
      <w:pPr>
        <w:ind w:left="654" w:hanging="654"/>
        <w:spacing w:after="0" w:line="249" w:lineRule="auto"/>
        <w:tabs>
          <w:tab w:leader="none" w:pos="49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parties is that payments and benefits under this Agreement comply with, or be exempt from, Section 409A of the Internal Revenue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subject thereto, and accordingly, to the maximum extent permitted, this Agreement shall be interpreted and administered to be in compliance therewith. Notwithstanding anything contained herein to the contrary, Executive will not be considered to have terminated employment with the Company for purposes of any payments under this Agreement that are subject to Section 409A until Executive would be considered to have incurred a “separation from service” from the Company within the meaning of Section 409A. Each amount to be paid or benefit to be provided under this Agreement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74"/>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394"/>
          </w:cols>
          <w:pgMar w:left="1066" w:top="1440" w:right="439" w:bottom="1440" w:gutter="0" w:footer="0" w:header="0"/>
        </w:sectPr>
      </w:pPr>
    </w:p>
    <w:bookmarkStart w:id="82" w:name="page83"/>
    <w:bookmarkEnd w:id="82"/>
    <w:p>
      <w:pPr>
        <w:spacing w:after="0" w:line="387" w:lineRule="exact"/>
        <w:rPr>
          <w:sz w:val="20"/>
          <w:szCs w:val="20"/>
          <w:color w:val="auto"/>
        </w:rPr>
      </w:pPr>
    </w:p>
    <w:p>
      <w:pPr>
        <w:jc w:val="both"/>
        <w:ind w:left="655" w:right="100"/>
        <w:spacing w:after="0" w:line="247" w:lineRule="auto"/>
        <w:rPr>
          <w:sz w:val="20"/>
          <w:szCs w:val="20"/>
          <w:color w:val="auto"/>
        </w:rPr>
      </w:pPr>
      <w:r>
        <w:rPr>
          <w:rFonts w:ascii="Times New Roman" w:cs="Times New Roman" w:eastAsia="Times New Roman" w:hAnsi="Times New Roman"/>
          <w:sz w:val="22"/>
          <w:szCs w:val="22"/>
          <w:color w:val="auto"/>
        </w:rPr>
        <w:t>construed as a separate identified payment for purposes of Section 409A.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or any other arrangement between Executive and the Company during the six-month period immediately following Executive’s separation from service shall instead be paid on the first business day after the date that is six months following Executive’s separation from service (or, if earlier, Executive’s date of death). To the extent required to avoid an accelerated or additional tax under Section 409A,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and makes no undertaking to preclude Section 409A from applying to any such payment.</w:t>
      </w:r>
    </w:p>
    <w:p>
      <w:pPr>
        <w:spacing w:after="0" w:line="44" w:lineRule="exact"/>
        <w:rPr>
          <w:sz w:val="20"/>
          <w:szCs w:val="20"/>
          <w:color w:val="auto"/>
        </w:rPr>
      </w:pPr>
    </w:p>
    <w:p>
      <w:pPr>
        <w:ind w:left="475" w:hanging="475"/>
        <w:spacing w:after="0"/>
        <w:tabs>
          <w:tab w:leader="none" w:pos="47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295" w:hanging="646"/>
        <w:spacing w:after="0" w:line="259" w:lineRule="auto"/>
        <w:tabs>
          <w:tab w:leader="none" w:pos="108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Payments</w:t>
      </w:r>
      <w:r>
        <w:rPr>
          <w:rFonts w:ascii="Times New Roman" w:cs="Times New Roman" w:eastAsia="Times New Roman" w:hAnsi="Times New Roman"/>
          <w:sz w:val="21"/>
          <w:szCs w:val="21"/>
          <w:color w:val="auto"/>
        </w:rPr>
        <w:t>. Notwithstanding any other provision of this Agreement to the contrary, in the event that any payment or benefit received or to be received by Executive (including any payment or benefit received in connection with a Change of Control or the termination of Executive’s employment, whether pursuant to the terms of the Agreement or any other plan, arrangement or agreement) (all such payments and benefits, including the severance benefits payable hereunder, being hereinafter referred to as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be subject (in whole or part), to the excise tax imposed by Section 4999 of the Internal Revenue Code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after taking into account any reduction in the Total Payments provided by reason of Section 280G of the Code in such other plan, arrangement or agreement, the severance benefits payable hereunder shall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775"/>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495"/>
          </w:cols>
          <w:pgMar w:left="1065" w:top="1440" w:right="339" w:bottom="1440" w:gutter="0" w:footer="0" w:header="0"/>
        </w:sectPr>
      </w:pPr>
    </w:p>
    <w:bookmarkStart w:id="83" w:name="page84"/>
    <w:bookmarkEnd w:id="83"/>
    <w:p>
      <w:pPr>
        <w:spacing w:after="0" w:line="387" w:lineRule="exact"/>
        <w:rPr>
          <w:sz w:val="20"/>
          <w:szCs w:val="20"/>
          <w:color w:val="auto"/>
        </w:rPr>
      </w:pPr>
    </w:p>
    <w:p>
      <w:pPr>
        <w:ind w:left="920" w:hanging="646"/>
        <w:spacing w:after="0" w:line="247" w:lineRule="auto"/>
        <w:tabs>
          <w:tab w:leader="none" w:pos="83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Ordering of Reduction</w:t>
      </w:r>
      <w:r>
        <w:rPr>
          <w:rFonts w:ascii="Times New Roman" w:cs="Times New Roman" w:eastAsia="Times New Roman" w:hAnsi="Times New Roman"/>
          <w:sz w:val="22"/>
          <w:szCs w:val="22"/>
          <w:color w:val="auto"/>
        </w:rPr>
        <w:t xml:space="preserve">. In the case of a reduction in the Total Payments pursuant to </w:t>
      </w:r>
      <w:r>
        <w:rPr>
          <w:rFonts w:ascii="Times New Roman" w:cs="Times New Roman" w:eastAsia="Times New Roman" w:hAnsi="Times New Roman"/>
          <w:sz w:val="22"/>
          <w:szCs w:val="22"/>
          <w:u w:val="single" w:color="auto"/>
          <w:color w:val="auto"/>
        </w:rPr>
        <w:t>Section 12(j)(i)</w:t>
      </w:r>
      <w:r>
        <w:rPr>
          <w:rFonts w:ascii="Times New Roman" w:cs="Times New Roman" w:eastAsia="Times New Roman" w:hAnsi="Times New Roman"/>
          <w:sz w:val="22"/>
          <w:szCs w:val="22"/>
          <w:color w:val="auto"/>
        </w:rPr>
        <w:t>, the Total Payments shall be reduced in the following order: (i) payments that are payable in cash the full amount of which are treated as parachute payments under Treasury Regulation Section 1.280G-1, Q&amp;A 24(a) shall be reduced (if necessary, to zero), with amounts that are payable last reduced first; (ii) payments and benefits due in respect of any equity the full amount of which are treated as parachute payments under Treasury Regulation Section 1.280G-1, Q&amp;A 24(a), with the highest values reduced first (as such values are determined under Treasury Regulation Section 1.280G-1, Q&amp;A 24), shall next be reduced; (iii) payments that are payable in cash that are valued at less than full value under Treasury Regulation Section 1.280G-1, Q&amp;A 24, with amounts that are payable last reduced first, shall next be reduced; (iv) payments and benefits due in respect of any equity valued at less than full value under Treasury Regulation Section 1.280G-1, Q&amp;A 24, with the highest values reduced first (as such values are determined under Treasury Regulation Section 1.280G-1, Q&amp;A 24), shall next be reduced; and (v) all other non- cash benefits not otherwise described in clauses (ii) or (iv) shall be next reduced pro-rata.</w:t>
      </w:r>
    </w:p>
    <w:p>
      <w:pPr>
        <w:spacing w:after="0" w:line="44" w:lineRule="exact"/>
        <w:rPr>
          <w:rFonts w:ascii="Times New Roman" w:cs="Times New Roman" w:eastAsia="Times New Roman" w:hAnsi="Times New Roman"/>
          <w:sz w:val="22"/>
          <w:szCs w:val="22"/>
          <w:color w:val="auto"/>
        </w:rPr>
      </w:pPr>
    </w:p>
    <w:p>
      <w:pPr>
        <w:ind w:left="920" w:right="100" w:hanging="646"/>
        <w:spacing w:after="0" w:line="248" w:lineRule="auto"/>
        <w:tabs>
          <w:tab w:leader="none" w:pos="82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Determinations</w:t>
      </w:r>
      <w:r>
        <w:rPr>
          <w:rFonts w:ascii="Times New Roman" w:cs="Times New Roman" w:eastAsia="Times New Roman" w:hAnsi="Times New Roman"/>
          <w:sz w:val="22"/>
          <w:szCs w:val="22"/>
          <w:color w:val="auto"/>
        </w:rPr>
        <w:t>. All determinations as to the Total Payments to be reduced and the amount of reduction shall be made by a nationally recognized certified public accounting firm or other firm specializing in Section 280G and Section 4999 matters selected by the Company prior to the Change of Control (the “</w:t>
      </w:r>
      <w:r>
        <w:rPr>
          <w:rFonts w:ascii="Times New Roman" w:cs="Times New Roman" w:eastAsia="Times New Roman" w:hAnsi="Times New Roman"/>
          <w:sz w:val="22"/>
          <w:szCs w:val="22"/>
          <w:u w:val="single" w:color="auto"/>
          <w:color w:val="auto"/>
        </w:rPr>
        <w:t>Accountant</w:t>
      </w:r>
      <w:r>
        <w:rPr>
          <w:rFonts w:ascii="Times New Roman" w:cs="Times New Roman" w:eastAsia="Times New Roman" w:hAnsi="Times New Roman"/>
          <w:sz w:val="22"/>
          <w:szCs w:val="22"/>
          <w:color w:val="auto"/>
        </w:rPr>
        <w:t>”), whose determination shall be conclusive and binding. It is expressly understood that in determining the amount of any reduction to the Payments, the Accountant shall take into account any positions to mitigate any excise taxes payable under Section 4999 of the Code, such as the value of any reasonable compensation for services to be rendered by Executive before or after the Change of Control, including any amounts payable to Executive following the Termination Date with respect to any noncompetition provisions that may apply to Executive, and the Company shall cooperate in the valuation of any such services, including any noncompetition provisions. All such determinations by the Accountant shall be at the Company’s expense.</w:t>
      </w:r>
    </w:p>
    <w:p>
      <w:pPr>
        <w:spacing w:after="0" w:line="229" w:lineRule="exact"/>
        <w:rPr>
          <w:rFonts w:ascii="Times New Roman" w:cs="Times New Roman" w:eastAsia="Times New Roman" w:hAnsi="Times New Roman"/>
          <w:sz w:val="22"/>
          <w:szCs w:val="22"/>
          <w:color w:val="auto"/>
        </w:rPr>
      </w:pPr>
    </w:p>
    <w:p>
      <w:pPr>
        <w:ind w:left="920" w:right="100" w:hanging="646"/>
        <w:spacing w:after="0" w:line="248" w:lineRule="auto"/>
        <w:tabs>
          <w:tab w:leader="none" w:pos="81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Payments</w:t>
      </w:r>
      <w:r>
        <w:rPr>
          <w:rFonts w:ascii="Times New Roman" w:cs="Times New Roman" w:eastAsia="Times New Roman" w:hAnsi="Times New Roman"/>
          <w:sz w:val="22"/>
          <w:szCs w:val="22"/>
          <w:color w:val="auto"/>
        </w:rPr>
        <w:t xml:space="preserve">. If Executive receives reduced payments and benefits by reason of this </w:t>
      </w:r>
      <w:r>
        <w:rPr>
          <w:rFonts w:ascii="Times New Roman" w:cs="Times New Roman" w:eastAsia="Times New Roman" w:hAnsi="Times New Roman"/>
          <w:sz w:val="22"/>
          <w:szCs w:val="22"/>
          <w:u w:val="single" w:color="auto"/>
          <w:color w:val="auto"/>
        </w:rPr>
        <w:t>Section 12(j)</w:t>
      </w:r>
      <w:r>
        <w:rPr>
          <w:rFonts w:ascii="Times New Roman" w:cs="Times New Roman" w:eastAsia="Times New Roman" w:hAnsi="Times New Roman"/>
          <w:sz w:val="22"/>
          <w:szCs w:val="22"/>
          <w:color w:val="auto"/>
        </w:rPr>
        <w:t xml:space="preserve"> and it is established pursuant to a determination of a court of competent jurisdiction which is not subject to review or as to which the time to appeal has expired, or pursuant to an Internal Revenue Service proceeding, that Executive could have received a greater amount without resulting in any Excise Tax, then the Company shall thereafter pay Executive the aggregate additional amount which could have been paid without resulting in any Excise Tax as soon as reasonably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120"/>
          </w:cols>
          <w:pgMar w:left="1440" w:top="1440" w:right="339" w:bottom="1440" w:gutter="0" w:footer="0" w:header="0"/>
        </w:sectPr>
      </w:pPr>
    </w:p>
    <w:bookmarkStart w:id="84" w:name="page85"/>
    <w:bookmarkEnd w:id="84"/>
    <w:p>
      <w:pPr>
        <w:spacing w:after="0" w:line="387" w:lineRule="exact"/>
        <w:rPr>
          <w:sz w:val="20"/>
          <w:szCs w:val="20"/>
          <w:color w:val="auto"/>
        </w:rPr>
      </w:pPr>
    </w:p>
    <w:p>
      <w:pPr>
        <w:ind w:left="1302" w:hanging="654"/>
        <w:spacing w:after="0" w:line="256" w:lineRule="auto"/>
        <w:tabs>
          <w:tab w:leader="none" w:pos="112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Executive agrees that any compensation or benefits received under this Agreement or otherwise in respect of Executive’s services to the Company group may be subject to recoupment pursuant to the Company’s Incentive Compensation Recoupment Policy or pursuant to any other compensation recoupment policy adopted by the Company or as otherwise required by applicable law.</w:t>
      </w:r>
    </w:p>
    <w:p>
      <w:pPr>
        <w:spacing w:after="0" w:line="203" w:lineRule="exact"/>
        <w:rPr>
          <w:rFonts w:ascii="Times New Roman" w:cs="Times New Roman" w:eastAsia="Times New Roman" w:hAnsi="Times New Roman"/>
          <w:sz w:val="22"/>
          <w:szCs w:val="22"/>
          <w:color w:val="auto"/>
        </w:rPr>
      </w:pPr>
    </w:p>
    <w:p>
      <w:pPr>
        <w:ind w:left="1302" w:hanging="654"/>
        <w:spacing w:after="0" w:line="256" w:lineRule="auto"/>
        <w:tabs>
          <w:tab w:leader="none" w:pos="122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217" w:lineRule="exact"/>
        <w:rPr>
          <w:sz w:val="20"/>
          <w:szCs w:val="20"/>
          <w:color w:val="auto"/>
        </w:rPr>
      </w:pPr>
    </w:p>
    <w:p>
      <w:pPr>
        <w:ind w:left="642" w:right="20" w:hanging="642"/>
        <w:spacing w:after="0" w:line="257" w:lineRule="auto"/>
        <w:tabs>
          <w:tab w:leader="none" w:pos="49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Representation and Acceptance</w:t>
      </w:r>
      <w:r>
        <w:rPr>
          <w:rFonts w:ascii="Times New Roman" w:cs="Times New Roman" w:eastAsia="Times New Roman" w:hAnsi="Times New Roman"/>
          <w:sz w:val="22"/>
          <w:szCs w:val="22"/>
          <w:color w:val="auto"/>
        </w:rPr>
        <w:t>.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w:t>
      </w:r>
    </w:p>
    <w:p>
      <w:pPr>
        <w:spacing w:after="0" w:line="209" w:lineRule="exact"/>
        <w:rPr>
          <w:sz w:val="20"/>
          <w:szCs w:val="20"/>
          <w:color w:val="auto"/>
        </w:rPr>
      </w:pPr>
    </w:p>
    <w:p>
      <w:pPr>
        <w:ind w:left="2202"/>
        <w:spacing w:after="0"/>
        <w:rPr>
          <w:sz w:val="20"/>
          <w:szCs w:val="20"/>
          <w:color w:val="auto"/>
        </w:rPr>
      </w:pPr>
      <w:r>
        <w:rPr>
          <w:rFonts w:ascii="Times New Roman" w:cs="Times New Roman" w:eastAsia="Times New Roman" w:hAnsi="Times New Roman"/>
          <w:sz w:val="22"/>
          <w:szCs w:val="22"/>
          <w:i w:val="1"/>
          <w:iCs w:val="1"/>
          <w:color w:val="auto"/>
        </w:rPr>
        <w:t>[Remainder of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042"/>
          </w:cols>
          <w:pgMar w:left="418" w:top="1440" w:right="4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IN WITNESS WHEREOF AND INTENDING TO BE LEGALLY BOUND THEREBY,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hereto have executed and delivered this Agreement as of the year and date first above written.</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FACTSET RESEARCH SYSTEMS INC.</w:t>
      </w:r>
    </w:p>
    <w:p>
      <w:pPr>
        <w:spacing w:after="0" w:line="389" w:lineRule="exact"/>
        <w:rPr>
          <w:sz w:val="20"/>
          <w:szCs w:val="20"/>
          <w:color w:val="auto"/>
        </w:rPr>
      </w:pPr>
    </w:p>
    <w:tbl>
      <w:tblPr>
        <w:tblLayout w:type="fixed"/>
        <w:tblInd w:w="446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By:/s/ Robin A. Abrams</w:t>
            </w: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Name: Robin A. Abrams</w:t>
            </w: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89"/>
        </w:trPr>
        <w:tc>
          <w:tcPr>
            <w:tcW w:w="80" w:type="dxa"/>
            <w:vAlign w:val="bottom"/>
          </w:tcPr>
          <w:p>
            <w:pPr>
              <w:spacing w:after="0"/>
              <w:rPr>
                <w:sz w:val="24"/>
                <w:szCs w:val="24"/>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Title: Chair of the Board of Directors</w:t>
            </w:r>
          </w:p>
        </w:tc>
      </w:tr>
      <w:tr>
        <w:trPr>
          <w:trHeight w:val="661"/>
        </w:trPr>
        <w:tc>
          <w:tcPr>
            <w:tcW w:w="24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623"/>
        </w:trPr>
        <w:tc>
          <w:tcPr>
            <w:tcW w:w="80" w:type="dxa"/>
            <w:vAlign w:val="bottom"/>
          </w:tcPr>
          <w:p>
            <w:pPr>
              <w:spacing w:after="0"/>
              <w:rPr>
                <w:sz w:val="24"/>
                <w:szCs w:val="24"/>
                <w:color w:val="auto"/>
              </w:rPr>
            </w:pPr>
          </w:p>
        </w:tc>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_/s/ Sanoke Viswanathan</w:t>
            </w:r>
          </w:p>
        </w:tc>
        <w:tc>
          <w:tcPr>
            <w:tcW w:w="60" w:type="dxa"/>
            <w:vAlign w:val="bottom"/>
            <w:tcBorders>
              <w:bottom w:val="single" w:sz="8" w:color="auto"/>
            </w:tcBorders>
          </w:tcPr>
          <w:p>
            <w:pPr>
              <w:spacing w:after="0"/>
              <w:rPr>
                <w:sz w:val="24"/>
                <w:szCs w:val="2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Sanoke Viswanatha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039"/>
          </w:cols>
          <w:pgMar w:left="420" w:top="1440" w:right="1440" w:bottom="1440" w:gutter="0" w:footer="0" w:header="0"/>
        </w:sectPr>
      </w:pPr>
    </w:p>
    <w:bookmarkStart w:id="86" w:name="page87"/>
    <w:bookmarkEnd w:id="86"/>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July 3, 2025</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87" w:name="page88"/>
    <w:bookmarkEnd w:id="87"/>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July 3,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May 31, 2025,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July 3, 2025</w:t>
      </w:r>
    </w:p>
    <w:p>
      <w:pPr>
        <w:sectPr>
          <w:pgSz w:w="11900" w:h="16838" w:orient="portrait"/>
          <w:cols w:equalWidth="0" w:num="1">
            <w:col w:w="11240"/>
          </w:cols>
          <w:pgMar w:left="320" w:top="88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May 31, 2025, as filed with the Securities and Exchange Commission on the date hereof (the “Report”), I, Helen L. Shan,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July 3,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1)"/>
      <w:numFmt w:val="decimal"/>
      <w:start w:val="3"/>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endash "/>
      <w:numFmt w:val="bullet"/>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lowerRoman"/>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lvl w:ilvl="1">
      <w:lvlJc w:val="left"/>
      <w:lvlText w:val="(%2)"/>
      <w:numFmt w:val="lowerLetter"/>
      <w:start w:val="1"/>
    </w:lvl>
  </w:abstractNum>
  <w:abstractNum w:abstractNumId="33">
    <w:nsid w:val="520EEDD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
    <w:nsid w:val="374A3FE6"/>
    <w:multiLevelType w:val="hybridMultilevel"/>
    <w:lvl w:ilvl="0">
      <w:lvlJc w:val="left"/>
      <w:lvlText w:val="%1"/>
      <w:numFmt w:val="decimal"/>
      <w:start w:val="1"/>
    </w:lvl>
    <w:lvl w:ilvl="1">
      <w:lvlJc w:val="left"/>
      <w:lvlText w:val="(%2)"/>
      <w:numFmt w:val="lowerLetter"/>
      <w:start w:val="3"/>
    </w:lvl>
  </w:abstractNum>
  <w:abstractNum w:abstractNumId="35">
    <w:nsid w:val="4F4EF005"/>
    <w:multiLevelType w:val="hybridMultilevel"/>
    <w:lvl w:ilvl="0">
      <w:lvlJc w:val="left"/>
      <w:lvlText w:val="%1."/>
      <w:numFmt w:val="decimal"/>
      <w:start w:val="5"/>
    </w:lvl>
    <w:lvl w:ilvl="1">
      <w:lvlJc w:val="left"/>
      <w:lvlText w:val="(%2)"/>
      <w:numFmt w:val="lowerLetter"/>
      <w:start w:val="1"/>
    </w:lvl>
  </w:abstractNum>
  <w:abstractNum w:abstractNumId="36">
    <w:nsid w:val="23F9C13C"/>
    <w:multiLevelType w:val="hybridMultilevel"/>
    <w:lvl w:ilvl="0">
      <w:lvlJc w:val="left"/>
      <w:lvlText w:val="(%1)"/>
      <w:numFmt w:val="lowerLetter"/>
      <w:start w:val="2"/>
    </w:lvl>
    <w:lvl w:ilvl="1">
      <w:lvlJc w:val="left"/>
      <w:lvlText w:val="(%2)"/>
      <w:numFmt w:val="lowerRoman"/>
      <w:start w:val="1"/>
    </w:lvl>
  </w:abstractNum>
  <w:abstractNum w:abstractNumId="37">
    <w:nsid w:val="649BB77C"/>
    <w:multiLevelType w:val="hybridMultilevel"/>
    <w:lvl w:ilvl="0">
      <w:lvlJc w:val="left"/>
      <w:lvlText w:val="%1."/>
      <w:numFmt w:val="decimal"/>
      <w:start w:val="6"/>
    </w:lvl>
    <w:lvl w:ilvl="1">
      <w:lvlJc w:val="left"/>
      <w:lvlText w:val="(%2)"/>
      <w:numFmt w:val="lowerLetter"/>
      <w:start w:val="1"/>
    </w:lvl>
  </w:abstractNum>
  <w:abstractNum w:abstractNumId="38">
    <w:nsid w:val="275AC794"/>
    <w:multiLevelType w:val="hybridMultilevel"/>
    <w:lvl w:ilvl="0">
      <w:lvlJc w:val="left"/>
      <w:lvlText w:val="%1"/>
      <w:numFmt w:val="decimal"/>
      <w:start w:val="1"/>
    </w:lvl>
    <w:lvl w:ilvl="1">
      <w:lvlJc w:val="left"/>
      <w:lvlText w:val="(%2)"/>
      <w:numFmt w:val="lowerLetter"/>
      <w:start w:val="3"/>
    </w:lvl>
  </w:abstractNum>
  <w:abstractNum w:abstractNumId="39">
    <w:nsid w:val="39386575"/>
    <w:multiLevelType w:val="hybridMultilevel"/>
    <w:lvl w:ilvl="0">
      <w:lvlJc w:val="left"/>
      <w:lvlText w:val="%1."/>
      <w:numFmt w:val="decimal"/>
      <w:start w:val="7"/>
    </w:lvl>
    <w:lvl w:ilvl="1">
      <w:lvlJc w:val="left"/>
      <w:lvlText w:val="(%2)"/>
      <w:numFmt w:val="lowerLetter"/>
      <w:start w:val="1"/>
    </w:lvl>
  </w:abstractNum>
  <w:abstractNum w:abstractNumId="40">
    <w:nsid w:val="1CF10FD8"/>
    <w:multiLevelType w:val="hybridMultilevel"/>
    <w:lvl w:ilvl="0">
      <w:lvlJc w:val="left"/>
      <w:lvlText w:val="(%1)"/>
      <w:numFmt w:val="lowerLetter"/>
      <w:start w:val="2"/>
    </w:lvl>
    <w:lvl w:ilvl="1">
      <w:lvlJc w:val="left"/>
      <w:lvlText w:val="(%2)"/>
      <w:numFmt w:val="lowerRoman"/>
      <w:start w:val="3"/>
    </w:lvl>
  </w:abstractNum>
  <w:abstractNum w:abstractNumId="41">
    <w:nsid w:val="180115BE"/>
    <w:multiLevelType w:val="hybridMultilevel"/>
    <w:lvl w:ilvl="0">
      <w:lvlJc w:val="left"/>
      <w:lvlText w:val="%1"/>
      <w:numFmt w:val="lowerLetter"/>
      <w:start w:val="1"/>
    </w:lvl>
    <w:lvl w:ilvl="1">
      <w:lvlJc w:val="left"/>
      <w:lvlText w:val="(%2)"/>
      <w:numFmt w:val="lowerRoman"/>
      <w:start w:val="1"/>
    </w:lvl>
  </w:abstractNum>
  <w:abstractNum w:abstractNumId="42">
    <w:nsid w:val="235BA861"/>
    <w:multiLevelType w:val="hybridMultilevel"/>
    <w:lvl w:ilvl="0">
      <w:lvlJc w:val="left"/>
      <w:lvlText w:val="(%1)"/>
      <w:numFmt w:val="lowerRoman"/>
      <w:start w:val="2"/>
    </w:lvl>
  </w:abstractNum>
  <w:abstractNum w:abstractNumId="43">
    <w:nsid w:val="47398C89"/>
    <w:multiLevelType w:val="hybridMultilevel"/>
    <w:lvl w:ilvl="0">
      <w:lvlJc w:val="left"/>
      <w:lvlText w:val="%1"/>
      <w:numFmt w:val="lowerLetter"/>
      <w:start w:val="1"/>
    </w:lvl>
    <w:lvl w:ilvl="1">
      <w:lvlJc w:val="left"/>
      <w:lvlText w:val="(%2)"/>
      <w:numFmt w:val="lowerRoman"/>
      <w:start w:val="7"/>
    </w:lvl>
  </w:abstractNum>
  <w:abstractNum w:abstractNumId="44">
    <w:nsid w:val="354FE9F9"/>
    <w:multiLevelType w:val="hybridMultilevel"/>
    <w:lvl w:ilvl="0">
      <w:lvlJc w:val="left"/>
      <w:lvlText w:val="(%1)"/>
      <w:numFmt w:val="lowerLetter"/>
      <w:start w:val="4"/>
    </w:lvl>
    <w:lvl w:ilvl="1">
      <w:lvlJc w:val="left"/>
      <w:lvlText w:val="(%2)"/>
      <w:numFmt w:val="lowerRoman"/>
      <w:start w:val="1"/>
    </w:lvl>
  </w:abstractNum>
  <w:abstractNum w:abstractNumId="45">
    <w:nsid w:val="15B5AF5C"/>
    <w:multiLevelType w:val="hybridMultilevel"/>
    <w:lvl w:ilvl="0">
      <w:lvlJc w:val="left"/>
      <w:lvlText w:val="(%1)"/>
      <w:numFmt w:val="lowerRoman"/>
      <w:start w:val="2"/>
    </w:lvl>
  </w:abstractNum>
  <w:abstractNum w:abstractNumId="46">
    <w:nsid w:val="741226BB"/>
    <w:multiLevelType w:val="hybridMultilevel"/>
    <w:lvl w:ilvl="0">
      <w:lvlJc w:val="left"/>
      <w:lvlText w:val="(%1)"/>
      <w:numFmt w:val="lowerLetter"/>
      <w:start w:val="5"/>
    </w:lvl>
  </w:abstractNum>
  <w:abstractNum w:abstractNumId="47">
    <w:nsid w:val="D34B6A8"/>
    <w:multiLevelType w:val="hybridMultilevel"/>
    <w:lvl w:ilvl="0">
      <w:lvlJc w:val="left"/>
      <w:lvlText w:val="(%1)"/>
      <w:numFmt w:val="lowerRoman"/>
      <w:start w:val="1"/>
    </w:lvl>
  </w:abstractNum>
  <w:abstractNum w:abstractNumId="48">
    <w:nsid w:val="10233C99"/>
    <w:multiLevelType w:val="hybridMultilevel"/>
    <w:lvl w:ilvl="0">
      <w:lvlJc w:val="left"/>
      <w:lvlText w:val="%1"/>
      <w:numFmt w:val="lowerLetter"/>
      <w:start w:val="1"/>
    </w:lvl>
    <w:lvl w:ilvl="1">
      <w:lvlJc w:val="left"/>
      <w:lvlText w:val="(%2)"/>
      <w:numFmt w:val="lowerLetter"/>
      <w:start w:val="22"/>
    </w:lvl>
  </w:abstractNum>
  <w:abstractNum w:abstractNumId="49">
    <w:nsid w:val="3F6AB60F"/>
    <w:multiLevelType w:val="hybridMultilevel"/>
    <w:lvl w:ilvl="0">
      <w:lvlJc w:val="left"/>
      <w:lvlText w:val="(%1)"/>
      <w:numFmt w:val="lowerLetter"/>
      <w:start w:val="6"/>
    </w:lvl>
    <w:lvl w:ilvl="1">
      <w:lvlJc w:val="left"/>
      <w:lvlText w:val="%2"/>
      <w:numFmt w:val="lowerLetter"/>
      <w:start w:val="1"/>
    </w:lvl>
  </w:abstractNum>
  <w:abstractNum w:abstractNumId="50">
    <w:nsid w:val="61574095"/>
    <w:multiLevelType w:val="hybridMultilevel"/>
    <w:lvl w:ilvl="0">
      <w:lvlJc w:val="left"/>
      <w:lvlText w:val="(%1)"/>
      <w:numFmt w:val="lowerLetter"/>
      <w:start w:val="8"/>
    </w:lvl>
    <w:lvl w:ilvl="1">
      <w:lvlJc w:val="left"/>
      <w:lvlText w:val="(%2)"/>
      <w:numFmt w:val="lowerRoman"/>
      <w:start w:val="1"/>
    </w:lvl>
  </w:abstractNum>
  <w:abstractNum w:abstractNumId="51">
    <w:nsid w:val="7E0C57B1"/>
    <w:multiLevelType w:val="hybridMultilevel"/>
    <w:lvl w:ilvl="0">
      <w:lvlJc w:val="left"/>
      <w:lvlText w:val="(%1)"/>
      <w:numFmt w:val="lowerRoman"/>
      <w:start w:val="4"/>
    </w:lvl>
    <w:lvl w:ilvl="1">
      <w:lvlJc w:val="left"/>
      <w:lvlText w:val="(%2)"/>
      <w:numFmt w:val="decimal"/>
      <w:start w:val="1"/>
    </w:lvl>
  </w:abstractNum>
  <w:abstractNum w:abstractNumId="52">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3">
    <w:nsid w:val="579BE4F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4">
    <w:nsid w:val="310C50B3"/>
    <w:multiLevelType w:val="hybridMultilevel"/>
    <w:lvl w:ilvl="0">
      <w:lvlJc w:val="left"/>
      <w:lvlText w:val="(%1)"/>
      <w:numFmt w:val="lowerLetter"/>
      <w:start w:val="3"/>
    </w:lvl>
    <w:lvl w:ilvl="1">
      <w:lvlJc w:val="left"/>
      <w:lvlText w:val="(%2)"/>
      <w:numFmt w:val="lowerRoman"/>
      <w:start w:val="1"/>
    </w:lvl>
  </w:abstractNum>
  <w:abstractNum w:abstractNumId="55">
    <w:nsid w:val="5FF87E05"/>
    <w:multiLevelType w:val="hybridMultilevel"/>
    <w:lvl w:ilvl="0">
      <w:lvlJc w:val="left"/>
      <w:lvlText w:val="(%1)"/>
      <w:numFmt w:val="lowerLetter"/>
      <w:start w:val="5"/>
    </w:lvl>
    <w:lvl w:ilvl="1">
      <w:lvlJc w:val="left"/>
      <w:lvlText w:val="(%2)"/>
      <w:numFmt w:val="lowerRoman"/>
      <w:start w:val="1"/>
    </w:lvl>
  </w:abstractNum>
  <w:abstractNum w:abstractNumId="56">
    <w:nsid w:val="2F305DEF"/>
    <w:multiLevelType w:val="hybridMultilevel"/>
    <w:lvl w:ilvl="0">
      <w:lvlJc w:val="left"/>
      <w:lvlText w:val="%1"/>
      <w:numFmt w:val="lowerLetter"/>
      <w:start w:val="1"/>
    </w:lvl>
    <w:lvl w:ilvl="1">
      <w:lvlJc w:val="left"/>
      <w:lvlText w:val="(%2)"/>
      <w:numFmt w:val="lowerLetter"/>
      <w:start w:val="35"/>
    </w:lvl>
  </w:abstractNum>
  <w:abstractNum w:abstractNumId="57">
    <w:nsid w:val="25A70BF7"/>
    <w:multiLevelType w:val="hybridMultilevel"/>
    <w:lvl w:ilvl="0">
      <w:lvlJc w:val="left"/>
      <w:lvlText w:val="(%1)"/>
      <w:numFmt w:val="lowerLetter"/>
      <w:start w:val="7"/>
    </w:lvl>
    <w:lvl w:ilvl="1">
      <w:lvlJc w:val="left"/>
      <w:lvlText w:val="%2"/>
      <w:numFmt w:val="lowerLetter"/>
      <w:start w:val="1"/>
    </w:lvl>
  </w:abstractNum>
  <w:abstractNum w:abstractNumId="58">
    <w:nsid w:val="1DBABF00"/>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59">
    <w:nsid w:val="4AD084E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8"/>
    </w:lvl>
  </w:abstractNum>
  <w:abstractNum w:abstractNumId="60">
    <w:nsid w:val="1F48EAA1"/>
    <w:multiLevelType w:val="hybridMultilevel"/>
    <w:lvl w:ilvl="0">
      <w:lvlJc w:val="left"/>
      <w:lvlText w:val="%1."/>
      <w:numFmt w:val="decimal"/>
      <w:start w:val="10"/>
    </w:lvl>
    <w:lvl w:ilvl="1">
      <w:lvlJc w:val="left"/>
      <w:lvlText w:val="(%2)"/>
      <w:numFmt w:val="lowerLetter"/>
      <w:start w:val="1"/>
    </w:lvl>
    <w:lvl w:ilvl="2">
      <w:lvlJc w:val="left"/>
      <w:lvlText w:val="%3"/>
      <w:numFmt w:val="upperLetter"/>
      <w:start w:val="1"/>
    </w:lvl>
  </w:abstractNum>
  <w:abstractNum w:abstractNumId="61">
    <w:nsid w:val="1381823A"/>
    <w:multiLevelType w:val="hybridMultilevel"/>
    <w:lvl w:ilvl="0">
      <w:lvlJc w:val="left"/>
      <w:lvlText w:val="(%1)"/>
      <w:numFmt w:val="lowerLetter"/>
      <w:start w:val="2"/>
    </w:lvl>
  </w:abstractNum>
  <w:abstractNum w:abstractNumId="62">
    <w:nsid w:val="5DB70AE5"/>
    <w:multiLevelType w:val="hybridMultilevel"/>
    <w:lvl w:ilvl="0">
      <w:lvlJc w:val="left"/>
      <w:lvlText w:val="%1."/>
      <w:numFmt w:val="decimal"/>
      <w:start w:val="12"/>
    </w:lvl>
    <w:lvl w:ilvl="1">
      <w:lvlJc w:val="left"/>
      <w:lvlText w:val="(%2)"/>
      <w:numFmt w:val="lowerLetter"/>
      <w:start w:val="1"/>
    </w:lvl>
  </w:abstractNum>
  <w:abstractNum w:abstractNumId="63">
    <w:nsid w:val="100F8FCA"/>
    <w:multiLevelType w:val="hybridMultilevel"/>
    <w:lvl w:ilvl="0">
      <w:lvlJc w:val="left"/>
      <w:lvlText w:val="(%1)"/>
      <w:numFmt w:val="lowerLetter"/>
      <w:start w:val="2"/>
    </w:lvl>
  </w:abstractNum>
  <w:abstractNum w:abstractNumId="64">
    <w:nsid w:val="6590700B"/>
    <w:multiLevelType w:val="hybridMultilevel"/>
    <w:lvl w:ilvl="0">
      <w:lvlJc w:val="left"/>
      <w:lvlText w:val="(%1)"/>
      <w:numFmt w:val="lowerLetter"/>
      <w:start w:val="5"/>
    </w:lvl>
  </w:abstractNum>
  <w:abstractNum w:abstractNumId="65">
    <w:nsid w:val="15014ACB"/>
    <w:multiLevelType w:val="hybridMultilevel"/>
    <w:lvl w:ilvl="0">
      <w:lvlJc w:val="left"/>
      <w:lvlText w:val="(%1)"/>
      <w:numFmt w:val="lowerLetter"/>
      <w:start w:val="11"/>
    </w:lvl>
    <w:lvl w:ilvl="1">
      <w:lvlJc w:val="left"/>
      <w:lvlText w:val="(%2)"/>
      <w:numFmt w:val="lowerLetter"/>
      <w:start w:val="9"/>
    </w:lvl>
  </w:abstractNum>
  <w:abstractNum w:abstractNumId="66">
    <w:nsid w:val="5F5E7FD0"/>
    <w:multiLevelType w:val="hybridMultilevel"/>
    <w:lvl w:ilvl="0">
      <w:lvlJc w:val="left"/>
      <w:lvlText w:val="(%1)"/>
      <w:numFmt w:val="lowerRoman"/>
      <w:start w:val="2"/>
    </w:lvl>
  </w:abstractNum>
  <w:abstractNum w:abstractNumId="67">
    <w:nsid w:val="98A3148"/>
    <w:multiLevelType w:val="hybridMultilevel"/>
    <w:lvl w:ilvl="0">
      <w:lvlJc w:val="left"/>
      <w:lvlText w:val="(%1)"/>
      <w:numFmt w:val="lowerLetter"/>
      <w:start w:val="12"/>
    </w:lvl>
  </w:abstractNum>
  <w:abstractNum w:abstractNumId="68">
    <w:nsid w:val="799D0247"/>
    <w:multiLevelType w:val="hybridMultilevel"/>
    <w:lvl w:ilvl="0">
      <w:lvlJc w:val="left"/>
      <w:lvlText w:val="%1."/>
      <w:numFmt w:val="decimal"/>
      <w:start w:val="13"/>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74" Type="http://schemas.openxmlformats.org/officeDocument/2006/relationships/hyperlink" Target="https://www.sec.gov/Archives/edgar/data/1013237/000101323725000054/factsetcreditagreement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2025-07-03T05:06:43Z</dcterms:created>
  <dcterms:modified xsi:type="dcterms:W3CDTF">2025-07-03T05:06:43Z</dcterms:modified>
</cp:coreProperties>
</file>