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9"/>
          <w:szCs w:val="19"/>
          <w:b w:val="1"/>
          <w:bCs w:val="1"/>
          <w:color w:val="auto"/>
        </w:rPr>
        <w:t>UNITED STATES</w:t>
      </w:r>
    </w:p>
    <w:p>
      <w:pPr>
        <w:spacing w:after="0" w:line="17" w:lineRule="exact"/>
        <w:rPr>
          <w:sz w:val="24"/>
          <w:szCs w:val="24"/>
          <w:color w:val="auto"/>
        </w:rPr>
      </w:pPr>
    </w:p>
    <w:p>
      <w:pPr>
        <w:jc w:val="center"/>
        <w:ind w:right="-23"/>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153035</wp:posOffset>
            </wp:positionV>
            <wp:extent cx="1815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3"/>
        <w:spacing w:after="0"/>
        <w:rPr>
          <w:sz w:val="20"/>
          <w:szCs w:val="20"/>
          <w:color w:val="auto"/>
        </w:rPr>
      </w:pPr>
      <w:r>
        <w:rPr>
          <w:rFonts w:ascii="Arial" w:cs="Arial" w:eastAsia="Arial" w:hAnsi="Arial"/>
          <w:sz w:val="29"/>
          <w:szCs w:val="29"/>
          <w:color w:val="auto"/>
        </w:rPr>
        <w:t>Form 10-K</w:t>
      </w:r>
    </w:p>
    <w:p>
      <w:pPr>
        <w:spacing w:after="0" w:line="199" w:lineRule="exact"/>
        <w:rPr>
          <w:sz w:val="24"/>
          <w:szCs w:val="24"/>
          <w:color w:val="auto"/>
        </w:rPr>
      </w:pPr>
    </w:p>
    <w:p>
      <w:pPr>
        <w:ind w:left="264" w:hanging="264"/>
        <w:spacing w:after="0"/>
        <w:tabs>
          <w:tab w:leader="none" w:pos="2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88" w:lineRule="exact"/>
        <w:rPr>
          <w:sz w:val="24"/>
          <w:szCs w:val="24"/>
          <w:color w:val="auto"/>
        </w:rPr>
      </w:pPr>
    </w:p>
    <w:p>
      <w:pPr>
        <w:jc w:val="center"/>
        <w:ind w:right="-23"/>
        <w:spacing w:after="0"/>
        <w:rPr>
          <w:sz w:val="20"/>
          <w:szCs w:val="20"/>
          <w:color w:val="auto"/>
        </w:rPr>
      </w:pPr>
      <w:r>
        <w:rPr>
          <w:rFonts w:ascii="Arial" w:cs="Arial" w:eastAsia="Arial" w:hAnsi="Arial"/>
          <w:sz w:val="19"/>
          <w:szCs w:val="19"/>
          <w:b w:val="1"/>
          <w:bCs w:val="1"/>
          <w:color w:val="auto"/>
        </w:rPr>
        <w:t>For the fiscal year ended August 31, 2018</w:t>
      </w:r>
    </w:p>
    <w:p>
      <w:pPr>
        <w:spacing w:after="0" w:line="202" w:lineRule="exact"/>
        <w:rPr>
          <w:sz w:val="24"/>
          <w:szCs w:val="24"/>
          <w:color w:val="auto"/>
        </w:rPr>
      </w:pPr>
    </w:p>
    <w:p>
      <w:pPr>
        <w:ind w:left="264" w:hanging="264"/>
        <w:spacing w:after="0"/>
        <w:tabs>
          <w:tab w:leader="none" w:pos="2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00" w:lineRule="exact"/>
        <w:rPr>
          <w:sz w:val="24"/>
          <w:szCs w:val="24"/>
          <w:color w:val="auto"/>
        </w:rPr>
      </w:pPr>
    </w:p>
    <w:p>
      <w:pPr>
        <w:ind w:left="4204"/>
        <w:spacing w:after="0"/>
        <w:tabs>
          <w:tab w:leader="none" w:pos="6564"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3903345</wp:posOffset>
            </wp:positionH>
            <wp:positionV relativeFrom="paragraph">
              <wp:posOffset>-8890</wp:posOffset>
            </wp:positionV>
            <wp:extent cx="6889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975" cy="7620"/>
                    </a:xfrm>
                    <a:prstGeom prst="rect">
                      <a:avLst/>
                    </a:prstGeom>
                    <a:noFill/>
                  </pic:spPr>
                </pic:pic>
              </a:graphicData>
            </a:graphic>
          </wp:anchor>
        </w:drawing>
      </w:r>
    </w:p>
    <w:p>
      <w:pPr>
        <w:spacing w:after="0" w:line="176" w:lineRule="exact"/>
        <w:rPr>
          <w:sz w:val="24"/>
          <w:szCs w:val="24"/>
          <w:color w:val="auto"/>
        </w:rPr>
      </w:pPr>
    </w:p>
    <w:p>
      <w:pPr>
        <w:jc w:val="center"/>
        <w:ind w:right="-23"/>
        <w:spacing w:after="0"/>
        <w:rPr>
          <w:sz w:val="20"/>
          <w:szCs w:val="20"/>
          <w:color w:val="auto"/>
        </w:rPr>
      </w:pPr>
      <w:r>
        <w:rPr>
          <w:rFonts w:ascii="Arial" w:cs="Arial" w:eastAsia="Arial" w:hAnsi="Arial"/>
          <w:sz w:val="16"/>
          <w:szCs w:val="16"/>
          <w:b w:val="1"/>
          <w:bCs w:val="1"/>
          <w:color w:val="auto"/>
        </w:rPr>
        <w:t>Commission File Number: 1-11869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168275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3"/>
        <w:spacing w:after="0"/>
        <w:rPr>
          <w:sz w:val="20"/>
          <w:szCs w:val="20"/>
          <w:color w:val="auto"/>
        </w:rPr>
      </w:pPr>
      <w:r>
        <w:rPr>
          <w:rFonts w:ascii="Arial" w:cs="Arial" w:eastAsia="Arial" w:hAnsi="Arial"/>
          <w:sz w:val="28"/>
          <w:szCs w:val="28"/>
          <w:b w:val="1"/>
          <w:bCs w:val="1"/>
          <w:color w:val="auto"/>
        </w:rPr>
        <w:t>FACTSET RESEARCH SYSTEMS INC.</w:t>
      </w:r>
    </w:p>
    <w:p>
      <w:pPr>
        <w:spacing w:after="0" w:line="40" w:lineRule="exact"/>
        <w:rPr>
          <w:sz w:val="24"/>
          <w:szCs w:val="24"/>
          <w:color w:val="auto"/>
        </w:rPr>
      </w:pPr>
    </w:p>
    <w:p>
      <w:pPr>
        <w:jc w:val="center"/>
        <w:ind w:right="-23"/>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4"/>
          </w:cols>
          <w:pgMar w:left="236" w:top="42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2484"/>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1884"/>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p>
    <w:p>
      <w:pPr>
        <w:ind w:left="1844"/>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13-3362547</w:t>
      </w:r>
    </w:p>
    <w:p>
      <w:pPr>
        <w:spacing w:after="0" w:line="25" w:lineRule="exact"/>
        <w:rPr>
          <w:sz w:val="24"/>
          <w:szCs w:val="24"/>
          <w:color w:val="auto"/>
        </w:rPr>
      </w:pPr>
    </w:p>
    <w:p>
      <w:pPr>
        <w:jc w:val="center"/>
        <w:ind w:right="1620"/>
        <w:spacing w:after="0"/>
        <w:rPr>
          <w:sz w:val="20"/>
          <w:szCs w:val="20"/>
          <w:color w:val="auto"/>
        </w:rPr>
      </w:pPr>
      <w:r>
        <w:rPr>
          <w:rFonts w:ascii="Arial" w:cs="Arial" w:eastAsia="Arial" w:hAnsi="Arial"/>
          <w:sz w:val="15"/>
          <w:szCs w:val="15"/>
          <w:color w:val="auto"/>
        </w:rPr>
        <w:t>(I.R.S. Employer Identification No.)</w:t>
      </w:r>
    </w:p>
    <w:p>
      <w:pPr>
        <w:spacing w:after="0" w:line="380" w:lineRule="exact"/>
        <w:rPr>
          <w:sz w:val="24"/>
          <w:szCs w:val="24"/>
          <w:color w:val="auto"/>
        </w:rPr>
      </w:pPr>
    </w:p>
    <w:p>
      <w:pPr>
        <w:sectPr>
          <w:pgSz w:w="11900" w:h="16838" w:orient="portrait"/>
          <w:cols w:equalWidth="0" w:num="2">
            <w:col w:w="6764" w:space="720"/>
            <w:col w:w="3940"/>
          </w:cols>
          <w:pgMar w:left="236" w:top="427" w:right="239" w:bottom="1440" w:gutter="0" w:footer="0" w:header="0"/>
          <w:type w:val="continuous"/>
        </w:sectPr>
      </w:pP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601 Merritt 7, Norwalk, Connecticut 06851</w:t>
      </w:r>
    </w:p>
    <w:p>
      <w:pPr>
        <w:spacing w:after="0" w:line="25"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(Address of principal executive office, including zip code)</w:t>
      </w:r>
    </w:p>
    <w:p>
      <w:pPr>
        <w:spacing w:after="0" w:line="18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(203) 810-1000</w:t>
      </w:r>
    </w:p>
    <w:p>
      <w:pPr>
        <w:spacing w:after="0" w:line="20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Securities registered pursuant to Section 12(b) of the Act: </w:t>
      </w:r>
      <w:r>
        <w:rPr>
          <w:rFonts w:ascii="Arial" w:cs="Arial" w:eastAsia="Arial" w:hAnsi="Arial"/>
          <w:sz w:val="16"/>
          <w:szCs w:val="16"/>
          <w:b w:val="1"/>
          <w:bCs w:val="1"/>
          <w:color w:val="auto"/>
        </w:rPr>
        <w:t>Common Stock, par value $0.01 per share</w:t>
      </w:r>
    </w:p>
    <w:p>
      <w:pPr>
        <w:spacing w:after="0" w:line="25"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Name of each exchange on which registered: </w:t>
      </w:r>
      <w:r>
        <w:rPr>
          <w:rFonts w:ascii="Arial" w:cs="Arial" w:eastAsia="Arial" w:hAnsi="Arial"/>
          <w:sz w:val="16"/>
          <w:szCs w:val="16"/>
          <w:b w:val="1"/>
          <w:bCs w:val="1"/>
          <w:color w:val="auto"/>
        </w:rPr>
        <w:t>New York Stock Exchange and The NASDAQ Stock Market LLC</w:t>
      </w:r>
    </w:p>
    <w:p>
      <w:pPr>
        <w:spacing w:after="0" w:line="184" w:lineRule="exact"/>
        <w:rPr>
          <w:sz w:val="24"/>
          <w:szCs w:val="24"/>
          <w:color w:val="auto"/>
        </w:rPr>
      </w:pPr>
    </w:p>
    <w:p>
      <w:pPr>
        <w:ind w:left="3684"/>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4" w:lineRule="exact"/>
        <w:rPr>
          <w:sz w:val="24"/>
          <w:szCs w:val="24"/>
          <w:color w:val="auto"/>
        </w:rPr>
      </w:pPr>
    </w:p>
    <w:p>
      <w:pPr>
        <w:ind w:left="4"/>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6" w:lineRule="exact"/>
        <w:rPr>
          <w:sz w:val="24"/>
          <w:szCs w:val="24"/>
          <w:color w:val="auto"/>
        </w:rPr>
      </w:pPr>
    </w:p>
    <w:p>
      <w:pPr>
        <w:ind w:left="584"/>
        <w:spacing w:after="0" w:line="184" w:lineRule="exact"/>
        <w:tabs>
          <w:tab w:leader="none" w:pos="1144"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2" w:lineRule="exact"/>
        <w:rPr>
          <w:sz w:val="24"/>
          <w:szCs w:val="24"/>
          <w:color w:val="auto"/>
        </w:rPr>
      </w:pPr>
    </w:p>
    <w:p>
      <w:pPr>
        <w:ind w:left="4"/>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6" w:lineRule="exact"/>
        <w:rPr>
          <w:sz w:val="24"/>
          <w:szCs w:val="24"/>
          <w:color w:val="auto"/>
        </w:rPr>
      </w:pPr>
    </w:p>
    <w:p>
      <w:pPr>
        <w:ind w:left="584"/>
        <w:spacing w:after="0" w:line="184" w:lineRule="exact"/>
        <w:tabs>
          <w:tab w:leader="none" w:pos="1144"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2" w:lineRule="exact"/>
        <w:rPr>
          <w:sz w:val="24"/>
          <w:szCs w:val="24"/>
          <w:color w:val="auto"/>
        </w:rPr>
      </w:pPr>
    </w:p>
    <w:p>
      <w:pPr>
        <w:ind w:left="4"/>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p>
      <w:pPr>
        <w:spacing w:after="0" w:line="28" w:lineRule="exact"/>
        <w:rPr>
          <w:sz w:val="24"/>
          <w:szCs w:val="24"/>
          <w:color w:val="auto"/>
        </w:rPr>
      </w:pPr>
    </w:p>
    <w:p>
      <w:pPr>
        <w:ind w:left="4"/>
        <w:spacing w:after="0" w:line="173" w:lineRule="exact"/>
        <w:tabs>
          <w:tab w:leader="none" w:pos="11024" w:val="left"/>
        </w:tabs>
        <w:rPr>
          <w:sz w:val="20"/>
          <w:szCs w:val="20"/>
          <w:color w:val="auto"/>
        </w:rPr>
      </w:pPr>
      <w:r>
        <w:rPr>
          <w:rFonts w:ascii="Arial" w:cs="Arial" w:eastAsia="Arial" w:hAnsi="Arial"/>
          <w:sz w:val="15"/>
          <w:szCs w:val="15"/>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4" w:lineRule="exact"/>
        <w:rPr>
          <w:sz w:val="24"/>
          <w:szCs w:val="24"/>
          <w:color w:val="auto"/>
        </w:rPr>
      </w:pPr>
    </w:p>
    <w:p>
      <w:pPr>
        <w:ind w:left="4"/>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ind w:left="4" w:right="120"/>
        <w:spacing w:after="0" w:line="20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62" w:lineRule="exact"/>
        <w:rPr>
          <w:sz w:val="24"/>
          <w:szCs w:val="24"/>
          <w:color w:val="auto"/>
        </w:rPr>
      </w:pPr>
    </w:p>
    <w:p>
      <w:pPr>
        <w:ind w:left="4"/>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424"/>
          </w:cols>
          <w:pgMar w:left="236" w:top="427" w:right="239" w:bottom="1440" w:gutter="0" w:footer="0" w:header="0"/>
          <w:type w:val="continuous"/>
        </w:sectPr>
      </w:pPr>
    </w:p>
    <w:p>
      <w:pPr>
        <w:spacing w:after="0" w:line="170"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52"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5004" w:space="720"/>
            <w:col w:w="5700"/>
          </w:cols>
          <w:pgMar w:left="236" w:top="427" w:right="239" w:bottom="1440" w:gutter="0" w:footer="0" w:header="0"/>
          <w:type w:val="continuous"/>
        </w:sectPr>
      </w:pPr>
    </w:p>
    <w:p>
      <w:pPr>
        <w:spacing w:after="0" w:line="9" w:lineRule="exact"/>
        <w:rPr>
          <w:sz w:val="24"/>
          <w:szCs w:val="24"/>
          <w:color w:val="auto"/>
        </w:rPr>
      </w:pPr>
    </w:p>
    <w:p>
      <w:pPr>
        <w:ind w:left="4" w:right="300"/>
        <w:spacing w:after="0" w:line="25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ind w:left="9924"/>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726186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427" w:right="239" w:bottom="1440" w:gutter="0" w:footer="0" w:header="0"/>
          <w:type w:val="continuous"/>
        </w:sectPr>
      </w:pPr>
    </w:p>
    <w:bookmarkStart w:id="1" w:name="page2"/>
    <w:bookmarkEnd w:id="1"/>
    <w:p>
      <w:pPr>
        <w:spacing w:after="0" w:line="184" w:lineRule="exact"/>
        <w:tabs>
          <w:tab w:leader="none" w:pos="6820" w:val="left"/>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3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based upon the closing price of a share of the registrant’s common stock on February 28, 2018, the last business day of the registrant’s most recently completed second fiscal quarter, as reported by the New York Stock Exchange on that date, was $7,767,417,390.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October 24, 2018, was 38,037,295.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Portions of the registrant’s definitive Proxy Statement dated October 30, 2018, for the 2018 Annual Meeting of Stockholders to be held on December 18, 2018, are incorporated by reference into Part III of this Report on Form 10-K where indicated.</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280"/>
          </w:cols>
          <w:pgMar w:left="240" w:top="505"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120" w:type="dxa"/>
            <w:vAlign w:val="bottom"/>
            <w:gridSpan w:val="3"/>
          </w:tcPr>
          <w:p>
            <w:pPr>
              <w:spacing w:after="0"/>
              <w:rPr>
                <w:sz w:val="20"/>
                <w:szCs w:val="20"/>
                <w:color w:val="auto"/>
              </w:rPr>
            </w:pPr>
            <w:r>
              <w:rPr>
                <w:rFonts w:ascii="Arial" w:cs="Arial" w:eastAsia="Arial" w:hAnsi="Arial"/>
                <w:sz w:val="16"/>
                <w:szCs w:val="16"/>
                <w:color w:val="auto"/>
              </w:rPr>
              <w:t>For The Fiscal Year Ended August 31, 2018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820" w:type="dxa"/>
            <w:vAlign w:val="bottom"/>
            <w:gridSpan w:val="2"/>
          </w:tcPr>
          <w:p>
            <w:pPr>
              <w:spacing w:after="0"/>
              <w:rPr>
                <w:sz w:val="20"/>
                <w:szCs w:val="20"/>
                <w:color w:val="auto"/>
              </w:rPr>
            </w:pPr>
            <w:r>
              <w:rPr>
                <w:rFonts w:ascii="Arial" w:cs="Arial" w:eastAsia="Arial" w:hAnsi="Arial"/>
                <w:sz w:val="16"/>
                <w:szCs w:val="16"/>
                <w:color w:val="auto"/>
              </w:rPr>
              <w:t>PART I</w:t>
            </w:r>
          </w:p>
        </w:tc>
        <w:tc>
          <w:tcPr>
            <w:tcW w:w="10300" w:type="dxa"/>
            <w:vAlign w:val="bottom"/>
          </w:tcPr>
          <w:p>
            <w:pPr>
              <w:spacing w:after="0"/>
              <w:rPr>
                <w:sz w:val="24"/>
                <w:szCs w:val="24"/>
                <w:color w:val="auto"/>
              </w:rPr>
            </w:pPr>
          </w:p>
        </w:tc>
        <w:tc>
          <w:tcPr>
            <w:tcW w:w="340" w:type="dxa"/>
            <w:vAlign w:val="bottom"/>
            <w:gridSpan w:val="2"/>
            <w:vMerge w:val="restart"/>
          </w:tcPr>
          <w:p>
            <w:pPr>
              <w:spacing w:after="0"/>
              <w:rPr>
                <w:sz w:val="20"/>
                <w:szCs w:val="20"/>
                <w:color w:val="auto"/>
              </w:rPr>
            </w:pPr>
            <w:r>
              <w:rPr>
                <w:rFonts w:ascii="Arial" w:cs="Arial" w:eastAsia="Arial" w:hAnsi="Arial"/>
                <w:sz w:val="16"/>
                <w:szCs w:val="16"/>
                <w:color w:val="auto"/>
                <w:w w:val="85"/>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3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1A.</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Factors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1B.</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Unresolved Staff Comments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2.</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Properties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3.</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Legal Proceedings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4.</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Mine Safety Disclosures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PART II</w:t>
            </w:r>
          </w:p>
        </w:tc>
        <w:tc>
          <w:tcPr>
            <w:tcW w:w="10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5.</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6.</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Selected Financial Data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7.</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7A.</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Quantitative and Qualitative Disclosures About Market Risk</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8.</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Financial Statements and Supplementary Data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9.</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9A.</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Controls and Procedures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9B.</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Information</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PART III</w:t>
            </w:r>
          </w:p>
        </w:tc>
        <w:tc>
          <w:tcPr>
            <w:tcW w:w="10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10.</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Directors, Executive Officers and Corporate Governance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11.</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Executive Compensation</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12.</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13.</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14.</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Accounting Fees and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PART IV</w:t>
            </w:r>
          </w:p>
        </w:tc>
        <w:tc>
          <w:tcPr>
            <w:tcW w:w="10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ITEM 15.</w:t>
            </w:r>
          </w:p>
        </w:tc>
        <w:tc>
          <w:tcPr>
            <w:tcW w:w="10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Exhibits, Financial Statement Schedules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10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6"/>
                <w:szCs w:val="16"/>
                <w:color w:val="auto"/>
              </w:rPr>
              <w:t>Signatures</w:t>
            </w:r>
          </w:p>
        </w:tc>
        <w:tc>
          <w:tcPr>
            <w:tcW w:w="103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300" w:type="dxa"/>
            <w:vAlign w:val="bottom"/>
          </w:tcPr>
          <w:p>
            <w:pPr>
              <w:ind w:left="486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52"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ITEM 1. BUSINESS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Business Overview</w:t>
      </w:r>
    </w:p>
    <w:p>
      <w:pPr>
        <w:spacing w:after="0" w:line="200"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FactSet Research Systems Inc. (the “Company” or “FactSet”) is a global provider of integrated financial information, analytical applications and industry-leading service for the investment community. Our mission is to solve our clients’ greatest challenges through the power of collaboration. We deliver insight and information to investment professionals through our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we offer proprietary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Our revenues are primarily derived from subscriptions to products and services such as workstations, analytics, enterprise data, research management, and trade execution.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Corporate History</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FactSet was founded in 1978 and has been publicly held since 1996. We are dual listed on the New York Stock Exchange (“NYSE”) and the NASDAQ Stock Market (“NASDAQ”) under the symbol “FDS.” Fiscal 2018 marked our 40th year of operation and while much has changed in our market and technologies, our focus has always been to provide the best in class products and exceptional client service.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timeline depicts the Company’s history since our founding in 1978: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317740" cy="5492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Business Strategy</w:t>
      </w:r>
    </w:p>
    <w:p>
      <w:pPr>
        <w:spacing w:after="0" w:line="200"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We provide our clients with the global standard for delivery, integration and consumption of our financial data by the global investment community. We maintain flexible, open data and software solutions to bring the front, middle, and back office together to drive productivity and performance throughout the portfolio lifecycle. Our strategy is focused on growing our business throughout each of our three segments which include the U.S., Europe, and Asia Pacific. We believe this geographical strategy alignment helps us better manage our resources and concentrate on markets that demand our products. The U.S. segment services investment professionals, including financial institutions throughout the Americas. The European and Asia Pacific segments service investment professionals located throughout Europe and the Asia Pacific segment, respectively. To execute on our business strategy of broad-based growth across each geographical segment, we continue to look at ways to create value for our clients by offering data, products and analytical applications within our key workflows of Research, Analytics, Wealth, and Content and Technology Solutions.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Research Solutions</w:t>
      </w:r>
    </w:p>
    <w:p>
      <w:pPr>
        <w:spacing w:after="0" w:line="200"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Our Research Solutions (“Research”) workflow offers a powerful data solution that combines global coverage, deep history, and transparency with thousands of FactSet-sourced and third-party databases integrated in one flexible platform. Our Research workflow has a strong focus on growing the number of users and client types including investment banking, sell-side research, buy-side research, private equity, capital markets, investor relations, and media. This workflow offering is comprised of Core Applications, including Universal Screening, Company &amp; Security Analytics, Industry and Markets, Filings, Ownership, Research, News and our Research Management Solutions (“RMS”).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Analytics Solutions</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Our Analytics Solutions (“Analytics”) workflow addresses processes around risk, performance and reporting. Our Analytics workflow provides investment professionals with in-depth insight, powerful analytics, and comprehensive datasets integrated seamlessly into their portfolios. The Analytics workflow is driven by FactSet Portfolio Analysis (“PA”) and FactSet’s Multi-Asset Class (“MAC”) risk models. PA is a multi-asset class interactive global solution that includes a flexible, multi-tile interface of reports and charts to enable a user to make smarter decisions. MAC risk models analyze risk factors across different asset types and classes. We have enhanced our Analytics workflow offering by leveraging client-requested functionality such as fixed income optimization and the Duration Times Spread attribution model.</w:t>
      </w:r>
    </w:p>
    <w:p>
      <w:pPr>
        <w:spacing w:after="0" w:line="154"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Additionally, included in the Analytics workflow is our portfolio management and trading solutions which focus on workflows that are specific for the front office serving traders and portfolio managers. This offering includes a multi-asset execution management system (“EMS”) platform, as well as compliance and order management functionality. These products are aimed at large asset managers, hedge funds and mid-market customers to provide a combination of automated and intelligent trading workflows.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Wealth Solutions</w:t>
      </w:r>
    </w:p>
    <w:p>
      <w:pPr>
        <w:spacing w:after="0" w:line="200"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Our Wealth Solutions (“Wealth”) workflow creates solutions that are specific to the wealth management industry and helps with investment portfolio management, advisory services, financial planning and other financial services. Our Wealth workflow offerings include providing end-to-end solutions, focusing on non-equity content and single security analytics, portfolio and risk analytics, and digital strategy.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Content and Technology Solutions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Content and Technology Solutions (“CTS”) workflow is focused on delivering value to our clients in the way they want to consume it. Our goal is to reduce the number of customizations by standardizing and bundling our proprietary data into data feeds. Whether a client needs market, company, or alternative data, our data delivery services provide normalized data through APIs and a direct delivery of local copies of standard data feeds. Our symbology links and aggregates a variety of content sources to ensure consistency, transparency, and data integrity across your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CTS workflow also includes direct access to insight and information outside of the workstation through cloud-based application program interfaces and white label solutions.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More specifically, our recent launch of Open:FactSet data marketplace provides access to 25 specialty datasets from FactSet and other data providers in flexible delivery formats.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color w:val="auto"/>
        </w:rPr>
        <w:t>FactSet Clients</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Buy-side</w:t>
      </w:r>
    </w:p>
    <w:p>
      <w:pPr>
        <w:spacing w:after="0" w:line="200" w:lineRule="exact"/>
        <w:rPr>
          <w:sz w:val="20"/>
          <w:szCs w:val="20"/>
          <w:color w:val="auto"/>
        </w:rPr>
      </w:pPr>
    </w:p>
    <w:p>
      <w:pPr>
        <w:ind w:left="4" w:right="120"/>
        <w:spacing w:after="0" w:line="351" w:lineRule="auto"/>
        <w:rPr>
          <w:sz w:val="20"/>
          <w:szCs w:val="20"/>
          <w:color w:val="auto"/>
        </w:rPr>
      </w:pPr>
      <w:r>
        <w:rPr>
          <w:rFonts w:ascii="Arial" w:cs="Arial" w:eastAsia="Arial" w:hAnsi="Arial"/>
          <w:sz w:val="14"/>
          <w:szCs w:val="14"/>
          <w:color w:val="auto"/>
        </w:rPr>
        <w:t>We focus on the buy-side workflow across all firm and user types. These clients include portfolio managers, analysts, traders, wealth managers, performance teams and risk and compliance teams at a variety of firms, such as traditional asset managers, wealth advisors, corporations, hedge funds, insurance companies, plan sponsors and fund of funds.</w:t>
      </w:r>
    </w:p>
    <w:p>
      <w:pPr>
        <w:spacing w:after="0" w:line="106" w:lineRule="exact"/>
        <w:rPr>
          <w:sz w:val="20"/>
          <w:szCs w:val="20"/>
          <w:color w:val="auto"/>
        </w:rPr>
      </w:pPr>
    </w:p>
    <w:p>
      <w:pPr>
        <w:ind w:left="4" w:right="240"/>
        <w:spacing w:after="0" w:line="264" w:lineRule="auto"/>
        <w:rPr>
          <w:sz w:val="20"/>
          <w:szCs w:val="20"/>
          <w:color w:val="auto"/>
        </w:rPr>
      </w:pPr>
      <w:r>
        <w:rPr>
          <w:rFonts w:ascii="Arial" w:cs="Arial" w:eastAsia="Arial" w:hAnsi="Arial"/>
          <w:sz w:val="16"/>
          <w:szCs w:val="16"/>
          <w:color w:val="auto"/>
        </w:rPr>
        <w:t>As buy-side clients continue to shift towards multi-asset class investment strategies, we are positioned to be a partner in the space, given our ability to provide enterprise-wide solutions across their entire workflow. We provide solutions across asset classes and at nearly every stage of the investment process by utilizing our workstations, powerful analytics, proprietary content, data feeds and portfolio services.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buy-side annual subscription value (“ASV”) growth rate for fiscal 2018 was 5.4%. Buy-side clients accounted for 83.9% of ASV as of August 31, 2018.</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Sell-side</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4"/>
          <w:szCs w:val="14"/>
          <w:color w:val="auto"/>
        </w:rPr>
        <w:t>We are a market leader on the sell-side and we are continuing to expand beyond investment banking into various other parts of banking institutions. Our clients represent banking</w:t>
      </w:r>
    </w:p>
    <w:p>
      <w:pPr>
        <w:spacing w:after="0" w:line="44" w:lineRule="exact"/>
        <w:rPr>
          <w:sz w:val="20"/>
          <w:szCs w:val="20"/>
          <w:color w:val="auto"/>
        </w:rPr>
      </w:pPr>
    </w:p>
    <w:p>
      <w:pPr>
        <w:ind w:left="4" w:right="340" w:hanging="4"/>
        <w:spacing w:after="0" w:line="261" w:lineRule="auto"/>
        <w:tabs>
          <w:tab w:leader="none" w:pos="169"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advisory, broker-dealers, consulting, independent research, institutional asset management, private equity, and venture capital firms. We believe that future growth may be derived from the breadth of solutions we provide to the sell-side across our geographic segments and workflow solutions.</w:t>
      </w:r>
    </w:p>
    <w:p>
      <w:pPr>
        <w:spacing w:after="0" w:line="164" w:lineRule="exact"/>
        <w:rPr>
          <w:sz w:val="20"/>
          <w:szCs w:val="20"/>
          <w:color w:val="auto"/>
        </w:rPr>
      </w:pPr>
    </w:p>
    <w:p>
      <w:pPr>
        <w:jc w:val="both"/>
        <w:ind w:left="4" w:right="120"/>
        <w:spacing w:after="0" w:line="264" w:lineRule="auto"/>
        <w:rPr>
          <w:sz w:val="20"/>
          <w:szCs w:val="20"/>
          <w:color w:val="auto"/>
        </w:rPr>
      </w:pPr>
      <w:r>
        <w:rPr>
          <w:rFonts w:ascii="Arial" w:cs="Arial" w:eastAsia="Arial" w:hAnsi="Arial"/>
          <w:sz w:val="16"/>
          <w:szCs w:val="16"/>
          <w:color w:val="auto"/>
        </w:rPr>
        <w:t>Though historically we have focused on selling workstations to banks, over the last few years our emphasis has shifted to focus on selling more differentiated product offerings outside the workstation. We are also expanding our banking user base to commercial banking, equity and fixed income research teams, quantitative analysis groups, compliance and regulatory divisions and sales and trading teams.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sell-side ASV growth rate for fiscal 2018 was 7.3%. Sell-side clients accounted for 16.1% of ASV as of August 31, 2018.</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Client Subscription Growth</w:t>
      </w:r>
    </w:p>
    <w:p>
      <w:pPr>
        <w:spacing w:after="0" w:line="200"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ASV at any given point in time represents the forward-looking revenues for the next twelve months from all subscription services currently being supplied to clients and excludes professional services fees billed in the last twelve months, which are not subscription-based. Organic ASV excludes ASV from acquisitions and dispositions completed within the last 12 months and the effects of foreign currency</w:t>
      </w:r>
    </w:p>
    <w:p>
      <w:pPr>
        <w:spacing w:after="0" w:line="162"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As of August 31, 2018, ASV was $1.39 billion, up $74.4 million or 5.7% organically from a year ago. This increase in ASV was driven by growth amongst our geographic segments and achievements across each of our workflow solutions which include Research, Analytics, CTS, and Wealth.</w:t>
      </w:r>
    </w:p>
    <w:p>
      <w:pPr>
        <w:spacing w:after="0" w:line="152" w:lineRule="exact"/>
        <w:rPr>
          <w:sz w:val="20"/>
          <w:szCs w:val="20"/>
          <w:color w:val="auto"/>
        </w:rPr>
      </w:pPr>
    </w:p>
    <w:p>
      <w:pPr>
        <w:ind w:left="4" w:right="220"/>
        <w:spacing w:after="0" w:line="277" w:lineRule="auto"/>
        <w:rPr>
          <w:sz w:val="20"/>
          <w:szCs w:val="20"/>
          <w:color w:val="auto"/>
        </w:rPr>
      </w:pPr>
      <w:r>
        <w:rPr>
          <w:rFonts w:ascii="Arial" w:cs="Arial" w:eastAsia="Arial" w:hAnsi="Arial"/>
          <w:sz w:val="16"/>
          <w:szCs w:val="16"/>
          <w:color w:val="auto"/>
        </w:rPr>
        <w:t>During fiscal 2018, we added 398 new clients, increasing the number of clients by 8.4% over the prior year. We added 3,051 new users during fiscal 2018, leading to a healthy progression in the number of users in both our buy-side and sell-side clients.</w:t>
      </w:r>
    </w:p>
    <w:p>
      <w:pPr>
        <w:spacing w:after="0" w:line="152"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4"/>
          </w:cols>
          <w:pgMar w:left="236" w:top="535"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The following chart provides a snapshot of FactSet’s historic ASV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4927600" cy="3279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7600"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on Geographic Areas</w:t>
      </w:r>
    </w:p>
    <w:p>
      <w:pPr>
        <w:spacing w:after="0" w:line="200"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Operating segments are defined as (i) components of an enterprise that engage in business activities from which they may earn revenues and incur expenses, (ii) with operating results that are regularly reviewed by the enterprise’s chief operating decision maker to make decisions about resources to be allocated to the segment and assess its performance, and (iii) for which discrete financial information is available. Executive management, along with the CEO, constitute our chief operating decision making group (“CODMG”). Executive management consists of certain executives who directly report to the CEO, including the Chief Financial Officer, Chief Technology and Product Officer, Global Head of Sales and Client Solutions, General Counsel, Chief Human Resources Officer and Head of Analytics &amp; Trading. The CODMG reviews financial information at the operating segment level and is responsible for making decisions about resources allocated amongst the operating segments based on actual results.</w:t>
      </w:r>
    </w:p>
    <w:p>
      <w:pPr>
        <w:spacing w:after="0" w:line="14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Our operating segments are aligned with how the Company, including its CODMG, manages the business and the demographic markets we serve. Our internal financial reporting structure is based on three segments: the U.S., Europe and Asia Pacific. We believe this alignment helps us better manage the business and focus on markets that demand our products. Our primary functional groups within the U.S., Europe, and Asia Pacific segments include sales, consulting, data collection, product development and software engineering, which provide global financial and economic information to investment managers, investment banks and other financial services professionals.</w:t>
      </w:r>
    </w:p>
    <w:p>
      <w:pPr>
        <w:spacing w:after="0" w:line="150"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 xml:space="preserve">The U.S. segment services investment professionals, including financial institutions throughout the Americas. The European and Asia Pacific segments service investment professionals located throughout Europe and the Asia Pacific segment, respectively. Financial information, including revenues, operating income and long-lived assets related to our operations in each geographic area are presented in Note 7, </w:t>
      </w:r>
      <w:r>
        <w:rPr>
          <w:rFonts w:ascii="Arial" w:cs="Arial" w:eastAsia="Arial" w:hAnsi="Arial"/>
          <w:sz w:val="14"/>
          <w:szCs w:val="14"/>
          <w:i w:val="1"/>
          <w:iCs w:val="1"/>
          <w:color w:val="auto"/>
        </w:rPr>
        <w:t>Segment Information</w:t>
      </w:r>
      <w:r>
        <w:rPr>
          <w:rFonts w:ascii="Arial" w:cs="Arial" w:eastAsia="Arial" w:hAnsi="Arial"/>
          <w:sz w:val="14"/>
          <w:szCs w:val="14"/>
          <w:color w:val="auto"/>
        </w:rPr>
        <w:t>, and in the Notes to the Company’s Consolidated Financial Statements included in Item 8.</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4"/>
          <w:szCs w:val="14"/>
          <w:color w:val="auto"/>
        </w:rPr>
        <w:t>The U.S. segment has offices in fourteen states throughout the U.S., including our corporate headquarters in Norwalk, Connecticut as well as two additional offices located in Brazil and Canada. The European segment maintains office locations in Bulgaria, Dubai, England, Finland, France, Germany, Italy, Latvia, Luxembourg, the Netherlands, South Africa, Spain, and Switzerland. The Asia Pacific segment has office locations in Australia, China, India, Japan, and Singapore. Segment revenues reflect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marketing, office and other direct expenses.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7" w:name="page8"/>
    <w:bookmarkEnd w:id="7"/>
    <w:p>
      <w:pPr>
        <w:ind w:right="380"/>
        <w:spacing w:after="0" w:line="264" w:lineRule="auto"/>
        <w:rPr>
          <w:sz w:val="20"/>
          <w:szCs w:val="20"/>
          <w:color w:val="auto"/>
        </w:rPr>
      </w:pPr>
      <w:r>
        <w:rPr>
          <w:rFonts w:ascii="Arial" w:cs="Arial" w:eastAsia="Arial" w:hAnsi="Arial"/>
          <w:sz w:val="16"/>
          <w:szCs w:val="16"/>
          <w:color w:val="auto"/>
        </w:rPr>
        <w:t>Expenditures associated with our data centers, data costs and corporate charges are recorded by the U.S. segment and are not allocated to the other segments. The centers of excellence, which focus primarily on content collection and are located in India and the Philippines, benefit all operating segments and thus the expenses incurred at these locations are allocated to each segment based on a percentage of revenues.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depict revenues related to our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135255</wp:posOffset>
            </wp:positionV>
            <wp:extent cx="5492115" cy="1693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2115"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Talent</w:t>
      </w:r>
    </w:p>
    <w:p>
      <w:pPr>
        <w:spacing w:after="0" w:line="20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Since our founding, we have built a collaborative culture that recognizes and rewards innovation and offers employees a variety of opportunities and experiences. Our employees are critical to our success and the reason we continue to execute at a high level. We believe our continued focus on making employee engagement a top priority will help us provide high quality insights and information to clients globally.</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In order to optimize productivity, we have invested in expanding our footprint and talent pool in India and the Philippines, where we now have a combined workforce of over 5,500 people.</w:t>
      </w:r>
    </w:p>
    <w:p>
      <w:pPr>
        <w:spacing w:after="0" w:line="152"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As of August 31, 2018, our employee headcount was 9,571, an increase of 5.5% in the last twelve months. Of our total employees, 2,471 are in the U.S., 1,246 in Europe and 5,854 in the Asia Pacific segment.</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In fiscal 2018, approximately 430 FactSet employees within certain French and German subsidiaries were represented by mandatory works councils, an amount consistent with fiscal 2017. No other employees are represented by collective bargaining agreements.</w:t>
      </w:r>
    </w:p>
    <w:p>
      <w:pPr>
        <w:spacing w:after="0" w:line="152"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color w:val="auto"/>
        </w:rPr>
        <w:t>In May 2018, we announced that Maurizio Nicolelli, the Company’s Chief Financial Officer, would depart FactSet as of December 31, 2018. In July 2018, we announced that Helen L. Shan would join FactSet as the new Chief Financial Officer beginning in September 2018. Additionally, in July 2018, we announced that Edward Baker-Greene, the Company’s Chief Human Resources Officer would depart FactSet as of November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Third-Party Content</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aggregate content from thousands of third-party data suppliers, news sources, exchanges, brokers and contributors into our own dedicated online service, which clients access to perform their analyses. We carry content from premier providers of major global exchanges and data providers. We seek to maintain contractual relationships with a minimum of two content providers for each major type of financial data, though certain data sets on which we rely have a limited number of suppliers. We make every effort, when reasonable, to locate alternative sources, to ensure that we are not dependent on any one third- party data supplier. We have entered into third-party content agreements at varying lengths, which in some cases can be terminated on one year’s notice, at predefined dates, and in other cases on shorter notice. No single vendor or data supplier represented 10% or more of our total data expenses in any fiscal year presented.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Data Centers</w:t>
      </w:r>
    </w:p>
    <w:p>
      <w:pPr>
        <w:spacing w:after="0" w:line="200"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Our business is dependent on our ability to process substantial volumes of data and transactions rapidly and efficiently on our networks and systems. Our global technology infrastructure supports our operations and is designed to facilitate the reliable and efficient processing and delivery of data and analytics to our clients. Our data centers contain multiple layers of redundancy to enhance system performance, including maintaining, processing and storing data at multiple data centers. User connections are load balanced between data centers. In the event of a site failure, equipment problem or localized disaster, the remaining centers have the capacity to handle the additional load. We continue to be focused on maintaining a global technological infrastructure that allows us to support our growing business.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Several years ago, we launched Project NextGen to evolve away from large mainframe computers to a more distributed environment powered by a vast array of smaller, faster and more cost-effective machines. We operate fully redundant data centers in both Virginia and New Jersey in the U.S. that can handle our entire client capacity. In addition, we maintain a vast private wide area network that provides a high-speed direct link between the client’s local network and the data content and powerful applications found on our mainframe machines.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Competitive Landscape</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are a part of the financial information services industry, providing accurate financial information and software solutions to the global investment community. This extremely competitive market is comprised of both large, well-capitalized companies and smaller, niche firms including market data suppliers, news and information providers and many of the content providers that supply us with financial information included in the FactSet workstation. Our largest competitors are Bloomberg L.P., Refinitiv (formerly part of Thomson Reuters), and S&amp;P Global Market Intelligence. Other competitors and competitive products include online database suppliers and integrators and their applications, such as MSCI Inc., Morningstar Inc., BlackRock Solutions and RIMES Technologies Corporation. Many of these firms offer products or services which are similar to those we sell. Our development of our own robust sets of proprietary content combined with our news and quotes offering have resulted in more direct competition with the largest financial data providers.</w:t>
      </w:r>
    </w:p>
    <w:p>
      <w:pPr>
        <w:spacing w:after="0" w:line="169"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Despite competing products and services, we enjoy high barriers to entry and believe it would be difficult for another vendor to quickly replicate the extensive databases we currently offer. Through our in-depth analytics and client service, we believe we can offer clients a more complete solution with one of the broadest sets of functionalities, through a desktop user interface or data feed. In addition, our applications, including our client support and service offerings, are entrenched in the workflow of many financial professionals given the downloading functions and portfolio analysis/screening capabilities offered. We are entrusted with significant amounts of our clients' own proprietary data, including portfolio holdings. As a result, our products have become central to our clients’ investment analysis and decision-making.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w:t>
      </w:r>
    </w:p>
    <w:p>
      <w:pPr>
        <w:spacing w:after="0" w:line="20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seek to protect our software,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Product Development Costs</w:t>
      </w:r>
    </w:p>
    <w:p>
      <w:pPr>
        <w:spacing w:after="0" w:line="20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 key aspect of our growth strategy is to enhance our existing products and applications by making them faster with more reliable data. We strive to rapidly to adopt new technology that can improve our products and services. At FactSet we do not have a separate research and product development department, but rather our Product Development and Engineering departments work closely with our strategists, product managers, sales and other client-facing specialists to identify areas of improvement to provide increased value to our clients. Research and product development costs relate to the salary and benefits for our product development, software engineering and technical support staff. These costs are expensed as incurred within our cost of services as employee compensation. We expect to appropriate a similar percentage of our workforce and associated expenses in future years to continue to develop new products and enhancements, respond quickly to market changes and meet the needs of our clients efficiently. In fiscal 2018, we incurred $217.1 million of research and product development costs, which was comparable to our spend on similar development during fiscal years 2017 and 2016,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Government Regulation</w:t>
      </w:r>
    </w:p>
    <w:p>
      <w:pPr>
        <w:spacing w:after="0" w:line="200"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FactSet is subject to reporting requirements, disclosure obligations and other recordkeeping requirements of the Securities and Exchange Commission (“SEC”) and the various local authorities that regulate each location in which we operate. The Company’s P.A.N. Securities, LP, is a member of the Financial Industry Regulatory Authority, Inc. and is a registered broker-dealer under Section 15 of the Securities Exchange Act of 1934. P.A.N. Securities, LP, as a registered broker-dealer, is subject to Rule 15c3-1 under the Securities Exchange Act of 1934, which requires that the Company maintain minimum net capital requirements. The Company claims exemption under Rule 15c3-3(k)(2)(i).</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Corporate Contact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FactSet was founded as a Delaware corporation in 1978, and its principal executive office is in Norwalk, Connecticut.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Mailing address of the Company’s headquarters: 601 Merritt 7, Norwalk, Connecticut 06851 USA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Telephone number: +1 (203) 810-1000</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Website address: www.factset.com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Available Information</w:t>
      </w:r>
    </w:p>
    <w:p>
      <w:pPr>
        <w:spacing w:after="0" w:line="20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Through the Investor Relations section of FactSet’s website (https://investor.factset.com), we make available the following filings as soon as practicable after they are electronically filed with, or furnished to, the SEC: the Company’s Annual Report on Form 10-K, Quarterly Reports on Form 10-Q, Current Reports on Form 8-K, Proxy Statements for the annual stockholder meetings, Reports on Forms 3, 4 and 5, and any amendments to those reports filed or furnished pursuant to Section 13(a) or 15(d) of the Securities Exchange Act of 1934, as amended. All such filings are available free of charge.</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Additionally, we broadcast live our quarterly earnings calls via the investor relations section of our website. We also provide notifications of news or announcements regarding our financial performance, including SEC filings, investor events, press and earnings releases, and blogs as part of our investor relations website. The contents of this website section are not intended to be incorporated by reference into this Report on Form 10-K or in any other report or document the Company files and any reference to this section of our website is intended to be inactive textual references only.</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addition, the FactSet Code of Business Conduct and Ethics is posted in the Investor Relations section of the Company’s website. The same information is available in print to any stockholder who submits a written request to the Company’s Investor Relations department. Any amendments to or waivers of such code that are required to be publicly disclosed by the applicable exchange rules or the SEC will be posted on our website. The Corporate Governance Guidelines and the charters of each of the committees of the Company’s Board of Directors, including the Audit Committee, Compensation and Talent Committee, and Nominating and Corporate Governance Committee are available on the Investor Relations section of our website. The same information is available in print, free of charge, to any stockholder who submits a written request to our Investor Relations department.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of the Registrant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FactSet’s current executive 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1660" w:type="dxa"/>
            <w:vAlign w:val="bottom"/>
          </w:tcPr>
          <w:p>
            <w:pPr>
              <w:jc w:val="center"/>
              <w:ind w:left="1000"/>
              <w:spacing w:after="0"/>
              <w:rPr>
                <w:sz w:val="20"/>
                <w:szCs w:val="20"/>
                <w:color w:val="auto"/>
              </w:rPr>
            </w:pPr>
            <w:r>
              <w:rPr>
                <w:rFonts w:ascii="Arial" w:cs="Arial" w:eastAsia="Arial" w:hAnsi="Arial"/>
                <w:sz w:val="16"/>
                <w:szCs w:val="16"/>
                <w:color w:val="auto"/>
                <w:w w:val="97"/>
              </w:rPr>
              <w:t>Officer</w:t>
            </w:r>
          </w:p>
        </w:tc>
      </w:tr>
      <w:tr>
        <w:trPr>
          <w:trHeight w:val="205"/>
        </w:trPr>
        <w:tc>
          <w:tcPr>
            <w:tcW w:w="2200" w:type="dxa"/>
            <w:vAlign w:val="bottom"/>
            <w:gridSpan w:val="2"/>
          </w:tcPr>
          <w:p>
            <w:pPr>
              <w:spacing w:after="0"/>
              <w:rPr>
                <w:sz w:val="20"/>
                <w:szCs w:val="20"/>
                <w:color w:val="auto"/>
              </w:rPr>
            </w:pPr>
            <w:r>
              <w:rPr>
                <w:rFonts w:ascii="Arial" w:cs="Arial" w:eastAsia="Arial" w:hAnsi="Arial"/>
                <w:sz w:val="16"/>
                <w:szCs w:val="16"/>
                <w:color w:val="auto"/>
              </w:rPr>
              <w:t>Name of Officer</w:t>
            </w:r>
          </w:p>
        </w:tc>
        <w:tc>
          <w:tcPr>
            <w:tcW w:w="1260" w:type="dxa"/>
            <w:vAlign w:val="bottom"/>
          </w:tcPr>
          <w:p>
            <w:pPr>
              <w:jc w:val="center"/>
              <w:ind w:left="440"/>
              <w:spacing w:after="0"/>
              <w:rPr>
                <w:sz w:val="20"/>
                <w:szCs w:val="20"/>
                <w:color w:val="auto"/>
              </w:rPr>
            </w:pPr>
            <w:r>
              <w:rPr>
                <w:rFonts w:ascii="Arial" w:cs="Arial" w:eastAsia="Arial" w:hAnsi="Arial"/>
                <w:sz w:val="16"/>
                <w:szCs w:val="16"/>
                <w:color w:val="auto"/>
                <w:w w:val="91"/>
              </w:rPr>
              <w:t>Age</w:t>
            </w:r>
          </w:p>
        </w:tc>
        <w:tc>
          <w:tcPr>
            <w:tcW w:w="6320" w:type="dxa"/>
            <w:vAlign w:val="bottom"/>
          </w:tcPr>
          <w:p>
            <w:pPr>
              <w:ind w:left="240"/>
              <w:spacing w:after="0"/>
              <w:rPr>
                <w:sz w:val="20"/>
                <w:szCs w:val="20"/>
                <w:color w:val="auto"/>
              </w:rPr>
            </w:pPr>
            <w:r>
              <w:rPr>
                <w:rFonts w:ascii="Arial" w:cs="Arial" w:eastAsia="Arial" w:hAnsi="Arial"/>
                <w:sz w:val="16"/>
                <w:szCs w:val="16"/>
                <w:color w:val="auto"/>
              </w:rPr>
              <w:t>Office Held with the Company</w:t>
            </w:r>
          </w:p>
        </w:tc>
        <w:tc>
          <w:tcPr>
            <w:tcW w:w="1660" w:type="dxa"/>
            <w:vAlign w:val="bottom"/>
          </w:tcPr>
          <w:p>
            <w:pPr>
              <w:jc w:val="center"/>
              <w:ind w:left="1000"/>
              <w:spacing w:after="0"/>
              <w:rPr>
                <w:sz w:val="20"/>
                <w:szCs w:val="20"/>
                <w:color w:val="auto"/>
              </w:rPr>
            </w:pPr>
            <w:r>
              <w:rPr>
                <w:rFonts w:ascii="Arial" w:cs="Arial" w:eastAsia="Arial" w:hAnsi="Arial"/>
                <w:sz w:val="16"/>
                <w:szCs w:val="16"/>
                <w:color w:val="auto"/>
                <w:w w:val="84"/>
              </w:rPr>
              <w:t>Since</w:t>
            </w:r>
          </w:p>
        </w:tc>
      </w:tr>
      <w:tr>
        <w:trPr>
          <w:trHeight w:val="184"/>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 Philip Snow</w:t>
            </w:r>
          </w:p>
        </w:tc>
        <w:tc>
          <w:tcPr>
            <w:tcW w:w="1260" w:type="dxa"/>
            <w:vAlign w:val="bottom"/>
            <w:tcBorders>
              <w:top w:val="single" w:sz="8" w:color="auto"/>
            </w:tcBorders>
            <w:shd w:val="clear" w:color="auto" w:fill="CCEEFF"/>
          </w:tcPr>
          <w:p>
            <w:pPr>
              <w:jc w:val="center"/>
              <w:ind w:left="420"/>
              <w:spacing w:after="0"/>
              <w:rPr>
                <w:sz w:val="20"/>
                <w:szCs w:val="20"/>
                <w:color w:val="auto"/>
              </w:rPr>
            </w:pPr>
            <w:r>
              <w:rPr>
                <w:rFonts w:ascii="Arial" w:cs="Arial" w:eastAsia="Arial" w:hAnsi="Arial"/>
                <w:sz w:val="16"/>
                <w:szCs w:val="16"/>
                <w:color w:val="auto"/>
                <w:w w:val="89"/>
              </w:rPr>
              <w:t>54</w:t>
            </w:r>
          </w:p>
        </w:tc>
        <w:tc>
          <w:tcPr>
            <w:tcW w:w="6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Chief Executive Officer</w:t>
            </w:r>
          </w:p>
        </w:tc>
        <w:tc>
          <w:tcPr>
            <w:tcW w:w="1660" w:type="dxa"/>
            <w:vAlign w:val="bottom"/>
            <w:tcBorders>
              <w:top w:val="single" w:sz="8" w:color="auto"/>
            </w:tcBorders>
            <w:shd w:val="clear" w:color="auto" w:fill="CCEEFF"/>
          </w:tcPr>
          <w:p>
            <w:pPr>
              <w:jc w:val="center"/>
              <w:ind w:left="980"/>
              <w:spacing w:after="0"/>
              <w:rPr>
                <w:sz w:val="20"/>
                <w:szCs w:val="20"/>
                <w:color w:val="auto"/>
              </w:rPr>
            </w:pPr>
            <w:r>
              <w:rPr>
                <w:rFonts w:ascii="Arial" w:cs="Arial" w:eastAsia="Arial" w:hAnsi="Arial"/>
                <w:sz w:val="16"/>
                <w:szCs w:val="16"/>
                <w:color w:val="auto"/>
                <w:w w:val="89"/>
              </w:rPr>
              <w:t>2014</w:t>
            </w:r>
          </w:p>
        </w:tc>
      </w:tr>
      <w:tr>
        <w:trPr>
          <w:trHeight w:val="192"/>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Helen L. Shan</w:t>
            </w:r>
          </w:p>
        </w:tc>
        <w:tc>
          <w:tcPr>
            <w:tcW w:w="1260" w:type="dxa"/>
            <w:vAlign w:val="bottom"/>
          </w:tcPr>
          <w:p>
            <w:pPr>
              <w:jc w:val="center"/>
              <w:ind w:left="420"/>
              <w:spacing w:after="0"/>
              <w:rPr>
                <w:sz w:val="20"/>
                <w:szCs w:val="20"/>
                <w:color w:val="auto"/>
              </w:rPr>
            </w:pPr>
            <w:r>
              <w:rPr>
                <w:rFonts w:ascii="Arial" w:cs="Arial" w:eastAsia="Arial" w:hAnsi="Arial"/>
                <w:sz w:val="16"/>
                <w:szCs w:val="16"/>
                <w:color w:val="auto"/>
                <w:w w:val="89"/>
              </w:rPr>
              <w:t>50</w:t>
            </w:r>
          </w:p>
        </w:tc>
        <w:tc>
          <w:tcPr>
            <w:tcW w:w="6320" w:type="dxa"/>
            <w:vAlign w:val="bottom"/>
          </w:tcPr>
          <w:p>
            <w:pPr>
              <w:ind w:left="240"/>
              <w:spacing w:after="0"/>
              <w:rPr>
                <w:sz w:val="20"/>
                <w:szCs w:val="20"/>
                <w:color w:val="auto"/>
              </w:rPr>
            </w:pPr>
            <w:r>
              <w:rPr>
                <w:rFonts w:ascii="Arial" w:cs="Arial" w:eastAsia="Arial" w:hAnsi="Arial"/>
                <w:sz w:val="16"/>
                <w:szCs w:val="16"/>
                <w:color w:val="auto"/>
              </w:rPr>
              <w:t>Executive Vice President and Chief Financial Officer</w:t>
            </w:r>
          </w:p>
        </w:tc>
        <w:tc>
          <w:tcPr>
            <w:tcW w:w="1660" w:type="dxa"/>
            <w:vAlign w:val="bottom"/>
          </w:tcPr>
          <w:p>
            <w:pPr>
              <w:jc w:val="center"/>
              <w:ind w:left="980"/>
              <w:spacing w:after="0"/>
              <w:rPr>
                <w:sz w:val="20"/>
                <w:szCs w:val="20"/>
                <w:color w:val="auto"/>
              </w:rPr>
            </w:pPr>
            <w:r>
              <w:rPr>
                <w:rFonts w:ascii="Arial" w:cs="Arial" w:eastAsia="Arial" w:hAnsi="Arial"/>
                <w:sz w:val="16"/>
                <w:szCs w:val="16"/>
                <w:color w:val="auto"/>
                <w:w w:val="89"/>
              </w:rPr>
              <w:t>2018</w:t>
            </w:r>
          </w:p>
        </w:tc>
      </w:tr>
      <w:tr>
        <w:trPr>
          <w:trHeight w:val="192"/>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Edward Baker-Greene</w:t>
            </w:r>
          </w:p>
        </w:tc>
        <w:tc>
          <w:tcPr>
            <w:tcW w:w="12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89"/>
              </w:rPr>
              <w:t>55</w:t>
            </w:r>
          </w:p>
        </w:tc>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Senior Vice President, Chief Human Resources Officer</w:t>
            </w:r>
          </w:p>
        </w:tc>
        <w:tc>
          <w:tcPr>
            <w:tcW w:w="1660" w:type="dxa"/>
            <w:vAlign w:val="bottom"/>
            <w:shd w:val="clear" w:color="auto" w:fill="CCEEFF"/>
          </w:tcPr>
          <w:p>
            <w:pPr>
              <w:jc w:val="center"/>
              <w:ind w:left="980"/>
              <w:spacing w:after="0"/>
              <w:rPr>
                <w:sz w:val="20"/>
                <w:szCs w:val="20"/>
                <w:color w:val="auto"/>
              </w:rPr>
            </w:pPr>
            <w:r>
              <w:rPr>
                <w:rFonts w:ascii="Arial" w:cs="Arial" w:eastAsia="Arial" w:hAnsi="Arial"/>
                <w:sz w:val="16"/>
                <w:szCs w:val="16"/>
                <w:color w:val="auto"/>
                <w:w w:val="89"/>
              </w:rPr>
              <w:t>2015</w:t>
            </w:r>
          </w:p>
        </w:tc>
      </w:tr>
      <w:tr>
        <w:trPr>
          <w:trHeight w:val="192"/>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Gene D. Fernandez</w:t>
            </w:r>
          </w:p>
        </w:tc>
        <w:tc>
          <w:tcPr>
            <w:tcW w:w="1260" w:type="dxa"/>
            <w:vAlign w:val="bottom"/>
          </w:tcPr>
          <w:p>
            <w:pPr>
              <w:jc w:val="center"/>
              <w:ind w:left="420"/>
              <w:spacing w:after="0"/>
              <w:rPr>
                <w:sz w:val="20"/>
                <w:szCs w:val="20"/>
                <w:color w:val="auto"/>
              </w:rPr>
            </w:pPr>
            <w:r>
              <w:rPr>
                <w:rFonts w:ascii="Arial" w:cs="Arial" w:eastAsia="Arial" w:hAnsi="Arial"/>
                <w:sz w:val="16"/>
                <w:szCs w:val="16"/>
                <w:color w:val="auto"/>
                <w:w w:val="89"/>
              </w:rPr>
              <w:t>51</w:t>
            </w:r>
          </w:p>
        </w:tc>
        <w:tc>
          <w:tcPr>
            <w:tcW w:w="6320" w:type="dxa"/>
            <w:vAlign w:val="bottom"/>
          </w:tcPr>
          <w:p>
            <w:pPr>
              <w:ind w:left="240"/>
              <w:spacing w:after="0"/>
              <w:rPr>
                <w:sz w:val="20"/>
                <w:szCs w:val="20"/>
                <w:color w:val="auto"/>
              </w:rPr>
            </w:pPr>
            <w:r>
              <w:rPr>
                <w:rFonts w:ascii="Arial" w:cs="Arial" w:eastAsia="Arial" w:hAnsi="Arial"/>
                <w:sz w:val="16"/>
                <w:szCs w:val="16"/>
                <w:color w:val="auto"/>
              </w:rPr>
              <w:t>Executive Vice President, Chief Technology and Product Officer</w:t>
            </w:r>
          </w:p>
        </w:tc>
        <w:tc>
          <w:tcPr>
            <w:tcW w:w="1660" w:type="dxa"/>
            <w:vAlign w:val="bottom"/>
          </w:tcPr>
          <w:p>
            <w:pPr>
              <w:jc w:val="center"/>
              <w:ind w:left="980"/>
              <w:spacing w:after="0"/>
              <w:rPr>
                <w:sz w:val="20"/>
                <w:szCs w:val="20"/>
                <w:color w:val="auto"/>
              </w:rPr>
            </w:pPr>
            <w:r>
              <w:rPr>
                <w:rFonts w:ascii="Arial" w:cs="Arial" w:eastAsia="Arial" w:hAnsi="Arial"/>
                <w:sz w:val="16"/>
                <w:szCs w:val="16"/>
                <w:color w:val="auto"/>
                <w:w w:val="89"/>
              </w:rPr>
              <w:t>2017</w:t>
            </w:r>
          </w:p>
        </w:tc>
      </w:tr>
      <w:tr>
        <w:trPr>
          <w:trHeight w:val="192"/>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Robert J. Robie</w:t>
            </w:r>
          </w:p>
        </w:tc>
        <w:tc>
          <w:tcPr>
            <w:tcW w:w="12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89"/>
              </w:rPr>
              <w:t>39</w:t>
            </w:r>
          </w:p>
        </w:tc>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Executive Vice President, Head of Analytics and Trading Analytics Solutions</w:t>
            </w:r>
          </w:p>
        </w:tc>
        <w:tc>
          <w:tcPr>
            <w:tcW w:w="1660" w:type="dxa"/>
            <w:vAlign w:val="bottom"/>
            <w:shd w:val="clear" w:color="auto" w:fill="CCEEFF"/>
          </w:tcPr>
          <w:p>
            <w:pPr>
              <w:jc w:val="center"/>
              <w:ind w:left="980"/>
              <w:spacing w:after="0"/>
              <w:rPr>
                <w:sz w:val="20"/>
                <w:szCs w:val="20"/>
                <w:color w:val="auto"/>
              </w:rPr>
            </w:pPr>
            <w:r>
              <w:rPr>
                <w:rFonts w:ascii="Arial" w:cs="Arial" w:eastAsia="Arial" w:hAnsi="Arial"/>
                <w:sz w:val="16"/>
                <w:szCs w:val="16"/>
                <w:color w:val="auto"/>
                <w:w w:val="89"/>
              </w:rPr>
              <w:t>2018</w:t>
            </w:r>
          </w:p>
        </w:tc>
      </w:tr>
      <w:tr>
        <w:trPr>
          <w:trHeight w:val="192"/>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Rachel R. Stern</w:t>
            </w:r>
          </w:p>
        </w:tc>
        <w:tc>
          <w:tcPr>
            <w:tcW w:w="1260" w:type="dxa"/>
            <w:vAlign w:val="bottom"/>
          </w:tcPr>
          <w:p>
            <w:pPr>
              <w:jc w:val="center"/>
              <w:ind w:left="420"/>
              <w:spacing w:after="0"/>
              <w:rPr>
                <w:sz w:val="20"/>
                <w:szCs w:val="20"/>
                <w:color w:val="auto"/>
              </w:rPr>
            </w:pPr>
            <w:r>
              <w:rPr>
                <w:rFonts w:ascii="Arial" w:cs="Arial" w:eastAsia="Arial" w:hAnsi="Arial"/>
                <w:sz w:val="16"/>
                <w:szCs w:val="16"/>
                <w:color w:val="auto"/>
                <w:w w:val="89"/>
              </w:rPr>
              <w:t>53</w:t>
            </w:r>
          </w:p>
        </w:tc>
        <w:tc>
          <w:tcPr>
            <w:tcW w:w="6320" w:type="dxa"/>
            <w:vAlign w:val="bottom"/>
          </w:tcPr>
          <w:p>
            <w:pPr>
              <w:ind w:left="240"/>
              <w:spacing w:after="0"/>
              <w:rPr>
                <w:sz w:val="20"/>
                <w:szCs w:val="20"/>
                <w:color w:val="auto"/>
              </w:rPr>
            </w:pPr>
            <w:r>
              <w:rPr>
                <w:rFonts w:ascii="Arial" w:cs="Arial" w:eastAsia="Arial" w:hAnsi="Arial"/>
                <w:sz w:val="16"/>
                <w:szCs w:val="16"/>
                <w:color w:val="auto"/>
              </w:rPr>
              <w:t>Executive Vice President, General Counsel and Secretary</w:t>
            </w:r>
          </w:p>
        </w:tc>
        <w:tc>
          <w:tcPr>
            <w:tcW w:w="1660" w:type="dxa"/>
            <w:vAlign w:val="bottom"/>
          </w:tcPr>
          <w:p>
            <w:pPr>
              <w:jc w:val="center"/>
              <w:ind w:left="980"/>
              <w:spacing w:after="0"/>
              <w:rPr>
                <w:sz w:val="20"/>
                <w:szCs w:val="20"/>
                <w:color w:val="auto"/>
              </w:rPr>
            </w:pPr>
            <w:r>
              <w:rPr>
                <w:rFonts w:ascii="Arial" w:cs="Arial" w:eastAsia="Arial" w:hAnsi="Arial"/>
                <w:sz w:val="16"/>
                <w:szCs w:val="16"/>
                <w:color w:val="auto"/>
                <w:w w:val="89"/>
              </w:rPr>
              <w:t>2009</w:t>
            </w:r>
          </w:p>
        </w:tc>
      </w:tr>
      <w:tr>
        <w:trPr>
          <w:trHeight w:val="192"/>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John W. Wiseman</w:t>
            </w:r>
          </w:p>
        </w:tc>
        <w:tc>
          <w:tcPr>
            <w:tcW w:w="12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89"/>
              </w:rPr>
              <w:t>50</w:t>
            </w:r>
          </w:p>
        </w:tc>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Executive Vice President, Global Head of Sales and Client Solutions</w:t>
            </w:r>
          </w:p>
        </w:tc>
        <w:tc>
          <w:tcPr>
            <w:tcW w:w="1660" w:type="dxa"/>
            <w:vAlign w:val="bottom"/>
            <w:shd w:val="clear" w:color="auto" w:fill="CCEEFF"/>
          </w:tcPr>
          <w:p>
            <w:pPr>
              <w:jc w:val="center"/>
              <w:ind w:left="980"/>
              <w:spacing w:after="0"/>
              <w:rPr>
                <w:sz w:val="20"/>
                <w:szCs w:val="20"/>
                <w:color w:val="auto"/>
              </w:rPr>
            </w:pPr>
            <w:r>
              <w:rPr>
                <w:rFonts w:ascii="Arial" w:cs="Arial" w:eastAsia="Arial" w:hAnsi="Arial"/>
                <w:sz w:val="16"/>
                <w:szCs w:val="16"/>
                <w:color w:val="auto"/>
                <w:w w:val="89"/>
              </w:rPr>
              <w:t>2017</w:t>
            </w:r>
          </w:p>
        </w:tc>
      </w:tr>
    </w:tbl>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i w:val="1"/>
          <w:iCs w:val="1"/>
          <w:color w:val="auto"/>
        </w:rPr>
        <w:t>F. Philip Snow – Chief Executive Officer</w:t>
      </w:r>
      <w:r>
        <w:rPr>
          <w:rFonts w:ascii="Arial" w:cs="Arial" w:eastAsia="Arial" w:hAnsi="Arial"/>
          <w:sz w:val="16"/>
          <w:szCs w:val="16"/>
          <w:color w:val="auto"/>
        </w:rPr>
        <w:t>. Mr. Snow was named Chief Executive Officer effective July 1, 2015. Prior to that, Mr. Snow held the title of President. He began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career at FactSet in 1996 as a Consultant, before moving to Asia to hold positions in the Tokyo and Sydney offices. After moving back to the U.S. in 2000, Mr. Snow held various sales leadership roles before assuming the role of Senior Vice President, Director of U.S. Investment Management Sales in 2013. Mr. Snow received a B.A. in Chemistry from the University of California at Berkeley and a Master of International Management from the Thunderbird School of Global Management. He holds the Chartered Financial Analyst designation and is a member of the CFA Institute.</w:t>
      </w:r>
    </w:p>
    <w:p>
      <w:pPr>
        <w:spacing w:after="0" w:line="16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i w:val="1"/>
          <w:iCs w:val="1"/>
          <w:color w:val="auto"/>
        </w:rPr>
        <w:t xml:space="preserve">Helen L. Shan – Executive Vice President and Chief Financial Officer. </w:t>
      </w:r>
      <w:r>
        <w:rPr>
          <w:rFonts w:ascii="Arial" w:cs="Arial" w:eastAsia="Arial" w:hAnsi="Arial"/>
          <w:sz w:val="16"/>
          <w:szCs w:val="16"/>
          <w:color w:val="auto"/>
        </w:rPr>
        <w:t>Ms. Shan joined FactSet in September 2018 from Marsh and McLennan Companies, where she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CFO for Mercer, one of the world’s leading professional services firms. During her time at Mercer, Ms. Shan was responsible for global financial reporting and performance, operational finance, investments, and corporate strategy, leading a team of finance professionals supporting clients in over 130 countries. Prior to Mercer, Ms. Shan was a Vice President and Treasurer for both Marsh and McLennan Companies and Pitney Bowes Inc. and was also a Managing Director at J.P. Morgan. In September 2018, Ms. Shan joined the Board of Directors of EPAM Systems Inc., a leading global provider of digital platform engineering and software development services. Ms. Shan earned B.S. degrees from the University of Pennsylvania’s Wharton School and School of Engineering and Applied Science, and a Master of Business Administration from Cornell University’s SC Johnson College of Business.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10" w:name="page11"/>
    <w:bookmarkEnd w:id="10"/>
    <w:p>
      <w:pPr>
        <w:ind w:right="40"/>
        <w:spacing w:after="0" w:line="302" w:lineRule="auto"/>
        <w:rPr>
          <w:sz w:val="20"/>
          <w:szCs w:val="20"/>
          <w:color w:val="auto"/>
        </w:rPr>
      </w:pPr>
      <w:r>
        <w:rPr>
          <w:rFonts w:ascii="Arial" w:cs="Arial" w:eastAsia="Arial" w:hAnsi="Arial"/>
          <w:sz w:val="14"/>
          <w:szCs w:val="14"/>
          <w:b w:val="1"/>
          <w:bCs w:val="1"/>
          <w:i w:val="1"/>
          <w:iCs w:val="1"/>
          <w:color w:val="auto"/>
        </w:rPr>
        <w:t>Edward Baker-Greene – Senior Vice President, Chief Human Resources Officer</w:t>
      </w:r>
      <w:r>
        <w:rPr>
          <w:rFonts w:ascii="Arial" w:cs="Arial" w:eastAsia="Arial" w:hAnsi="Arial"/>
          <w:sz w:val="14"/>
          <w:szCs w:val="14"/>
          <w:color w:val="auto"/>
        </w:rPr>
        <w:t>. Mr. Baker-Greene joined FactSet in June 2015 from Voya Financial, formerly ING,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where he was Head of Human Resources for Retirement Solutions, Operations, and Information Technology. Previously, Mr. Baker-Greene worked at Fidelity Investments for 13 years. At Fidelity, he was a part of the Personal and Workplace Investing division, where he held roles in business and human resources capacities, including Senior Vice President/Managing Director, Relationship Management. Mr. Baker-Greene began his professional career as a lawyer focusing on employment law, recruiting, talent management, and human capital management. Mr. Baker-Greene received a B.A. from Tufts University and a J.D. from the University of Virginia School of Law.</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July 5, 2018, the Company entered into a separation of employment and general release agreement with Edward Baker-Greene, pursuant to which Mr. Baker-Greene will remain in his current position as Chief Human Resources Officer until his successor is appointed and will remain an employee of FactSet until his separation date of November 30, 2018.</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4"/>
          <w:szCs w:val="14"/>
          <w:b w:val="1"/>
          <w:bCs w:val="1"/>
          <w:i w:val="1"/>
          <w:iCs w:val="1"/>
          <w:color w:val="auto"/>
        </w:rPr>
        <w:t xml:space="preserve">Gene D. Fernandez – Executive Vice President, Chief Technology and Product Officer. </w:t>
      </w:r>
      <w:r>
        <w:rPr>
          <w:rFonts w:ascii="Arial" w:cs="Arial" w:eastAsia="Arial" w:hAnsi="Arial"/>
          <w:sz w:val="14"/>
          <w:szCs w:val="14"/>
          <w:color w:val="auto"/>
        </w:rPr>
        <w:t>Mr. Fernandez joined FactSet in November 2017 from J.P. Morgan, where he served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Chief Technology Officer, New Product Development. In this role, he developed the strategy and built the engineering function responsible for new product innovation. During a decade at J.P. Morgan, Mr. Fernandez held various other roles, including Chief Technology Officer for Client Technology and Research and Banking Information Technology. Prior to J.P. Morgan, he worked at Credit Suisse and Merrill Lynch. Mr. Fernandez received a B.S. in Computer Science and Economics from Rutgers University.</w:t>
      </w:r>
    </w:p>
    <w:p>
      <w:pPr>
        <w:spacing w:after="0" w:line="135" w:lineRule="exact"/>
        <w:rPr>
          <w:sz w:val="20"/>
          <w:szCs w:val="20"/>
          <w:color w:val="auto"/>
        </w:rPr>
      </w:pPr>
    </w:p>
    <w:p>
      <w:pPr>
        <w:ind w:right="280"/>
        <w:spacing w:after="0" w:line="282" w:lineRule="auto"/>
        <w:rPr>
          <w:sz w:val="20"/>
          <w:szCs w:val="20"/>
          <w:color w:val="auto"/>
        </w:rPr>
      </w:pPr>
      <w:r>
        <w:rPr>
          <w:rFonts w:ascii="Arial" w:cs="Arial" w:eastAsia="Arial" w:hAnsi="Arial"/>
          <w:sz w:val="15"/>
          <w:szCs w:val="15"/>
          <w:b w:val="1"/>
          <w:bCs w:val="1"/>
          <w:i w:val="1"/>
          <w:iCs w:val="1"/>
          <w:color w:val="auto"/>
        </w:rPr>
        <w:t xml:space="preserve">Robert J. Robie – Executive Vice President, Head of Analytics and Trading Analytics Solutions. </w:t>
      </w:r>
      <w:r>
        <w:rPr>
          <w:rFonts w:ascii="Arial" w:cs="Arial" w:eastAsia="Arial" w:hAnsi="Arial"/>
          <w:sz w:val="15"/>
          <w:szCs w:val="15"/>
          <w:color w:val="auto"/>
        </w:rPr>
        <w:t>Mr. Robie joined FactSet in 2000 as a Product Sales Specialist. During 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tenure at FactSet, Mr. Robie has held several positions of increasing responsibility, including Senior Director of Analytics and Director of Global Fixed Income and Analytics where he led sales and support efforts for FactSet’s fixed income product offering. Between 2004 and 2005, Mr. Robie worked at BTN Partners, where he worked in their quantitative portfolio management and performance division as an analyst. Mr. Robie holds a B.A. in Economics from Beloit College.</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Rachel R. Stern – Executive Vice President, General Counsel and Secretary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Stern joined FactSet in 2001 as General Counsel. In addition to the Legal Department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FactSet, she is responsible for Facilities and Real Estate Planning; Third-Party Content and Strategic Partnerships; and the administration of our offices in Hyderabad and Manila. Ms. Stern is admitted to practice in New York, and Washington D.C., and as House Counsel in Connecticut. Ms. Stern received a B.A. from Yale University, an M.A. from the University of London and a J.D. from the University of Pennsylvania Law School.</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John W. Wiseman – Executive Vice President, Global Head of Sales and Client Solutions. </w:t>
      </w:r>
      <w:r>
        <w:rPr>
          <w:rFonts w:ascii="Arial" w:cs="Arial" w:eastAsia="Arial" w:hAnsi="Arial"/>
          <w:sz w:val="16"/>
          <w:szCs w:val="16"/>
          <w:color w:val="auto"/>
        </w:rPr>
        <w:t>Mr. Wiseman joined FactSet in 2004 as a Vice President in the sales department.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his tenure at FactSet, Mr. Wiseman has held several positions of responsibility including Senior Vice President, Global Head of Strategic Partnerships &amp; Alliances. Prior to his experience with FactSet, Mr. Wiseman was a Senior Managing Director at Bear Stearns &amp; Co. Inc. Mr. Wiseman received a B.A. in Political Science and Management Science from Duke University and a Master of Business Administration from the University of Edinburgh.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with respect to FactSet’s business is included in the following pages and is incorporated herein by reference: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3080" w:type="dxa"/>
            <w:vAlign w:val="bottom"/>
            <w:gridSpan w:val="2"/>
          </w:tcPr>
          <w:p>
            <w:pPr>
              <w:ind w:left="2580"/>
              <w:spacing w:after="0"/>
              <w:rPr>
                <w:sz w:val="20"/>
                <w:szCs w:val="20"/>
                <w:color w:val="auto"/>
              </w:rPr>
            </w:pPr>
            <w:r>
              <w:rPr>
                <w:rFonts w:ascii="Arial" w:cs="Arial" w:eastAsia="Arial" w:hAnsi="Arial"/>
                <w:sz w:val="16"/>
                <w:szCs w:val="16"/>
                <w:color w:val="auto"/>
                <w:w w:val="85"/>
              </w:rPr>
              <w:t>Page(s)</w:t>
            </w:r>
          </w:p>
        </w:tc>
      </w:tr>
      <w:tr>
        <w:trPr>
          <w:trHeight w:val="184"/>
        </w:trPr>
        <w:tc>
          <w:tcPr>
            <w:tcW w:w="20" w:type="dxa"/>
            <w:vAlign w:val="bottom"/>
          </w:tcPr>
          <w:p>
            <w:pPr>
              <w:spacing w:after="0"/>
              <w:rPr>
                <w:sz w:val="16"/>
                <w:szCs w:val="16"/>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Five-Year Summary of Selected Financial Data</w:t>
            </w: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060" w:type="dxa"/>
            <w:vAlign w:val="bottom"/>
          </w:tcPr>
          <w:p>
            <w:pPr>
              <w:jc w:val="right"/>
              <w:spacing w:after="0"/>
              <w:rPr>
                <w:sz w:val="20"/>
                <w:szCs w:val="20"/>
                <w:color w:val="auto"/>
              </w:rPr>
            </w:pPr>
            <w:r>
              <w:rPr>
                <w:rFonts w:ascii="Arial" w:cs="Arial" w:eastAsia="Arial" w:hAnsi="Arial"/>
                <w:sz w:val="16"/>
                <w:szCs w:val="16"/>
                <w:color w:val="auto"/>
              </w:rPr>
              <w:t>24-44</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Quantitative and Qualitative Disclosures about Market Risk</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Note 1 to Consolidated Financial Statements entitled Organization and Nature of Business</w:t>
            </w:r>
          </w:p>
        </w:tc>
        <w:tc>
          <w:tcPr>
            <w:tcW w:w="306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Note 7 to Consolidated Financial Statements entitled Segment Information</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r>
      <w:tr>
        <w:trPr>
          <w:trHeight w:val="384"/>
        </w:trPr>
        <w:tc>
          <w:tcPr>
            <w:tcW w:w="8380" w:type="dxa"/>
            <w:vAlign w:val="bottom"/>
            <w:gridSpan w:val="2"/>
          </w:tcPr>
          <w:p>
            <w:pPr>
              <w:jc w:val="right"/>
              <w:ind w:right="2500"/>
              <w:spacing w:after="0"/>
              <w:rPr>
                <w:sz w:val="20"/>
                <w:szCs w:val="20"/>
                <w:color w:val="auto"/>
              </w:rPr>
            </w:pPr>
            <w:r>
              <w:rPr>
                <w:rFonts w:ascii="Arial" w:cs="Arial" w:eastAsia="Arial" w:hAnsi="Arial"/>
                <w:sz w:val="16"/>
                <w:szCs w:val="16"/>
                <w:color w:val="auto"/>
              </w:rPr>
              <w:t>12</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0" w:type="dxa"/>
            <w:vAlign w:val="bottom"/>
          </w:tcPr>
          <w:p>
            <w:pPr>
              <w:spacing w:after="0"/>
              <w:rPr>
                <w:sz w:val="8"/>
                <w:szCs w:val="8"/>
                <w:color w:val="auto"/>
              </w:rPr>
            </w:pPr>
          </w:p>
        </w:tc>
        <w:tc>
          <w:tcPr>
            <w:tcW w:w="836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11440"/>
          </w:cols>
          <w:pgMar w:left="240" w:top="535"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ITEM 1A. RISK FACTORS</w:t>
      </w:r>
    </w:p>
    <w:p>
      <w:pPr>
        <w:spacing w:after="0" w:line="20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risks could materially and adversely affect our business, financial condition, cash flows, results of operations and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Report on Form 10-K, including “Management’s Discussion and Analysis of Financial Condition and Results of Operations” and our financial statements including the related notes. Investors should carefully consider all risks, including those disclosed, before making an investment decision.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Loss, corruption and misappropriation of data and information relating to clients and others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Many of our products, as well as our internal systems and processes, involve the storage and transmission of our own, as well as supplier and customer proprietary information and sensitive or confidential data, including client portfolios and strategies. Breaches of this confidentiality, should they occur, could result in the loss of clients and termination of arrangements with suppliers for the use of their data. We rely on a complex network of internal controls to protect the privacy of data. If we fail to maintain the adequacy of our internal controls, including any failure to implement required new or improved controls, unauthorized access or misappropriation of client or supplier data by an employee or an external third-party could occur. Additionally, the maintenance and enhancement of our systems may not be completely effective in preventing loss, unauthorized access or misappropriation. Data misappropriation, unauthorized access or data loss could instill a lack of confidence in our products and systems and damage our brand, reputation and business. Breaches of security measures could expose us, our clients or the individuals affected to a risk of loss or misuse of this information, potentially resulting in litigation and liability for us, as well as the loss of existing or potential clients. Many jurisdictions in which we operate have laws and regulations relating to data privacy and protection of personal information, including the European Union General Data Protection Regulation (“GDPR”) which became effective May 25, 2018. GDPR requires companies to satisfy new requirements regarding the handling of personal and sensitive data, including our use, protection and certain abilities of persons whose data is stored to correct or delete such data about themselves. Failure to comply with GDPR requirements could result in penalties of up to 4% of worldwide revenues. The law in this area continues to develop and the changing nature of privacy laws in the European Union and elsewhere could impact our processing of personal and sensitive information related to our content operations, employees, clients, and suppliers, and may expose us to claims of violations.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Successful cyber-attacks and the failure of cyber-security systems and procedures</w:t>
      </w:r>
    </w:p>
    <w:p>
      <w:pPr>
        <w:spacing w:after="0" w:line="200"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In providing our software-enabled services to clients, we rely on information technology infrastructure that is primarily managed internally, along with some reliance placed on third-party service providers. We and these third-party service providers are subject to the risks of system failures and security breaches, including cyber-attacks, such as phishing scams, viruses and denials of service attacks, as well as employee errors or malfeasance. Our protective systems and procedures and those of third parties to which we are connected, such as cloud computing providers, may not be effective against these threats. We could suffer significant damage to our brand and reputation if a cyber-attack or other security incident were to allow unauthorized access to, or modification of, clients’ or suppliers’ data, other external data, internal data or information technology systems; if the services provided to clients were disrupted; or if products or services were perceived as having security vulnerabilities. The costs we would incur to address and resolve these security incidents would increase our expenses. These types of security incidents could also lead to lawsuits, regulatory investigations and claims, loss of business and increased legal liability. We also make acquisitions periodically. While significant effort is placed on addressing information technology security issues with respect to the acquired companies, we may inherit such risks when these acquisitions are integrated into our infrastructure.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 prolonged or recurring outage at our data centers and other business continuity disruptions at facilities could result in reduced service and the loss of clients</w:t>
      </w:r>
    </w:p>
    <w:p>
      <w:pPr>
        <w:spacing w:after="0" w:line="200"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Our clients rely on us for the delivery of time-sensitive, up-to-date data and applications. Our business is dependent on our ability to process substantial volumes of data and transactions rapidly and efficiently on our computer-based networks and systems. Our computer operations, as well as our other business centers, and those of our suppliers and clients are vulnerable to interruption by fire, natural disaster, power loss, telecommunications failures, terrorist attacks, acts of war, civil unrest, Internet failures, computer viruses and security breaches, and other events beyond our reasonable control. We maintain back-up facilities and certain other redundancies for each of our major data centers to minimize the risk that any such event will disrupt those operations.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and emergency planning, there can be no assurance that such efforts will be successful or effective.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Competition in our industry may cause price reductions or loss of market share</w:t>
      </w:r>
    </w:p>
    <w:p>
      <w:pPr>
        <w:spacing w:after="0" w:line="200"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continue to experience intense competition across all markets for our products with competitors ranging in size from smaller, highly specialized, single-product businesses to multi-billion-dollar companies.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Weak economic conditions may also result in clients seeking to utilize lower-cost information that is available from alternative sources. The impact of cost-cutting pressures across the industries we serve could lower demand for our products.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continued shift from active to passive investing could negatively impact user count growth and revenues</w:t>
      </w:r>
    </w:p>
    <w:p>
      <w:pPr>
        <w:spacing w:after="0" w:line="200"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The predominant investment strategy today is still active investing, which attempts to outperform the market. The main advantage of active management is the expectation that the investment managers will be able to outperform market indices. They make informed investment decisions based on their experiences, insights, knowledge and ability to identify opportunities that can translate into superior performance. The main advantage of passive investing is that it closely matches the performance of market indices. Passive investing requires little decision-making by investment managers and low operating costs which result in lower fees for the investor. While the majority of assets under management are still actively managed, outflows to passively managed index funds have increased in recent years. A continued shift to passive investing could reduce demand for the services of active investment managers and consequently, the demand of our clients for our services.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 decline in equity and/or fixed income returns may impact the buying power of investment management clients</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Approximately 83.9% of our ASV is derived from our investment management clients. The profitability and management fees of these clients are tied to assets under management. An equity market decline not only depresses the value of assets under management but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for our services and workstations from investment managers that could affect our business.</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Failure to develop and market new products and enhancements that maintain our technological and competitive position and failure to anticipate and respond to changes in the marketplace for our products</w:t>
      </w:r>
    </w:p>
    <w:p>
      <w:pPr>
        <w:spacing w:after="0" w:line="152"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market for our products is characterized by rapid technological change, including methods and speed of delivery, changes in client demands, development of new investment instruments and evolving industry standards, which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customer systems. Further, any new products and enhancements may not adequately meet the requirements of the marketplace or achieve market acceptance. Our failure or inability to anticipate and respond to changes in the marketplace, including competitor and supplier developments, may also adversely affect our business, operations and growth.</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Uncertainty, consolidation and business failures in the global investment banking industry may cause us to lose clients and users</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investment banking clients that perform Mergers and Acquisitions (“M&amp;A”) advisory work, capital markets services and equity research, account for approximately 16.1% of our ASV. A significant portion of these revenues relate to services deployed by the largest banks. Consolidation or contraction in this industry directly impacts the number of prospective clients and users within the sector. Thus, economic uncertainty for our global investment banking clients, consolidation and business failures in this sector could adversely affect our financial results and future growth.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Volatility in the financial markets may delay the spending pattern of clients and reduce future ASV growth</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decision on the part of large institutional clients to purchase our services often requires management-level sponsorship and typically depends upon the size of the client, with larger clients having more complex and time-consuming purchasing processes. The process is also influenced by market volatility. These characteristics often lead us to engage in relatively lengthy sales efforts. Purchases (and incremental ASV) may therefore be delayed as uncertainties in the financial markets may cause clients to remain cautious about capital and data content expenditures, particularly in uncertain economic environments.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Additional cost due to tax assessments resulting from ongoing and future audits by tax authorities as well as changes in tax laws</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the ordinary course of business, we are subject to tax examinations by various governmental tax authorities. The global and diverse nature of our business means that there could be additional examinations by governmental tax authorities and the resolution of ongoing and other probable audits which could impose a future risk to the results of our business. In the third quarter of fiscal 2018, we received a letter from the Massachusetts Department of Revenue relating to prior tax periods. The letter requested additional information in order to determine if we should have collected sales and use taxes on our sales to Massachusetts-based clients. Based upon a preliminary review of their request, it is possible that the State may assess sales and use taxes, underpayment penalties and interest, on previously recorded sales transactions. We have not recorded a liability as of August 31, 2018. While we believe that we will ultimately prevail, if we are required to pay an assessment, the amount could have a material impact on our consolidated financial position, cash flows and results of operations.</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Changes in tax laws or the terms of tax treaties, in a jurisdiction where we are subject to tax could increase our taxes payable. On December 22, 2017, the Tax Cuts and Jobs Act, (the "Act") was signed into law. The Act enacts broad changes to the existing U.S. Internal Revenue code, including reducing the federal corporate income tax rate from 35% to 21%, amongst many other complex provisions. The ultimate impact of such tax reform may differ from our current estimate due to changes in interpretations and assumptions made by us as well as the issuance of further regulations or guidance.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Failure to identify, integrate, or realize anticipated benefits of acquisitions and strains on resources as a result of growth</w:t>
      </w:r>
    </w:p>
    <w:p>
      <w:pPr>
        <w:spacing w:after="0" w:line="200" w:lineRule="exact"/>
        <w:rPr>
          <w:sz w:val="20"/>
          <w:szCs w:val="20"/>
          <w:color w:val="auto"/>
        </w:rPr>
      </w:pPr>
    </w:p>
    <w:p>
      <w:pPr>
        <w:ind w:right="120"/>
        <w:spacing w:after="0" w:line="278" w:lineRule="auto"/>
        <w:rPr>
          <w:sz w:val="20"/>
          <w:szCs w:val="20"/>
          <w:color w:val="auto"/>
        </w:rPr>
      </w:pPr>
      <w:r>
        <w:rPr>
          <w:rFonts w:ascii="Arial" w:cs="Arial" w:eastAsia="Arial" w:hAnsi="Arial"/>
          <w:sz w:val="15"/>
          <w:szCs w:val="15"/>
          <w:color w:val="auto"/>
        </w:rPr>
        <w:t>There can be no assurance that we will be able to identify suitable candidates for successful acquisition at acceptable prices. Additionally, there may be integration risks or other risks resulting from acquired businesses. As we continue to pursue selective acquisitions to support our business strategy, we seek to be a disciplined acquirer. Our ability to achieve the expected returns and synergies from past and future acquisitions and alliances depends in part upon our ability to integrate the offerings, technology, sales, administrative functions and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spacing w:after="0" w:line="154"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Failure to enter into or renew contracts supplying new and existing data sets or products on competitive terms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We collect and aggregate third-party content from thousands of data suppliers, news sources, exchanges, brokers and contributors into our own dedicated online service, which clients access to perform their analyses. Clients have access to the data and content found within our databases. These databases are important to our operations as they provide clients with key information. We have entered into third-party content agreements with varying lengths, which in some cases can be terminated on one year’s notice at predefined dates, and in other cases on shorter notice. Some of our content provider agreements are with competitors, who may attempt to make renewals difficult or expensive. We seek to maintain favorable contractual relationships with our data suppliers, including those that are also competitors. We also make efforts, when reasonable, to locate alternative sources to ensure we are not dependent on any one third-party data supplier. We believe we are not dependent on any one significant third-party data supplier. Our failure to be able to maintain these relationships or the failure of our suppliers to deliver accurate data or in a timely manner could adversely affect our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Inability to hire and retain key qualified personnel</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business is based on successfully attracting, motivating and retaining talented employees. Competition for talent, especially engineering personnel, is strong. We need technical resources such as engineers to help develop new products and enhance existing services. We rely upon sales personnel to sell our products and services and maintain healthy business relationships. If we are unsuccessful in our recruiting efforts, or if we are unable to retain key employees, our ability to develop and deliver successful products and services may be adversely affected and could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Increased accessibility to free or relatively inexpensive information sources may reduce demand for our products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year, an increasing amount of free or relatively inexpensive information becomes available, particularly through the Internet, and this trend may continue. The availability of free or relatively inexpensive information may reduce demand for our products. While we believe our service offering is distinguished by such factors as customization, timeliness, accuracy, ease-of-use, completeness and other value-added factors, if users choose to obtain the information they need from public or other sources, then our business and results of operations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Third parties may claim we infringe upon their intellectual property rights or may infringe upon our intellectual property rights</w:t>
      </w:r>
    </w:p>
    <w:p>
      <w:pPr>
        <w:spacing w:after="0" w:line="200"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We may receive notice from others claiming that we have infringed upon their intellectual property rights. Responding to these claims may require us to enter into royalty and licensing agreements on favorable terms, incur litigation costs, enter into settlements, stop selling or redesign affected products, pay damages and satisfy indemnification commitments with our clients or suppliers under contractual provisions of various license arrangements. Additionally, third parties may copy, infringe or otherwise profit from unauthorized use of our intellectually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Operations outside the U.S. involve additional requirements and burdens that we may not be able to control or manage successfully</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In fiscal 2018, approximately 38% of our revenues related to operations located outside the U.S. In addition, a significant number of our employees, approximately 74%, are located in offices outside the U.S. We expect our growth to continue outside the U.S., with non-U.S. revenues accounting for an increased portion of total revenues in the future.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low-wage countries; difficulties in staffing and managing personnel that are located outside the U.S.; different regulatory, legal and compliance requirements, including in the areas of privacy and data protection, anti-bribery and anti-corruption, trade sanctions and currency controls, marketing and sales and other barriers to conducting business; social and cultural differences, such as languages; diverse or less stable political, operating and economic environments and market fluctuations; civil disturbances or other catastrophic events that reduce business activity; limited recognition of our brand and intellectual property protection; differing accounting principles and standards; restrictions on or adverse tax consequences from entity management efforts; and changes in U.S. or foreign tax laws. If we are not able to adapt efficiently to or manage the business effectively in markets outside the U.S., our business prospects and operating results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Exposure to fluctuations in currency exchange rates and the failure of hedging arrangements</w:t>
      </w:r>
    </w:p>
    <w:p>
      <w:pPr>
        <w:spacing w:after="0" w:line="200"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Due to the global nature of our operations, we conduct business outside the U.S. in several currencies including the British Pound Sterling, Euro, Indian Rupee, Japanese Yen, and Philippine Peso. To the extent that our international activities increase in the future, our exposure to fluctuations in currency exchange rates may increase as well. To manage this exposure, we utilize derivative instruments (such as foreign currency forward contracts). By their nature, all derivative instruments involve elements of market and credit risk.</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4"/>
          <w:szCs w:val="14"/>
          <w:color w:val="auto"/>
        </w:rPr>
        <w:t>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with changes in foreign currency. Although we believe that our foreign exchange hedging policies are reasonable and prudent under the circumstances, our attempt to hedge against these risks may not be successful, which could cause an adverse impact on our results of operations.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Legislative and regulatory changes in the environments in which we and our clients operate</w:t>
      </w:r>
    </w:p>
    <w:p>
      <w:pPr>
        <w:spacing w:after="0" w:line="200"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revenues. In the European Union, the new version of the Markets in Financial Instruments Directive, also known as “MiFID II” became effective in January 2018.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In addition to the MiFID II requirements, we further believe the proposed withdrawal of the U.K. from the European Union (also known as Brexit) on terms still being negotiated, has created economic uncertainty among our client base. This uncertainty may have an impact on our clients’ expansion or spending plans, which may in turn negatively impact our revenues or growth.</w:t>
      </w:r>
    </w:p>
    <w:p>
      <w:pPr>
        <w:spacing w:after="0" w:line="14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As a business, we are also subject to numerous laws and regulations in the U.S. and in the other countries in which we operate. These laws, rules, and regulations, and their interpretations, may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Adverse resolution of litigation or governmental investigations</w:t>
      </w:r>
    </w:p>
    <w:p>
      <w:pPr>
        <w:spacing w:after="0" w:line="200" w:lineRule="exact"/>
        <w:rPr>
          <w:sz w:val="20"/>
          <w:szCs w:val="20"/>
          <w:color w:val="auto"/>
        </w:rPr>
      </w:pPr>
    </w:p>
    <w:p>
      <w:pPr>
        <w:jc w:val="both"/>
        <w:ind w:right="300"/>
        <w:spacing w:after="0" w:line="319" w:lineRule="auto"/>
        <w:rPr>
          <w:sz w:val="20"/>
          <w:szCs w:val="20"/>
          <w:color w:val="auto"/>
        </w:rPr>
      </w:pPr>
      <w:r>
        <w:rPr>
          <w:rFonts w:ascii="Arial" w:cs="Arial" w:eastAsia="Arial" w:hAnsi="Arial"/>
          <w:sz w:val="14"/>
          <w:szCs w:val="14"/>
          <w:color w:val="auto"/>
        </w:rPr>
        <w:t>We are party to lawsuits in the normal course of business. Litigation and governmental investigations can be expensive, lengthy and disruptive to normal business operations. Moreover, the results of complex legal proceedings are difficult to predict. Unfavorable resolution of lawsuits could have a material adverse effect on our business, operating results or financial condition. For additional information regarding legal matters, see Item 3, Legal Proceedings, contained in Part I of this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Failure to maintain reputation</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enjoy a positive reputation in the marketplace. Our ability to attract and retain clients and employees is affected by external perceptions of our brand and reputation. Reputational damage from negative perceptions or publicity could affect our ability to attract and retain clients and employees and our ability to maintain our pricing for our products. Although we monitor developments for areas of potential risk to our reputation and brand, negative perceptions or publicity could have a material adverse effect on our business and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ITEM 1B. UNRESOLVED STAFF COMMENTS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ITEM 2. PROPERTIES</w:t>
      </w:r>
    </w:p>
    <w:p>
      <w:pPr>
        <w:spacing w:after="0" w:line="200" w:lineRule="exact"/>
        <w:rPr>
          <w:sz w:val="20"/>
          <w:szCs w:val="20"/>
          <w:color w:val="auto"/>
        </w:rPr>
      </w:pPr>
    </w:p>
    <w:p>
      <w:pPr>
        <w:ind w:right="140"/>
        <w:spacing w:after="0" w:line="282" w:lineRule="auto"/>
        <w:rPr>
          <w:sz w:val="20"/>
          <w:szCs w:val="20"/>
          <w:color w:val="auto"/>
        </w:rPr>
      </w:pPr>
      <w:r>
        <w:rPr>
          <w:rFonts w:ascii="Arial" w:cs="Arial" w:eastAsia="Arial" w:hAnsi="Arial"/>
          <w:sz w:val="15"/>
          <w:szCs w:val="15"/>
          <w:color w:val="auto"/>
        </w:rPr>
        <w:t>As of August 31, 2018, we leased approximately 202,000 square feet of office space at our headquarters in Norwalk, Connecticut. On February 14, 2018, we entered into a new lease agreement to relocate our corporate headquarters to 45 Glover Avenue in Norwalk, Connecticut. The new location will comprise approximately 173,000 square feet of office space. We expect to take possession of the newly leased property on or around January 1, 2019, for fit-out purposes. We will continue to occupy our existing headquarters space until the new headquarters is ready for occupancy, currently estimated to be in the second quarter of fiscal 2020.</w:t>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Including new lease agreements executed during fiscal 2018, our Company’s worldwide leased space increased to approximately 1,750,000 square feet as of August 31, 2018, up 607,000 square feet, or 53.1%, from August 31, 2017 and includes properties at the following locations: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Segment</w:t>
            </w:r>
          </w:p>
        </w:tc>
        <w:tc>
          <w:tcPr>
            <w:tcW w:w="8200" w:type="dxa"/>
            <w:vAlign w:val="bottom"/>
          </w:tcPr>
          <w:p>
            <w:pPr>
              <w:ind w:left="2600"/>
              <w:spacing w:after="0"/>
              <w:rPr>
                <w:sz w:val="20"/>
                <w:szCs w:val="20"/>
                <w:color w:val="auto"/>
              </w:rPr>
            </w:pPr>
            <w:r>
              <w:rPr>
                <w:rFonts w:ascii="Arial" w:cs="Arial" w:eastAsia="Arial" w:hAnsi="Arial"/>
                <w:sz w:val="16"/>
                <w:szCs w:val="16"/>
                <w:b w:val="1"/>
                <w:bCs w:val="1"/>
                <w:color w:val="auto"/>
              </w:rPr>
              <w:t>Leased Location</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220" w:type="dxa"/>
            <w:vAlign w:val="bottom"/>
            <w:tcBorders>
              <w:top w:val="single" w:sz="8" w:color="auto"/>
            </w:tcBorders>
          </w:tcPr>
          <w:p>
            <w:pPr>
              <w:spacing w:after="0"/>
              <w:rPr>
                <w:sz w:val="16"/>
                <w:szCs w:val="16"/>
                <w:color w:val="auto"/>
              </w:rPr>
            </w:pPr>
          </w:p>
        </w:tc>
        <w:tc>
          <w:tcPr>
            <w:tcW w:w="8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Atlanta, Georgia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Austin, Texas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Boston, Massachusetts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Chicago, Illinois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Jackson, Wyoming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Los Angeles, California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Manchester, New Hampshire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Minneapolis, Minnesota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New York, New York</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Norwalk, Connecticut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Piscataway, New Jersey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Reston, Virginia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San Francisco, California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Sao Paulo, Brazil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Toronto, Canada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Youngstown, Ohio</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Europe</w:t>
            </w:r>
          </w:p>
        </w:tc>
        <w:tc>
          <w:tcPr>
            <w:tcW w:w="8200" w:type="dxa"/>
            <w:vAlign w:val="bottom"/>
          </w:tcPr>
          <w:p>
            <w:pPr>
              <w:ind w:left="2600"/>
              <w:spacing w:after="0"/>
              <w:rPr>
                <w:sz w:val="20"/>
                <w:szCs w:val="20"/>
                <w:color w:val="auto"/>
              </w:rPr>
            </w:pPr>
            <w:r>
              <w:rPr>
                <w:rFonts w:ascii="Arial" w:cs="Arial" w:eastAsia="Arial" w:hAnsi="Arial"/>
                <w:sz w:val="16"/>
                <w:szCs w:val="16"/>
                <w:color w:val="auto"/>
              </w:rPr>
              <w:t>Avon, France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Amsterdam, the Netherlands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Cologne, Germany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Dubai, United Arab Emirates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Frankfurt, Germany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Gloucester, England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Johannesburg, South Africa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London, England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Luxembourg City, Luxembourg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Madrid, Spain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Milan, Italy</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Paris, France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Riga, Latvia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Sofia, Bulgaria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Zurich, Switzerland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Asia Pacific</w:t>
            </w:r>
          </w:p>
        </w:tc>
        <w:tc>
          <w:tcPr>
            <w:tcW w:w="8200" w:type="dxa"/>
            <w:vAlign w:val="bottom"/>
          </w:tcPr>
          <w:p>
            <w:pPr>
              <w:ind w:left="2600"/>
              <w:spacing w:after="0"/>
              <w:rPr>
                <w:sz w:val="20"/>
                <w:szCs w:val="20"/>
                <w:color w:val="auto"/>
              </w:rPr>
            </w:pPr>
            <w:r>
              <w:rPr>
                <w:rFonts w:ascii="Arial" w:cs="Arial" w:eastAsia="Arial" w:hAnsi="Arial"/>
                <w:sz w:val="16"/>
                <w:szCs w:val="16"/>
                <w:color w:val="auto"/>
              </w:rPr>
              <w:t>Chennai, India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Hong Kong, China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Hyderabad, India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Manila, the Philippines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Melbourne, Australia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Mumbai, India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Shanghai, China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200" w:type="dxa"/>
            <w:vAlign w:val="bottom"/>
          </w:tcPr>
          <w:p>
            <w:pPr>
              <w:ind w:left="2600"/>
              <w:spacing w:after="0"/>
              <w:rPr>
                <w:sz w:val="20"/>
                <w:szCs w:val="20"/>
                <w:color w:val="auto"/>
              </w:rPr>
            </w:pPr>
            <w:r>
              <w:rPr>
                <w:rFonts w:ascii="Arial" w:cs="Arial" w:eastAsia="Arial" w:hAnsi="Arial"/>
                <w:sz w:val="16"/>
                <w:szCs w:val="16"/>
                <w:color w:val="auto"/>
              </w:rPr>
              <w:t>Sydney, Australia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200" w:type="dxa"/>
            <w:vAlign w:val="bottom"/>
            <w:shd w:val="clear" w:color="auto" w:fill="CCEEFF"/>
          </w:tcPr>
          <w:p>
            <w:pPr>
              <w:ind w:left="2600"/>
              <w:spacing w:after="0"/>
              <w:rPr>
                <w:sz w:val="20"/>
                <w:szCs w:val="20"/>
                <w:color w:val="auto"/>
              </w:rPr>
            </w:pPr>
            <w:r>
              <w:rPr>
                <w:rFonts w:ascii="Arial" w:cs="Arial" w:eastAsia="Arial" w:hAnsi="Arial"/>
                <w:sz w:val="16"/>
                <w:szCs w:val="16"/>
                <w:color w:val="auto"/>
              </w:rPr>
              <w:t>Tokyo, Japan</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5" w:right="21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6"/>
          <w:szCs w:val="16"/>
          <w:color w:val="auto"/>
        </w:rPr>
        <w:t>We have data content collection offices located in Hyderabad, India and Manila, the Philippines, which benefit all our operating segments. Additionally, we have data centers that support our technological infrastructure located in Manchester, New Hampshire, Piscataway, New Jersey and Reston, Virginia. The other locations listed in the table above are leased office space. The leases expire on various dates through 2031. We believe the amount of leased space as of August 31, 2018 is adequate for our current needs and that additional space is available for lease to meet any future needs.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ITEM 3. LEGAL PROCEEDINGS</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From time to time, the Company is subject to legal proceedings, claims and litigation arising in the ordinary course of business, including intellectual property litigation. Based on currently available information, the Company’s management does not believe that the ultimate outcome of these unresolved matters against FactSet, individually or in the aggregate, is likely to have a material adverse effect on the Company's consolidated financial position, its annual results of operations or its annual cash flows. However, these matters are subject to inherent uncertainties and management’s view of these matters may change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4. MINE SAFETY DISCLOSURES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9"/>
          <w:szCs w:val="19"/>
          <w:b w:val="1"/>
          <w:bCs w:val="1"/>
          <w:color w:val="auto"/>
        </w:rPr>
        <w:t>Part II</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Market Information, Holders and Dividends</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i w:val="1"/>
          <w:iCs w:val="1"/>
          <w:color w:val="auto"/>
        </w:rPr>
        <w:t xml:space="preserve">Market Information </w:t>
      </w:r>
      <w:r>
        <w:rPr>
          <w:rFonts w:ascii="Arial" w:cs="Arial" w:eastAsia="Arial" w:hAnsi="Arial"/>
          <w:sz w:val="16"/>
          <w:szCs w:val="16"/>
          <w:color w:val="auto"/>
        </w:rPr>
        <w:t>– Our common stock is listed on the New York Stock Exchange (“NYSE”) and the NASDAQ Stock Market under the symbol FDS.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each fiscal period indicated, the high and low sales prices per share of our common stock as reported on the NYSE: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First</w:t>
            </w:r>
          </w:p>
        </w:tc>
        <w:tc>
          <w:tcPr>
            <w:tcW w:w="500" w:type="dxa"/>
            <w:vAlign w:val="bottom"/>
          </w:tcPr>
          <w:p>
            <w:pPr>
              <w:spacing w:after="0"/>
              <w:rPr>
                <w:sz w:val="18"/>
                <w:szCs w:val="18"/>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Second</w:t>
            </w:r>
          </w:p>
        </w:tc>
        <w:tc>
          <w:tcPr>
            <w:tcW w:w="5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Third</w:t>
            </w:r>
          </w:p>
        </w:tc>
        <w:tc>
          <w:tcPr>
            <w:tcW w:w="4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Fourth</w:t>
            </w:r>
          </w:p>
        </w:tc>
      </w:tr>
      <w:tr>
        <w:trPr>
          <w:trHeight w:val="184"/>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2018</w:t>
            </w:r>
          </w:p>
        </w:tc>
        <w:tc>
          <w:tcPr>
            <w:tcW w:w="3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6"/>
                <w:szCs w:val="16"/>
                <w:color w:val="auto"/>
              </w:rPr>
              <w:t>High</w:t>
            </w:r>
          </w:p>
        </w:tc>
        <w:tc>
          <w:tcPr>
            <w:tcW w:w="3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200.31</w:t>
            </w:r>
          </w:p>
        </w:tc>
        <w:tc>
          <w:tcPr>
            <w:tcW w:w="5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209.02</w:t>
            </w:r>
          </w:p>
        </w:tc>
        <w:tc>
          <w:tcPr>
            <w:tcW w:w="5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217.36</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229.98</w:t>
            </w:r>
          </w:p>
        </w:tc>
      </w:tr>
      <w:tr>
        <w:trPr>
          <w:trHeight w:val="192"/>
        </w:trPr>
        <w:tc>
          <w:tcPr>
            <w:tcW w:w="20" w:type="dxa"/>
            <w:vAlign w:val="bottom"/>
          </w:tcPr>
          <w:p>
            <w:pPr>
              <w:spacing w:after="0"/>
              <w:rPr>
                <w:sz w:val="16"/>
                <w:szCs w:val="16"/>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Low</w:t>
            </w:r>
          </w:p>
        </w:tc>
        <w:tc>
          <w:tcPr>
            <w:tcW w:w="3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155.88</w:t>
            </w:r>
          </w:p>
        </w:tc>
        <w:tc>
          <w:tcPr>
            <w:tcW w:w="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183.89</w:t>
            </w:r>
          </w:p>
        </w:tc>
        <w:tc>
          <w:tcPr>
            <w:tcW w:w="5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184.48</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195.69</w:t>
            </w:r>
          </w:p>
        </w:tc>
      </w:tr>
      <w:tr>
        <w:trPr>
          <w:trHeight w:val="192"/>
        </w:trPr>
        <w:tc>
          <w:tcPr>
            <w:tcW w:w="20" w:type="dxa"/>
            <w:vAlign w:val="bottom"/>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3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6"/>
                <w:szCs w:val="16"/>
                <w:color w:val="auto"/>
              </w:rPr>
              <w:t>High</w:t>
            </w:r>
          </w:p>
        </w:tc>
        <w:tc>
          <w:tcPr>
            <w:tcW w:w="3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183.17</w:t>
            </w:r>
          </w:p>
        </w:tc>
        <w:tc>
          <w:tcPr>
            <w:tcW w:w="5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183.64</w:t>
            </w:r>
          </w:p>
        </w:tc>
        <w:tc>
          <w:tcPr>
            <w:tcW w:w="5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182.56</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172.22</w:t>
            </w:r>
          </w:p>
        </w:tc>
      </w:tr>
      <w:tr>
        <w:trPr>
          <w:trHeight w:val="192"/>
        </w:trPr>
        <w:tc>
          <w:tcPr>
            <w:tcW w:w="20" w:type="dxa"/>
            <w:vAlign w:val="bottom"/>
          </w:tcPr>
          <w:p>
            <w:pPr>
              <w:spacing w:after="0"/>
              <w:rPr>
                <w:sz w:val="16"/>
                <w:szCs w:val="16"/>
                <w:color w:val="auto"/>
              </w:rPr>
            </w:pPr>
          </w:p>
        </w:tc>
        <w:tc>
          <w:tcPr>
            <w:tcW w:w="3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Low</w:t>
            </w:r>
          </w:p>
        </w:tc>
        <w:tc>
          <w:tcPr>
            <w:tcW w:w="32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150.95</w:t>
            </w:r>
          </w:p>
        </w:tc>
        <w:tc>
          <w:tcPr>
            <w:tcW w:w="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157.56</w:t>
            </w:r>
          </w:p>
        </w:tc>
        <w:tc>
          <w:tcPr>
            <w:tcW w:w="5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156.92</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155.09</w:t>
            </w:r>
          </w:p>
        </w:tc>
      </w:tr>
    </w:tbl>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i w:val="1"/>
          <w:iCs w:val="1"/>
          <w:color w:val="auto"/>
        </w:rPr>
        <w:t xml:space="preserve">Holders of Record </w:t>
      </w:r>
      <w:r>
        <w:rPr>
          <w:rFonts w:ascii="Arial" w:cs="Arial" w:eastAsia="Arial" w:hAnsi="Arial"/>
          <w:sz w:val="16"/>
          <w:szCs w:val="16"/>
          <w:color w:val="auto"/>
        </w:rPr>
        <w:t>– As of October 24, 2018, we had approximately 177,777 holders of record of our common stock. However, because many of our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held by brokers and other institutions on behalf of stockholders, we are unable to estimate the total number of stockholders represented by these record holders. The closing price of our common stock on October 24, 2018, was $215.30 per share as reported on the NYSE.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During fiscal years 2018 and 2017, our Board of Directors declared the following dividends on our common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color w:val="auto"/>
              </w:rPr>
              <w:t>Dividends per</w:t>
            </w: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color w:val="auto"/>
              </w:rPr>
              <w:t>Share of</w:t>
            </w: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Arial" w:cs="Arial" w:eastAsia="Arial" w:hAnsi="Arial"/>
                <w:sz w:val="16"/>
                <w:szCs w:val="16"/>
                <w:i w:val="1"/>
                <w:iCs w:val="1"/>
                <w:color w:val="auto"/>
                <w:w w:val="92"/>
              </w:rPr>
              <w:t>Total $ Amount</w:t>
            </w: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Year Ended</w:t>
            </w:r>
          </w:p>
        </w:tc>
        <w:tc>
          <w:tcPr>
            <w:tcW w:w="1800" w:type="dxa"/>
            <w:vAlign w:val="bottom"/>
          </w:tcPr>
          <w:p>
            <w:pPr>
              <w:ind w:left="700"/>
              <w:spacing w:after="0"/>
              <w:rPr>
                <w:sz w:val="20"/>
                <w:szCs w:val="20"/>
                <w:color w:val="auto"/>
              </w:rPr>
            </w:pPr>
            <w:r>
              <w:rPr>
                <w:rFonts w:ascii="Arial" w:cs="Arial" w:eastAsia="Arial" w:hAnsi="Arial"/>
                <w:sz w:val="16"/>
                <w:szCs w:val="16"/>
                <w:color w:val="auto"/>
                <w:w w:val="98"/>
              </w:rPr>
              <w:t>Common Stock</w:t>
            </w:r>
          </w:p>
        </w:tc>
        <w:tc>
          <w:tcPr>
            <w:tcW w:w="500" w:type="dxa"/>
            <w:vAlign w:val="bottom"/>
          </w:tcPr>
          <w:p>
            <w:pPr>
              <w:spacing w:after="0"/>
              <w:rPr>
                <w:sz w:val="17"/>
                <w:szCs w:val="17"/>
                <w:color w:val="auto"/>
              </w:rPr>
            </w:pPr>
          </w:p>
        </w:tc>
        <w:tc>
          <w:tcPr>
            <w:tcW w:w="2140" w:type="dxa"/>
            <w:vAlign w:val="bottom"/>
          </w:tcPr>
          <w:p>
            <w:pPr>
              <w:ind w:left="100"/>
              <w:spacing w:after="0"/>
              <w:rPr>
                <w:sz w:val="20"/>
                <w:szCs w:val="20"/>
                <w:color w:val="auto"/>
              </w:rPr>
            </w:pPr>
            <w:r>
              <w:rPr>
                <w:rFonts w:ascii="Arial" w:cs="Arial" w:eastAsia="Arial" w:hAnsi="Arial"/>
                <w:sz w:val="16"/>
                <w:szCs w:val="16"/>
                <w:color w:val="auto"/>
              </w:rPr>
              <w:t>Record Date</w:t>
            </w:r>
          </w:p>
        </w:tc>
        <w:tc>
          <w:tcPr>
            <w:tcW w:w="1760" w:type="dxa"/>
            <w:vAlign w:val="bottom"/>
          </w:tcPr>
          <w:p>
            <w:pPr>
              <w:ind w:left="740"/>
              <w:spacing w:after="0"/>
              <w:rPr>
                <w:sz w:val="20"/>
                <w:szCs w:val="20"/>
                <w:color w:val="auto"/>
              </w:rPr>
            </w:pPr>
            <w:r>
              <w:rPr>
                <w:rFonts w:ascii="Arial" w:cs="Arial" w:eastAsia="Arial" w:hAnsi="Arial"/>
                <w:sz w:val="16"/>
                <w:szCs w:val="16"/>
                <w:i w:val="1"/>
                <w:iCs w:val="1"/>
                <w:color w:val="auto"/>
                <w:w w:val="98"/>
              </w:rPr>
              <w:t>(in thousands)</w:t>
            </w:r>
          </w:p>
        </w:tc>
        <w:tc>
          <w:tcPr>
            <w:tcW w:w="600" w:type="dxa"/>
            <w:vAlign w:val="bottom"/>
          </w:tcPr>
          <w:p>
            <w:pPr>
              <w:spacing w:after="0"/>
              <w:rPr>
                <w:sz w:val="17"/>
                <w:szCs w:val="17"/>
                <w:color w:val="auto"/>
              </w:rPr>
            </w:pPr>
          </w:p>
        </w:tc>
        <w:tc>
          <w:tcPr>
            <w:tcW w:w="2800" w:type="dxa"/>
            <w:vAlign w:val="bottom"/>
          </w:tcPr>
          <w:p>
            <w:pPr>
              <w:ind w:left="120"/>
              <w:spacing w:after="0"/>
              <w:rPr>
                <w:sz w:val="20"/>
                <w:szCs w:val="20"/>
                <w:color w:val="auto"/>
              </w:rPr>
            </w:pPr>
            <w:r>
              <w:rPr>
                <w:rFonts w:ascii="Arial" w:cs="Arial" w:eastAsia="Arial" w:hAnsi="Arial"/>
                <w:sz w:val="16"/>
                <w:szCs w:val="16"/>
                <w:color w:val="auto"/>
              </w:rPr>
              <w:t>Payment Date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Fiscal 2018</w:t>
            </w:r>
          </w:p>
        </w:tc>
        <w:tc>
          <w:tcPr>
            <w:tcW w:w="1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tcPr>
          <w:p>
            <w:pPr>
              <w:ind w:left="100"/>
              <w:spacing w:after="0"/>
              <w:rPr>
                <w:sz w:val="20"/>
                <w:szCs w:val="20"/>
                <w:color w:val="auto"/>
              </w:rPr>
            </w:pPr>
            <w:r>
              <w:rPr>
                <w:rFonts w:ascii="Arial" w:cs="Arial" w:eastAsia="Arial" w:hAnsi="Arial"/>
                <w:sz w:val="16"/>
                <w:szCs w:val="16"/>
                <w:color w:val="auto"/>
              </w:rPr>
              <w:t>November 30, 2017</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21,902</w:t>
            </w:r>
          </w:p>
        </w:tc>
        <w:tc>
          <w:tcPr>
            <w:tcW w:w="2800" w:type="dxa"/>
            <w:vAlign w:val="bottom"/>
          </w:tcPr>
          <w:p>
            <w:pPr>
              <w:ind w:left="120"/>
              <w:spacing w:after="0"/>
              <w:rPr>
                <w:sz w:val="20"/>
                <w:szCs w:val="20"/>
                <w:color w:val="auto"/>
              </w:rPr>
            </w:pPr>
            <w:r>
              <w:rPr>
                <w:rFonts w:ascii="Arial" w:cs="Arial" w:eastAsia="Arial" w:hAnsi="Arial"/>
                <w:sz w:val="16"/>
                <w:szCs w:val="16"/>
                <w:color w:val="auto"/>
              </w:rPr>
              <w:t>December 19,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February 28, 2018</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21,799</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March 20,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0.64</w:t>
            </w:r>
          </w:p>
        </w:tc>
        <w:tc>
          <w:tcPr>
            <w:tcW w:w="2140" w:type="dxa"/>
            <w:vAlign w:val="bottom"/>
          </w:tcPr>
          <w:p>
            <w:pPr>
              <w:ind w:left="100"/>
              <w:spacing w:after="0"/>
              <w:rPr>
                <w:sz w:val="20"/>
                <w:szCs w:val="20"/>
                <w:color w:val="auto"/>
              </w:rPr>
            </w:pPr>
            <w:r>
              <w:rPr>
                <w:rFonts w:ascii="Arial" w:cs="Arial" w:eastAsia="Arial" w:hAnsi="Arial"/>
                <w:sz w:val="16"/>
                <w:szCs w:val="16"/>
                <w:color w:val="auto"/>
              </w:rPr>
              <w:t>May 31, 2018</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24,566</w:t>
            </w:r>
          </w:p>
        </w:tc>
        <w:tc>
          <w:tcPr>
            <w:tcW w:w="2800" w:type="dxa"/>
            <w:vAlign w:val="bottom"/>
          </w:tcPr>
          <w:p>
            <w:pPr>
              <w:ind w:left="120"/>
              <w:spacing w:after="0"/>
              <w:rPr>
                <w:sz w:val="20"/>
                <w:szCs w:val="20"/>
                <w:color w:val="auto"/>
              </w:rPr>
            </w:pPr>
            <w:r>
              <w:rPr>
                <w:rFonts w:ascii="Arial" w:cs="Arial" w:eastAsia="Arial" w:hAnsi="Arial"/>
                <w:sz w:val="16"/>
                <w:szCs w:val="16"/>
                <w:color w:val="auto"/>
              </w:rPr>
              <w:t>June 19,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August 31, 2018</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24,443</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18, 2018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Fiscal 2017</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2140" w:type="dxa"/>
            <w:vAlign w:val="bottom"/>
          </w:tcPr>
          <w:p>
            <w:pPr>
              <w:ind w:left="100"/>
              <w:spacing w:after="0"/>
              <w:rPr>
                <w:sz w:val="20"/>
                <w:szCs w:val="20"/>
                <w:color w:val="auto"/>
              </w:rPr>
            </w:pPr>
            <w:r>
              <w:rPr>
                <w:rFonts w:ascii="Arial" w:cs="Arial" w:eastAsia="Arial" w:hAnsi="Arial"/>
                <w:sz w:val="16"/>
                <w:szCs w:val="16"/>
                <w:color w:val="auto"/>
              </w:rPr>
              <w:t>November 30, 2016</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19,852</w:t>
            </w:r>
          </w:p>
        </w:tc>
        <w:tc>
          <w:tcPr>
            <w:tcW w:w="2800" w:type="dxa"/>
            <w:vAlign w:val="bottom"/>
          </w:tcPr>
          <w:p>
            <w:pPr>
              <w:ind w:left="120"/>
              <w:spacing w:after="0"/>
              <w:rPr>
                <w:sz w:val="20"/>
                <w:szCs w:val="20"/>
                <w:color w:val="auto"/>
              </w:rPr>
            </w:pPr>
            <w:r>
              <w:rPr>
                <w:rFonts w:ascii="Arial" w:cs="Arial" w:eastAsia="Arial" w:hAnsi="Arial"/>
                <w:sz w:val="16"/>
                <w:szCs w:val="16"/>
                <w:color w:val="auto"/>
              </w:rPr>
              <w:t>December 20,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February 28, 2017</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19,709</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March 21,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tcPr>
          <w:p>
            <w:pPr>
              <w:ind w:left="100"/>
              <w:spacing w:after="0"/>
              <w:rPr>
                <w:sz w:val="20"/>
                <w:szCs w:val="20"/>
                <w:color w:val="auto"/>
              </w:rPr>
            </w:pPr>
            <w:r>
              <w:rPr>
                <w:rFonts w:ascii="Arial" w:cs="Arial" w:eastAsia="Arial" w:hAnsi="Arial"/>
                <w:sz w:val="16"/>
                <w:szCs w:val="16"/>
                <w:color w:val="auto"/>
              </w:rPr>
              <w:t>May 31, 2017</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21,951</w:t>
            </w:r>
          </w:p>
        </w:tc>
        <w:tc>
          <w:tcPr>
            <w:tcW w:w="2800" w:type="dxa"/>
            <w:vAlign w:val="bottom"/>
          </w:tcPr>
          <w:p>
            <w:pPr>
              <w:ind w:left="120"/>
              <w:spacing w:after="0"/>
              <w:rPr>
                <w:sz w:val="20"/>
                <w:szCs w:val="20"/>
                <w:color w:val="auto"/>
              </w:rPr>
            </w:pPr>
            <w:r>
              <w:rPr>
                <w:rFonts w:ascii="Arial" w:cs="Arial" w:eastAsia="Arial" w:hAnsi="Arial"/>
                <w:sz w:val="16"/>
                <w:szCs w:val="16"/>
                <w:color w:val="auto"/>
              </w:rPr>
              <w:t>June 20,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August 31, 2017</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21,853</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19, 2017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All the above cash dividends were paid from existing cash resources on a quarterly basis. Future dividend payments will depend on our earnings, capital requirements, financial condition and other factors considered relevant by us, and is subject to final determination by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 Recent Sales of Unregistered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unregistered equity securities during fiscal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3" w:right="219" w:bottom="1440" w:gutter="0" w:footer="0" w:header="0"/>
        </w:sectPr>
      </w:pPr>
    </w:p>
    <w:bookmarkStart w:id="20" w:name="page21"/>
    <w:bookmarkEnd w:id="20"/>
    <w:p>
      <w:pPr>
        <w:ind w:left="4"/>
        <w:spacing w:after="0"/>
        <w:rPr>
          <w:sz w:val="20"/>
          <w:szCs w:val="20"/>
          <w:color w:val="auto"/>
        </w:rPr>
      </w:pPr>
      <w:r>
        <w:rPr>
          <w:rFonts w:ascii="Arial" w:cs="Arial" w:eastAsia="Arial" w:hAnsi="Arial"/>
          <w:sz w:val="16"/>
          <w:szCs w:val="16"/>
          <w:color w:val="auto"/>
        </w:rPr>
        <w:t>(c)  Issuer Purchases of Equity Securities</w:t>
      </w:r>
    </w:p>
    <w:p>
      <w:pPr>
        <w:spacing w:after="0" w:line="200" w:lineRule="exact"/>
        <w:rPr>
          <w:sz w:val="20"/>
          <w:szCs w:val="20"/>
          <w:color w:val="auto"/>
        </w:rPr>
      </w:pPr>
    </w:p>
    <w:p>
      <w:pPr>
        <w:ind w:left="4" w:right="160"/>
        <w:spacing w:after="0" w:line="277" w:lineRule="auto"/>
        <w:rPr>
          <w:sz w:val="20"/>
          <w:szCs w:val="20"/>
          <w:color w:val="auto"/>
        </w:rPr>
      </w:pPr>
      <w:r>
        <w:rPr>
          <w:rFonts w:ascii="Arial" w:cs="Arial" w:eastAsia="Arial" w:hAnsi="Arial"/>
          <w:sz w:val="16"/>
          <w:szCs w:val="16"/>
          <w:color w:val="auto"/>
        </w:rPr>
        <w:t>The following table provides a month-to-month summary of the share repurchase activity under the current stock repurchase program during the three months ended August 31, 2018 (in thousands, except per share data):</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6"/>
              </w:rPr>
              <w:t>Total number of shares</w:t>
            </w:r>
          </w:p>
        </w:tc>
        <w:tc>
          <w:tcPr>
            <w:tcW w:w="20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(or approximate dollar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Total number</w:t>
            </w:r>
          </w:p>
        </w:tc>
        <w:tc>
          <w:tcPr>
            <w:tcW w:w="540" w:type="dxa"/>
            <w:vAlign w:val="bottom"/>
          </w:tcPr>
          <w:p>
            <w:pPr>
              <w:spacing w:after="0"/>
              <w:rPr>
                <w:sz w:val="16"/>
                <w:szCs w:val="16"/>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b w:val="1"/>
                <w:bCs w:val="1"/>
                <w:color w:val="auto"/>
              </w:rPr>
              <w:t>Average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purchased as part of</w:t>
            </w:r>
          </w:p>
        </w:tc>
        <w:tc>
          <w:tcPr>
            <w:tcW w:w="20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value) that may yet be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of shares</w:t>
            </w:r>
          </w:p>
        </w:tc>
        <w:tc>
          <w:tcPr>
            <w:tcW w:w="540" w:type="dxa"/>
            <w:vAlign w:val="bottom"/>
          </w:tcPr>
          <w:p>
            <w:pPr>
              <w:spacing w:after="0"/>
              <w:rPr>
                <w:sz w:val="16"/>
                <w:szCs w:val="16"/>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b w:val="1"/>
                <w:bCs w:val="1"/>
                <w:color w:val="auto"/>
              </w:rPr>
              <w:t>price paid per</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publicly announced</w:t>
            </w:r>
          </w:p>
        </w:tc>
        <w:tc>
          <w:tcPr>
            <w:tcW w:w="200" w:type="dxa"/>
            <w:vAlign w:val="bottom"/>
          </w:tcPr>
          <w:p>
            <w:pPr>
              <w:spacing w:after="0"/>
              <w:rPr>
                <w:sz w:val="16"/>
                <w:szCs w:val="16"/>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8"/>
              </w:rPr>
              <w:t>purchased under the plans</w:t>
            </w:r>
          </w:p>
        </w:tc>
        <w:tc>
          <w:tcPr>
            <w:tcW w:w="0" w:type="dxa"/>
            <w:vAlign w:val="bottom"/>
          </w:tcPr>
          <w:p>
            <w:pPr>
              <w:spacing w:after="0"/>
              <w:rPr>
                <w:sz w:val="1"/>
                <w:szCs w:val="1"/>
                <w:color w:val="auto"/>
              </w:rPr>
            </w:pPr>
          </w:p>
        </w:tc>
      </w:tr>
      <w:tr>
        <w:trPr>
          <w:trHeight w:val="209"/>
        </w:trPr>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Period</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purchased</w:t>
            </w:r>
          </w:p>
        </w:tc>
        <w:tc>
          <w:tcPr>
            <w:tcW w:w="540" w:type="dxa"/>
            <w:vAlign w:val="bottom"/>
          </w:tcPr>
          <w:p>
            <w:pPr>
              <w:spacing w:after="0"/>
              <w:rPr>
                <w:sz w:val="18"/>
                <w:szCs w:val="18"/>
                <w:color w:val="auto"/>
              </w:rPr>
            </w:pPr>
          </w:p>
        </w:tc>
        <w:tc>
          <w:tcPr>
            <w:tcW w:w="1520" w:type="dxa"/>
            <w:vAlign w:val="bottom"/>
          </w:tcPr>
          <w:p>
            <w:pPr>
              <w:jc w:val="right"/>
              <w:ind w:right="120"/>
              <w:spacing w:after="0"/>
              <w:rPr>
                <w:sz w:val="20"/>
                <w:szCs w:val="20"/>
                <w:color w:val="auto"/>
              </w:rPr>
            </w:pPr>
            <w:r>
              <w:rPr>
                <w:rFonts w:ascii="Arial" w:cs="Arial" w:eastAsia="Arial" w:hAnsi="Arial"/>
                <w:sz w:val="16"/>
                <w:szCs w:val="16"/>
                <w:b w:val="1"/>
                <w:bCs w:val="1"/>
                <w:color w:val="auto"/>
              </w:rPr>
              <w:t>share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plans or programs</w:t>
            </w:r>
          </w:p>
        </w:tc>
        <w:tc>
          <w:tcPr>
            <w:tcW w:w="200" w:type="dxa"/>
            <w:vAlign w:val="bottom"/>
          </w:tcPr>
          <w:p>
            <w:pPr>
              <w:spacing w:after="0"/>
              <w:rPr>
                <w:sz w:val="18"/>
                <w:szCs w:val="18"/>
                <w:color w:val="auto"/>
              </w:rPr>
            </w:pPr>
          </w:p>
        </w:tc>
        <w:tc>
          <w:tcPr>
            <w:tcW w:w="1960" w:type="dxa"/>
            <w:vAlign w:val="bottom"/>
            <w:gridSpan w:val="2"/>
          </w:tcPr>
          <w:p>
            <w:pPr>
              <w:jc w:val="right"/>
              <w:ind w:right="120"/>
              <w:spacing w:after="0" w:line="209" w:lineRule="exact"/>
              <w:rPr>
                <w:sz w:val="20"/>
                <w:szCs w:val="20"/>
                <w:color w:val="auto"/>
              </w:rPr>
            </w:pPr>
            <w:r>
              <w:rPr>
                <w:rFonts w:ascii="Arial" w:cs="Arial" w:eastAsia="Arial" w:hAnsi="Arial"/>
                <w:sz w:val="16"/>
                <w:szCs w:val="16"/>
                <w:b w:val="1"/>
                <w:bCs w:val="1"/>
                <w:color w:val="auto"/>
              </w:rPr>
              <w:t xml:space="preserve">or programs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June 2018</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49,975</w:t>
            </w:r>
          </w:p>
        </w:tc>
        <w:tc>
          <w:tcPr>
            <w:tcW w:w="5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199.10</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49,975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299,325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July 2018</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214,503</w:t>
            </w:r>
          </w:p>
        </w:tc>
        <w:tc>
          <w:tcPr>
            <w:tcW w:w="5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204.09</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214,503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20"/>
              <w:spacing w:after="0"/>
              <w:rPr>
                <w:sz w:val="20"/>
                <w:szCs w:val="20"/>
                <w:color w:val="auto"/>
              </w:rPr>
            </w:pPr>
            <w:r>
              <w:rPr>
                <w:rFonts w:ascii="Arial" w:cs="Arial" w:eastAsia="Arial" w:hAnsi="Arial"/>
                <w:sz w:val="16"/>
                <w:szCs w:val="16"/>
                <w:color w:val="auto"/>
              </w:rPr>
              <w:t>255,548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August 2018</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65,000</w:t>
            </w:r>
          </w:p>
        </w:tc>
        <w:tc>
          <w:tcPr>
            <w:tcW w:w="5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212.27</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329,478</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329,478</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84" w:right="160" w:hanging="284"/>
        <w:spacing w:after="0" w:line="231" w:lineRule="auto"/>
        <w:tabs>
          <w:tab w:leader="none" w:pos="284"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Securities Authorized for Issuance under Equity Compensation Plans – see Part III of this Report on Form 10-K</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 Performance Graph</w:t>
      </w:r>
    </w:p>
    <w:p>
      <w:pPr>
        <w:spacing w:after="0" w:line="25" w:lineRule="exact"/>
        <w:rPr>
          <w:sz w:val="20"/>
          <w:szCs w:val="20"/>
          <w:color w:val="auto"/>
        </w:rPr>
      </w:pPr>
    </w:p>
    <w:p>
      <w:pPr>
        <w:ind w:left="4" w:right="100"/>
        <w:spacing w:after="0" w:line="254" w:lineRule="auto"/>
        <w:rPr>
          <w:sz w:val="20"/>
          <w:szCs w:val="20"/>
          <w:color w:val="auto"/>
        </w:rPr>
      </w:pPr>
      <w:r>
        <w:rPr>
          <w:rFonts w:ascii="Arial" w:cs="Arial" w:eastAsia="Arial" w:hAnsi="Arial"/>
          <w:sz w:val="16"/>
          <w:szCs w:val="16"/>
          <w:color w:val="auto"/>
        </w:rPr>
        <w:t>The annual changes for the five-year period shown in the graph below are based on the assumption that $100 had been invested in our common stock, the Standard &amp; Poor’s 500 Index, the NYSE Composite Index and the Dow Jones U.S. Financial Services Index on August 31, 2013. The total cumulative dollar returns shown on the graph represent the value that such investments would have had on August 31, 2018.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888990" cy="2494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899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3320" w:type="dxa"/>
            <w:vAlign w:val="bottom"/>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84"/>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FactSet Research Systems Inc.</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124</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92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w:t>
            </w:r>
          </w:p>
        </w:tc>
      </w:tr>
      <w:tr>
        <w:trPr>
          <w:trHeight w:val="192"/>
        </w:trPr>
        <w:tc>
          <w:tcPr>
            <w:tcW w:w="3320" w:type="dxa"/>
            <w:vAlign w:val="bottom"/>
          </w:tcPr>
          <w:p>
            <w:pPr>
              <w:spacing w:after="0"/>
              <w:rPr>
                <w:sz w:val="20"/>
                <w:szCs w:val="20"/>
                <w:color w:val="auto"/>
              </w:rPr>
            </w:pPr>
            <w:r>
              <w:rPr>
                <w:rFonts w:ascii="Arial" w:cs="Arial" w:eastAsia="Arial" w:hAnsi="Arial"/>
                <w:sz w:val="16"/>
                <w:szCs w:val="16"/>
                <w:color w:val="auto"/>
              </w:rPr>
              <w:t>S&amp;P 500 Index</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178</w:t>
            </w:r>
          </w:p>
        </w:tc>
      </w:tr>
      <w:tr>
        <w:trPr>
          <w:trHeight w:val="192"/>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NYSE Composite Index</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92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w:t>
            </w:r>
          </w:p>
        </w:tc>
      </w:tr>
      <w:tr>
        <w:trPr>
          <w:trHeight w:val="205"/>
        </w:trPr>
        <w:tc>
          <w:tcPr>
            <w:tcW w:w="3320" w:type="dxa"/>
            <w:vAlign w:val="bottom"/>
          </w:tcPr>
          <w:p>
            <w:pPr>
              <w:spacing w:after="0"/>
              <w:rPr>
                <w:sz w:val="20"/>
                <w:szCs w:val="20"/>
                <w:color w:val="auto"/>
              </w:rPr>
            </w:pPr>
            <w:r>
              <w:rPr>
                <w:rFonts w:ascii="Arial" w:cs="Arial" w:eastAsia="Arial" w:hAnsi="Arial"/>
                <w:sz w:val="16"/>
                <w:szCs w:val="16"/>
                <w:color w:val="auto"/>
              </w:rPr>
              <w:t>Dow Jones U.S. Financial Services Index</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124</w:t>
            </w:r>
          </w:p>
        </w:tc>
        <w:tc>
          <w:tcPr>
            <w:tcW w:w="94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r>
    </w:tbl>
    <w:p>
      <w:pPr>
        <w:spacing w:after="0" w:line="167" w:lineRule="exact"/>
        <w:rPr>
          <w:sz w:val="20"/>
          <w:szCs w:val="20"/>
          <w:color w:val="auto"/>
        </w:rPr>
      </w:pPr>
    </w:p>
    <w:p>
      <w:pPr>
        <w:ind w:left="4" w:right="20"/>
        <w:spacing w:after="0" w:line="264" w:lineRule="auto"/>
        <w:rPr>
          <w:sz w:val="20"/>
          <w:szCs w:val="20"/>
          <w:color w:val="auto"/>
        </w:rPr>
      </w:pPr>
      <w:r>
        <w:rPr>
          <w:rFonts w:ascii="Arial" w:cs="Arial" w:eastAsia="Arial" w:hAnsi="Arial"/>
          <w:sz w:val="16"/>
          <w:szCs w:val="16"/>
          <w:i w:val="1"/>
          <w:iCs w:val="1"/>
          <w:color w:val="auto"/>
        </w:rPr>
        <w:t>The information contained in the above graph shall not be deemed to be soliciting material or filed or incorporated by reference in future filings with the SEC, or subject to the liabilities of Section 18 of the Securities Exchange Act of 1934, except to the extent that FactSet specifically incorporates it by reference into a document filed under the Securities Act of 1933 or the Securities Exchange Act of 1934.</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5" w:right="219" w:bottom="1440" w:gutter="0" w:footer="0" w:header="0"/>
        </w:sectPr>
      </w:pPr>
    </w:p>
    <w:bookmarkStart w:id="21" w:name="page22"/>
    <w:bookmarkEnd w:id="21"/>
    <w:p>
      <w:pPr>
        <w:ind w:left="4"/>
        <w:spacing w:after="0"/>
        <w:rPr>
          <w:sz w:val="20"/>
          <w:szCs w:val="20"/>
          <w:color w:val="auto"/>
        </w:rPr>
      </w:pPr>
      <w:r>
        <w:rPr>
          <w:rFonts w:ascii="Arial" w:cs="Arial" w:eastAsia="Arial" w:hAnsi="Arial"/>
          <w:sz w:val="16"/>
          <w:szCs w:val="16"/>
          <w:color w:val="auto"/>
        </w:rPr>
        <w:t>ITEM 6. SELECTED FINANCIAL DATA</w:t>
      </w:r>
    </w:p>
    <w:p>
      <w:pPr>
        <w:spacing w:after="0" w:line="200" w:lineRule="exact"/>
        <w:rPr>
          <w:sz w:val="20"/>
          <w:szCs w:val="20"/>
          <w:color w:val="auto"/>
        </w:rPr>
      </w:pPr>
    </w:p>
    <w:p>
      <w:pPr>
        <w:ind w:left="4" w:right="180"/>
        <w:spacing w:after="0" w:line="351" w:lineRule="auto"/>
        <w:rPr>
          <w:sz w:val="20"/>
          <w:szCs w:val="20"/>
          <w:color w:val="auto"/>
        </w:rPr>
      </w:pPr>
      <w:r>
        <w:rPr>
          <w:rFonts w:ascii="Arial" w:cs="Arial" w:eastAsia="Arial" w:hAnsi="Arial"/>
          <w:sz w:val="14"/>
          <w:szCs w:val="14"/>
          <w:color w:val="auto"/>
        </w:rPr>
        <w:t>The following selected financial data has been derived from our consolidated financial statements. This financial data should be read in conjunction with Item 7, Management’s Discussion and Analysis of Financial Condition and Results of Operations and Item 8, Financial Statements and Supplementary Data, of this Report on Form 10-K.</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560" w:type="dxa"/>
            <w:vAlign w:val="bottom"/>
            <w:gridSpan w:val="2"/>
          </w:tcPr>
          <w:p>
            <w:pPr>
              <w:spacing w:after="0"/>
              <w:rPr>
                <w:sz w:val="20"/>
                <w:szCs w:val="20"/>
                <w:color w:val="auto"/>
              </w:rPr>
            </w:pPr>
            <w:r>
              <w:rPr>
                <w:rFonts w:ascii="Arial" w:cs="Arial" w:eastAsia="Arial" w:hAnsi="Arial"/>
                <w:sz w:val="16"/>
                <w:szCs w:val="16"/>
                <w:color w:val="auto"/>
              </w:rPr>
              <w:t>Consolidated Statements of Income Data</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6"/>
          </w:tcPr>
          <w:p>
            <w:pPr>
              <w:jc w:val="right"/>
              <w:ind w:right="80"/>
              <w:spacing w:after="0"/>
              <w:rPr>
                <w:sz w:val="20"/>
                <w:szCs w:val="20"/>
                <w:color w:val="auto"/>
              </w:rPr>
            </w:pPr>
            <w:r>
              <w:rPr>
                <w:rFonts w:ascii="Arial" w:cs="Arial" w:eastAsia="Arial" w:hAnsi="Arial"/>
                <w:sz w:val="16"/>
                <w:szCs w:val="16"/>
                <w:color w:val="auto"/>
              </w:rPr>
              <w:t>For the year ended August 31,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5"/>
        </w:trPr>
        <w:tc>
          <w:tcPr>
            <w:tcW w:w="356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10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0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1,350,145</w:t>
            </w:r>
          </w:p>
        </w:tc>
        <w:tc>
          <w:tcPr>
            <w:tcW w:w="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1,221,179</w:t>
            </w: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1,127,092</w:t>
            </w:r>
          </w:p>
        </w:tc>
        <w:tc>
          <w:tcPr>
            <w:tcW w:w="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1,006,768</w:t>
            </w:r>
          </w:p>
        </w:tc>
        <w:tc>
          <w:tcPr>
            <w:tcW w:w="2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920,335</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366,204</w:t>
            </w: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352,135</w:t>
            </w: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349,676</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(7)</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331,918</w:t>
            </w:r>
          </w:p>
        </w:tc>
        <w:tc>
          <w:tcPr>
            <w:tcW w:w="280" w:type="dxa"/>
            <w:vAlign w:val="bottom"/>
          </w:tcPr>
          <w:p>
            <w:pPr>
              <w:jc w:val="right"/>
              <w:spacing w:after="0"/>
              <w:rPr>
                <w:sz w:val="20"/>
                <w:szCs w:val="20"/>
                <w:color w:val="auto"/>
              </w:rPr>
            </w:pPr>
            <w:r>
              <w:rPr>
                <w:rFonts w:ascii="Arial" w:cs="Arial" w:eastAsia="Arial" w:hAnsi="Arial"/>
                <w:sz w:val="13"/>
                <w:szCs w:val="13"/>
                <w:color w:val="auto"/>
                <w:w w:val="94"/>
              </w:rPr>
              <w:t>(10)</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302,219</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84,753</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86,053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122,178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92,703</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91,921</w:t>
            </w:r>
          </w:p>
        </w:tc>
        <w:tc>
          <w:tcPr>
            <w:tcW w:w="260" w:type="dxa"/>
            <w:vAlign w:val="bottom"/>
            <w:shd w:val="clear" w:color="auto" w:fill="CCEEFF"/>
          </w:tcPr>
          <w:p>
            <w:pPr>
              <w:spacing w:after="0"/>
              <w:rPr>
                <w:sz w:val="16"/>
                <w:szCs w:val="16"/>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267,085</w:t>
            </w: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258,259</w:t>
            </w:r>
          </w:p>
        </w:tc>
        <w:tc>
          <w:tcPr>
            <w:tcW w:w="220" w:type="dxa"/>
            <w:vAlign w:val="bottom"/>
          </w:tcPr>
          <w:p>
            <w:pPr>
              <w:jc w:val="right"/>
              <w:spacing w:after="0"/>
              <w:rPr>
                <w:sz w:val="20"/>
                <w:szCs w:val="20"/>
                <w:color w:val="auto"/>
              </w:rPr>
            </w:pPr>
            <w:r>
              <w:rPr>
                <w:rFonts w:ascii="Arial" w:cs="Arial" w:eastAsia="Arial" w:hAnsi="Arial"/>
                <w:sz w:val="13"/>
                <w:szCs w:val="13"/>
                <w:color w:val="auto"/>
              </w:rPr>
              <w:t>(5)</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338,815</w:t>
            </w:r>
          </w:p>
        </w:tc>
        <w:tc>
          <w:tcPr>
            <w:tcW w:w="220" w:type="dxa"/>
            <w:vAlign w:val="bottom"/>
          </w:tcPr>
          <w:p>
            <w:pPr>
              <w:jc w:val="right"/>
              <w:spacing w:after="0"/>
              <w:rPr>
                <w:sz w:val="20"/>
                <w:szCs w:val="20"/>
                <w:color w:val="auto"/>
              </w:rPr>
            </w:pPr>
            <w:r>
              <w:rPr>
                <w:rFonts w:ascii="Arial" w:cs="Arial" w:eastAsia="Arial" w:hAnsi="Arial"/>
                <w:sz w:val="13"/>
                <w:szCs w:val="13"/>
                <w:color w:val="auto"/>
                <w:w w:val="87"/>
              </w:rPr>
              <w:t>(8)</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241,051</w:t>
            </w:r>
          </w:p>
        </w:tc>
        <w:tc>
          <w:tcPr>
            <w:tcW w:w="280" w:type="dxa"/>
            <w:vAlign w:val="bottom"/>
          </w:tcPr>
          <w:p>
            <w:pPr>
              <w:jc w:val="right"/>
              <w:spacing w:after="0"/>
              <w:rPr>
                <w:sz w:val="20"/>
                <w:szCs w:val="20"/>
                <w:color w:val="auto"/>
              </w:rPr>
            </w:pPr>
            <w:r>
              <w:rPr>
                <w:rFonts w:ascii="Arial" w:cs="Arial" w:eastAsia="Arial" w:hAnsi="Arial"/>
                <w:sz w:val="13"/>
                <w:szCs w:val="13"/>
                <w:color w:val="auto"/>
                <w:w w:val="86"/>
              </w:rPr>
              <w:t>(11)</w:t>
            </w:r>
          </w:p>
        </w:tc>
        <w:tc>
          <w:tcPr>
            <w:tcW w:w="4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211,543</w:t>
            </w:r>
          </w:p>
        </w:tc>
        <w:tc>
          <w:tcPr>
            <w:tcW w:w="2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28"/>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(12)</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Weighted average common shares (diluted)</w:t>
            </w:r>
          </w:p>
        </w:tc>
        <w:tc>
          <w:tcPr>
            <w:tcW w:w="10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39,377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39,642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41,365</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42,235</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42,970</w:t>
            </w:r>
          </w:p>
        </w:tc>
        <w:tc>
          <w:tcPr>
            <w:tcW w:w="26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CCEEFF"/>
          </w:tcPr>
          <w:p>
            <w:pPr>
              <w:spacing w:after="0"/>
              <w:rPr>
                <w:sz w:val="16"/>
                <w:szCs w:val="16"/>
                <w:color w:val="auto"/>
              </w:rPr>
            </w:pPr>
          </w:p>
        </w:tc>
      </w:tr>
    </w:tbl>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220" w:type="dxa"/>
            <w:vAlign w:val="bottom"/>
            <w:gridSpan w:val="2"/>
          </w:tcPr>
          <w:p>
            <w:pPr>
              <w:spacing w:after="0"/>
              <w:rPr>
                <w:sz w:val="20"/>
                <w:szCs w:val="20"/>
                <w:color w:val="auto"/>
              </w:rPr>
            </w:pPr>
            <w:r>
              <w:rPr>
                <w:rFonts w:ascii="Arial" w:cs="Arial" w:eastAsia="Arial" w:hAnsi="Arial"/>
                <w:sz w:val="16"/>
                <w:szCs w:val="16"/>
                <w:color w:val="auto"/>
              </w:rPr>
              <w:t>Consolidated Balance Sheet Data</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As of August 31,</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26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2018</w:t>
            </w: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2017</w:t>
            </w:r>
          </w:p>
        </w:tc>
        <w:tc>
          <w:tcPr>
            <w:tcW w:w="50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2016</w:t>
            </w:r>
          </w:p>
        </w:tc>
        <w:tc>
          <w:tcPr>
            <w:tcW w:w="52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2015</w:t>
            </w:r>
          </w:p>
        </w:tc>
        <w:tc>
          <w:tcPr>
            <w:tcW w:w="5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208,623</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194,731</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228,407</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158,914</w:t>
            </w:r>
          </w:p>
        </w:tc>
        <w:tc>
          <w:tcPr>
            <w:tcW w:w="5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116,378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Accounts receivable, net of reserves</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156,639</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148,331</w:t>
            </w:r>
          </w:p>
        </w:tc>
        <w:tc>
          <w:tcPr>
            <w:tcW w:w="5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97,797</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95,064</w:t>
            </w:r>
          </w:p>
        </w:tc>
        <w:tc>
          <w:tcPr>
            <w:tcW w:w="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90,354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assets, net</w:t>
            </w: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850,768</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881,103</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546,076</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348,339</w:t>
            </w:r>
          </w:p>
        </w:tc>
        <w:tc>
          <w:tcPr>
            <w:tcW w:w="5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327,463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Total assets</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1,419,447</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1,413,315</w:t>
            </w:r>
          </w:p>
        </w:tc>
        <w:tc>
          <w:tcPr>
            <w:tcW w:w="5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1,019,161</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736,671</w:t>
            </w:r>
          </w:p>
        </w:tc>
        <w:tc>
          <w:tcPr>
            <w:tcW w:w="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663,212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2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672,413</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652,485</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343,570</w:t>
            </w:r>
          </w:p>
        </w:tc>
        <w:tc>
          <w:tcPr>
            <w:tcW w:w="5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65,307</w:t>
            </w:r>
          </w:p>
        </w:tc>
        <w:tc>
          <w:tcPr>
            <w:tcW w:w="5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525,900</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559,691</w:t>
            </w:r>
          </w:p>
        </w:tc>
        <w:tc>
          <w:tcPr>
            <w:tcW w:w="5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517,381</w:t>
            </w:r>
          </w:p>
        </w:tc>
        <w:tc>
          <w:tcPr>
            <w:tcW w:w="5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531,584</w:t>
            </w:r>
          </w:p>
        </w:tc>
        <w:tc>
          <w:tcPr>
            <w:tcW w:w="5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511,082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0" w:hanging="344"/>
        <w:spacing w:after="0" w:line="192"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Operating income in fiscal 2018 included pre-tax charges of $17.4 million from restructuring actions, $4.7 million related to other corporate actions including stock-based compensation acceleration and $4.9 million in legal matters.</w:t>
      </w:r>
    </w:p>
    <w:p>
      <w:pPr>
        <w:spacing w:after="0" w:line="181" w:lineRule="exact"/>
        <w:rPr>
          <w:rFonts w:ascii="Arial" w:cs="Arial" w:eastAsia="Arial" w:hAnsi="Arial"/>
          <w:sz w:val="27"/>
          <w:szCs w:val="27"/>
          <w:color w:val="auto"/>
          <w:vertAlign w:val="superscript"/>
        </w:rPr>
      </w:pPr>
    </w:p>
    <w:p>
      <w:pPr>
        <w:ind w:left="344" w:right="120" w:hanging="344"/>
        <w:spacing w:after="0" w:line="208"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Net income in fiscal 2018 included $13.8 million (after-tax) expense related to restructuring actions, $3.8 million (after-tax) expense related to other corporate actions including stock-based compensation acceleration, $3.4 million (after-tax) expense related to legal matters and $21.3 million of tax charges primarily related to the one-time deemed repatriation tax on foreign earnings.</w:t>
      </w:r>
    </w:p>
    <w:p>
      <w:pPr>
        <w:spacing w:after="0" w:line="180" w:lineRule="exact"/>
        <w:rPr>
          <w:rFonts w:ascii="Arial" w:cs="Arial" w:eastAsia="Arial" w:hAnsi="Arial"/>
          <w:sz w:val="27"/>
          <w:szCs w:val="27"/>
          <w:color w:val="auto"/>
          <w:vertAlign w:val="superscript"/>
        </w:rPr>
      </w:pPr>
    </w:p>
    <w:p>
      <w:pPr>
        <w:ind w:left="344" w:right="60" w:hanging="344"/>
        <w:spacing w:after="0" w:line="208"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Diluted earnings per share (“EPS”) in fiscal 2018 included a $0.35 decrease in diluted EPS from restructuring actions, a $0.10 detriment due to other corporate actions including stock-based compensation, a $0.09 decrease from legal matters and a $0.53 decrease from tax charges primarily related to the one-time deemed repatriation tax on foreign earnings.</w:t>
      </w:r>
    </w:p>
    <w:p>
      <w:pPr>
        <w:spacing w:after="0" w:line="180" w:lineRule="exact"/>
        <w:rPr>
          <w:rFonts w:ascii="Arial" w:cs="Arial" w:eastAsia="Arial" w:hAnsi="Arial"/>
          <w:sz w:val="27"/>
          <w:szCs w:val="27"/>
          <w:color w:val="auto"/>
          <w:vertAlign w:val="superscript"/>
        </w:rPr>
      </w:pPr>
    </w:p>
    <w:p>
      <w:pPr>
        <w:ind w:left="344" w:right="560" w:hanging="344"/>
        <w:spacing w:after="0" w:line="192"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Operating income in fiscal 2017 included pre-tax charges of $5.6 million related to modifications of certain share-based compensation grants, $5.0 million related to restructuring actions and $7.4 million in acquisition-related expenses.</w:t>
      </w:r>
    </w:p>
    <w:p>
      <w:pPr>
        <w:spacing w:after="0" w:line="181" w:lineRule="exact"/>
        <w:rPr>
          <w:rFonts w:ascii="Arial" w:cs="Arial" w:eastAsia="Arial" w:hAnsi="Arial"/>
          <w:sz w:val="27"/>
          <w:szCs w:val="27"/>
          <w:color w:val="auto"/>
          <w:vertAlign w:val="superscript"/>
        </w:rPr>
      </w:pPr>
    </w:p>
    <w:p>
      <w:pPr>
        <w:ind w:left="344" w:right="80" w:hanging="344"/>
        <w:spacing w:after="0" w:line="217"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Net income in fiscal 2017 included $4.2 million (after-tax) related to modifications of certain share-based compensation grants, $3.7 million (after-tax) related to restructuring actions and $5.5 million (after-tax) of acquisition-related expenses. Fiscal 2017 net income also included a loss of $0.9 million (after-tax) from a final working capital adjustment related to the sale of FactSet’s Market Metrics business in the fourth quarter of fiscal 2016. These charges were offset by income tax benefits of $1.9 million related primarily to finalizing prior year tax returns and other discrete items.</w:t>
      </w:r>
    </w:p>
    <w:p>
      <w:pPr>
        <w:spacing w:after="0" w:line="181" w:lineRule="exact"/>
        <w:rPr>
          <w:rFonts w:ascii="Arial" w:cs="Arial" w:eastAsia="Arial" w:hAnsi="Arial"/>
          <w:sz w:val="27"/>
          <w:szCs w:val="27"/>
          <w:color w:val="auto"/>
          <w:vertAlign w:val="superscript"/>
        </w:rPr>
      </w:pPr>
    </w:p>
    <w:p>
      <w:pPr>
        <w:ind w:left="344" w:right="360" w:hanging="344"/>
        <w:spacing w:after="0" w:line="264" w:lineRule="auto"/>
        <w:tabs>
          <w:tab w:leader="none" w:pos="344" w:val="left"/>
        </w:tabs>
        <w:numPr>
          <w:ilvl w:val="0"/>
          <w:numId w:val="5"/>
        </w:numPr>
        <w:rPr>
          <w:rFonts w:ascii="Arial" w:cs="Arial" w:eastAsia="Arial" w:hAnsi="Arial"/>
          <w:sz w:val="13"/>
          <w:szCs w:val="13"/>
          <w:color w:val="auto"/>
        </w:rPr>
      </w:pPr>
      <w:r>
        <w:rPr>
          <w:rFonts w:ascii="Arial" w:cs="Arial" w:eastAsia="Arial" w:hAnsi="Arial"/>
          <w:sz w:val="16"/>
          <w:szCs w:val="16"/>
          <w:color w:val="auto"/>
        </w:rPr>
        <w:t>Diluted EPS in fiscal 2017 included a $0.11 decrease in diluted EPS from the modifications of certain share-based compensation grants, a $0.09 decrease from the restructuring actions, a $0.13 decrease from acquisition-related expenses and $0.02 decrease from the working capital adjustment, partially offset by a $0.05 increase in diluted EPS from the income tax benefits.</w:t>
      </w:r>
    </w:p>
    <w:p>
      <w:pPr>
        <w:spacing w:after="0" w:line="161" w:lineRule="exact"/>
        <w:rPr>
          <w:rFonts w:ascii="Arial" w:cs="Arial" w:eastAsia="Arial" w:hAnsi="Arial"/>
          <w:sz w:val="13"/>
          <w:szCs w:val="13"/>
          <w:color w:val="auto"/>
        </w:rPr>
      </w:pPr>
    </w:p>
    <w:p>
      <w:pPr>
        <w:ind w:left="344" w:right="160" w:hanging="344"/>
        <w:spacing w:after="0" w:line="192" w:lineRule="auto"/>
        <w:tabs>
          <w:tab w:leader="none" w:pos="344" w:val="left"/>
        </w:tabs>
        <w:numPr>
          <w:ilvl w:val="0"/>
          <w:numId w:val="5"/>
        </w:numPr>
        <w:rPr>
          <w:rFonts w:ascii="Arial" w:cs="Arial" w:eastAsia="Arial" w:hAnsi="Arial"/>
          <w:sz w:val="27"/>
          <w:szCs w:val="27"/>
          <w:color w:val="auto"/>
          <w:vertAlign w:val="superscript"/>
        </w:rPr>
      </w:pPr>
      <w:r>
        <w:rPr>
          <w:rFonts w:ascii="Arial" w:cs="Arial" w:eastAsia="Arial" w:hAnsi="Arial"/>
          <w:sz w:val="16"/>
          <w:szCs w:val="16"/>
          <w:color w:val="auto"/>
        </w:rPr>
        <w:t>Operating income in fiscal 2016 included pre-tax charges of $4.6 million related primarily to legal matters, $2.8 million from restructuring actions and $1.8 million related to a change in the vesting of performance-based equity options.</w:t>
      </w:r>
    </w:p>
    <w:p>
      <w:pPr>
        <w:spacing w:after="0" w:line="181" w:lineRule="exact"/>
        <w:rPr>
          <w:rFonts w:ascii="Arial" w:cs="Arial" w:eastAsia="Arial" w:hAnsi="Arial"/>
          <w:sz w:val="27"/>
          <w:szCs w:val="27"/>
          <w:color w:val="auto"/>
          <w:vertAlign w:val="superscript"/>
        </w:rPr>
      </w:pPr>
    </w:p>
    <w:p>
      <w:pPr>
        <w:ind w:left="344" w:right="260" w:hanging="344"/>
        <w:spacing w:after="0" w:line="259" w:lineRule="auto"/>
        <w:tabs>
          <w:tab w:leader="none" w:pos="344" w:val="left"/>
        </w:tabs>
        <w:numPr>
          <w:ilvl w:val="0"/>
          <w:numId w:val="5"/>
        </w:numPr>
        <w:rPr>
          <w:rFonts w:ascii="Arial" w:cs="Arial" w:eastAsia="Arial" w:hAnsi="Arial"/>
          <w:sz w:val="13"/>
          <w:szCs w:val="13"/>
          <w:color w:val="auto"/>
        </w:rPr>
      </w:pPr>
      <w:r>
        <w:rPr>
          <w:rFonts w:ascii="Arial" w:cs="Arial" w:eastAsia="Arial" w:hAnsi="Arial"/>
          <w:sz w:val="16"/>
          <w:szCs w:val="16"/>
          <w:color w:val="auto"/>
        </w:rPr>
        <w:t>Net income in fiscal 2016 included $3.3 million (after-tax) related primarily to legal matters, $2.0 million (after-tax) from restructuring actions, $1.2 million (after-tax) related to a change in the vesting of performance-based equity instruments, partially offset by $10.5 million of income tax benefits primarily from the permanent reenactment of the U.S. Federal R&amp;D tax credit (“R&amp;D Tax Credit”), finalizing the fiscal 2015 tax returns and other discrete items and a gain of $81.7 million (after-tax) related to the sale of FactSet’s Market Metrics business in July 2016.</w:t>
      </w:r>
    </w:p>
    <w:p>
      <w:pPr>
        <w:spacing w:after="0" w:line="166" w:lineRule="exact"/>
        <w:rPr>
          <w:rFonts w:ascii="Arial" w:cs="Arial" w:eastAsia="Arial" w:hAnsi="Arial"/>
          <w:sz w:val="13"/>
          <w:szCs w:val="13"/>
          <w:color w:val="auto"/>
        </w:rPr>
      </w:pPr>
    </w:p>
    <w:p>
      <w:pPr>
        <w:ind w:left="344" w:right="80" w:hanging="344"/>
        <w:spacing w:after="0" w:line="264" w:lineRule="auto"/>
        <w:tabs>
          <w:tab w:leader="none" w:pos="344" w:val="left"/>
        </w:tabs>
        <w:numPr>
          <w:ilvl w:val="0"/>
          <w:numId w:val="5"/>
        </w:numPr>
        <w:rPr>
          <w:rFonts w:ascii="Arial" w:cs="Arial" w:eastAsia="Arial" w:hAnsi="Arial"/>
          <w:sz w:val="13"/>
          <w:szCs w:val="13"/>
          <w:color w:val="auto"/>
        </w:rPr>
      </w:pPr>
      <w:r>
        <w:rPr>
          <w:rFonts w:ascii="Arial" w:cs="Arial" w:eastAsia="Arial" w:hAnsi="Arial"/>
          <w:sz w:val="16"/>
          <w:szCs w:val="16"/>
          <w:color w:val="auto"/>
        </w:rPr>
        <w:t>Diluted EPS in fiscal 2016 included the net effect of a $2.01 increase in diluted EPS from the gain on sale and a $0.25 increase in diluted EPS from the income tax benefits, partially offset by a $0.08 decrease related primarily to legal matters, a $0.05 decrease from the restructuring actions and a $0.03 decrease from a change in the vesting of performance-based equity instruments.</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5" w:right="219" w:bottom="1440" w:gutter="0" w:footer="0" w:header="0"/>
        </w:sectPr>
      </w:pPr>
    </w:p>
    <w:bookmarkStart w:id="22" w:name="page23"/>
    <w:bookmarkEnd w:id="22"/>
    <w:p>
      <w:pPr>
        <w:ind w:left="344" w:right="120" w:hanging="344"/>
        <w:spacing w:after="0" w:line="192" w:lineRule="auto"/>
        <w:tabs>
          <w:tab w:leader="none" w:pos="344" w:val="left"/>
        </w:tabs>
        <w:numPr>
          <w:ilvl w:val="0"/>
          <w:numId w:val="6"/>
        </w:numPr>
        <w:rPr>
          <w:rFonts w:ascii="Arial" w:cs="Arial" w:eastAsia="Arial" w:hAnsi="Arial"/>
          <w:sz w:val="27"/>
          <w:szCs w:val="27"/>
          <w:color w:val="auto"/>
          <w:vertAlign w:val="subscript"/>
        </w:rPr>
      </w:pPr>
      <w:r>
        <w:rPr>
          <w:rFonts w:ascii="Arial" w:cs="Arial" w:eastAsia="Arial" w:hAnsi="Arial"/>
          <w:sz w:val="16"/>
          <w:szCs w:val="16"/>
          <w:color w:val="auto"/>
        </w:rPr>
        <w:t>Operating income in fiscal 2015 included pre-tax charges of $3.0 million related to the vesting of performance-based equity instruments and $3.2 million related primarily to changes in the senior leadership responsible for the Company’s sales force.</w:t>
      </w:r>
    </w:p>
    <w:p>
      <w:pPr>
        <w:spacing w:after="0" w:line="181" w:lineRule="exact"/>
        <w:rPr>
          <w:rFonts w:ascii="Arial" w:cs="Arial" w:eastAsia="Arial" w:hAnsi="Arial"/>
          <w:sz w:val="27"/>
          <w:szCs w:val="27"/>
          <w:color w:val="auto"/>
          <w:vertAlign w:val="subscript"/>
        </w:rPr>
      </w:pPr>
    </w:p>
    <w:p>
      <w:pPr>
        <w:ind w:left="344" w:hanging="344"/>
        <w:spacing w:after="0" w:line="208" w:lineRule="auto"/>
        <w:tabs>
          <w:tab w:leader="none" w:pos="344" w:val="left"/>
        </w:tabs>
        <w:numPr>
          <w:ilvl w:val="0"/>
          <w:numId w:val="6"/>
        </w:numPr>
        <w:rPr>
          <w:rFonts w:ascii="Arial" w:cs="Arial" w:eastAsia="Arial" w:hAnsi="Arial"/>
          <w:sz w:val="27"/>
          <w:szCs w:val="27"/>
          <w:color w:val="auto"/>
          <w:vertAlign w:val="subscript"/>
        </w:rPr>
      </w:pPr>
      <w:r>
        <w:rPr>
          <w:rFonts w:ascii="Arial" w:cs="Arial" w:eastAsia="Arial" w:hAnsi="Arial"/>
          <w:sz w:val="16"/>
          <w:szCs w:val="16"/>
          <w:color w:val="auto"/>
        </w:rPr>
        <w:t>Net income in fiscal 2015 included $2.1 million (after-tax) of incremental expenses related to the vesting of performance-based equity instruments, $2.2 million (after-tax) related to the changes in the senior leadership responsible for the Company’s sales force and income tax benefits of $8.8 million primarily from the reenactment of the R&amp;D Tax Credit in December 2014, and finalizing the fiscal 2014 tax returns and other discrete items.</w:t>
      </w:r>
    </w:p>
    <w:p>
      <w:pPr>
        <w:spacing w:after="0" w:line="180" w:lineRule="exact"/>
        <w:rPr>
          <w:rFonts w:ascii="Arial" w:cs="Arial" w:eastAsia="Arial" w:hAnsi="Arial"/>
          <w:sz w:val="27"/>
          <w:szCs w:val="27"/>
          <w:color w:val="auto"/>
          <w:vertAlign w:val="subscript"/>
        </w:rPr>
      </w:pPr>
    </w:p>
    <w:p>
      <w:pPr>
        <w:ind w:left="344" w:right="180" w:hanging="344"/>
        <w:spacing w:after="0" w:line="207" w:lineRule="auto"/>
        <w:tabs>
          <w:tab w:leader="none" w:pos="344" w:val="left"/>
        </w:tabs>
        <w:numPr>
          <w:ilvl w:val="0"/>
          <w:numId w:val="6"/>
        </w:numPr>
        <w:rPr>
          <w:rFonts w:ascii="Arial" w:cs="Arial" w:eastAsia="Arial" w:hAnsi="Arial"/>
          <w:sz w:val="25"/>
          <w:szCs w:val="25"/>
          <w:color w:val="auto"/>
          <w:vertAlign w:val="subscript"/>
        </w:rPr>
      </w:pPr>
      <w:r>
        <w:rPr>
          <w:rFonts w:ascii="Arial" w:cs="Arial" w:eastAsia="Arial" w:hAnsi="Arial"/>
          <w:sz w:val="15"/>
          <w:szCs w:val="15"/>
          <w:color w:val="auto"/>
        </w:rPr>
        <w:t>Diluted EPS in fiscal 2015 included the net effect of a $0.21 increase in diluted EPS from the income tax benefits, partially offset by a $0.05 decrease from the vesting of performance-based equity instruments and a $0.05 decrease from the changes in the senior leadership responsible for the Company’s sales force.</w:t>
      </w:r>
    </w:p>
    <w:p>
      <w:pPr>
        <w:spacing w:after="0" w:line="179" w:lineRule="exact"/>
        <w:rPr>
          <w:rFonts w:ascii="Arial" w:cs="Arial" w:eastAsia="Arial" w:hAnsi="Arial"/>
          <w:sz w:val="25"/>
          <w:szCs w:val="25"/>
          <w:color w:val="auto"/>
          <w:vertAlign w:val="subscript"/>
        </w:rPr>
      </w:pPr>
    </w:p>
    <w:p>
      <w:pPr>
        <w:ind w:left="344" w:right="820" w:hanging="344"/>
        <w:spacing w:after="0" w:line="192" w:lineRule="auto"/>
        <w:tabs>
          <w:tab w:leader="none" w:pos="344"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Operating income in fiscal 2014 included pre-tax charges of $1.6 million related primarily to legal matters and $1.4 million related to a change in the vesting of performance-based equity options.</w:t>
      </w:r>
    </w:p>
    <w:p>
      <w:pPr>
        <w:spacing w:after="0" w:line="181" w:lineRule="exact"/>
        <w:rPr>
          <w:rFonts w:ascii="Arial" w:cs="Arial" w:eastAsia="Arial" w:hAnsi="Arial"/>
          <w:sz w:val="27"/>
          <w:szCs w:val="27"/>
          <w:color w:val="auto"/>
          <w:vertAlign w:val="superscript"/>
        </w:rPr>
      </w:pPr>
    </w:p>
    <w:p>
      <w:pPr>
        <w:ind w:left="344" w:right="460" w:hanging="344"/>
        <w:spacing w:after="0" w:line="207" w:lineRule="auto"/>
        <w:tabs>
          <w:tab w:leader="none" w:pos="344"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Net income in fiscal 2014 included $1.1 million (after-tax) primarily related to legal matters, $1.0 million (after-tax) of incremental expenses related to the vesting of performance-based equity instruments and income tax benefits of $0.6 million finalizing the fiscal 2013 tax returns and other discrete items.</w:t>
      </w:r>
    </w:p>
    <w:p>
      <w:pPr>
        <w:spacing w:after="0" w:line="179" w:lineRule="exact"/>
        <w:rPr>
          <w:rFonts w:ascii="Arial" w:cs="Arial" w:eastAsia="Arial" w:hAnsi="Arial"/>
          <w:sz w:val="25"/>
          <w:szCs w:val="25"/>
          <w:color w:val="auto"/>
          <w:vertAlign w:val="superscript"/>
        </w:rPr>
      </w:pPr>
    </w:p>
    <w:p>
      <w:pPr>
        <w:ind w:left="344" w:right="440" w:hanging="344"/>
        <w:spacing w:after="0" w:line="192" w:lineRule="auto"/>
        <w:tabs>
          <w:tab w:leader="none" w:pos="344"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Diluted EPS in fiscal 2014 included the net effect of a $0.03 decrease in diluted EPS from the income tax benefits and $0.02 decrease from a change in the vesting of performance-based equity.</w:t>
      </w:r>
    </w:p>
    <w:p>
      <w:pPr>
        <w:spacing w:after="0" w:line="181"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36" w:top="535" w:right="27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ITEM 7. MANAGEMENT’S DISCUSSION AND ANALYSIS OF FINANCIAL CONDITION AND RESULTS OF OPERATIONS</w:t>
      </w:r>
    </w:p>
    <w:p>
      <w:pPr>
        <w:spacing w:after="0" w:line="20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62" w:lineRule="exact"/>
        <w:rPr>
          <w:sz w:val="20"/>
          <w:szCs w:val="20"/>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Executive Overview</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Key Metrics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Results of Operations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Liquidity</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Capital Resources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Foreign Currency</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Off-Balance Sheet Arrangements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 Repurchase Program</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Contractual Obligations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Dividends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Significant Accounting Policies and Critical Accounting Estimates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New Accounting Pronouncements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 Trends</w:t>
      </w:r>
    </w:p>
    <w:p>
      <w:pPr>
        <w:spacing w:after="0" w:line="200" w:lineRule="exact"/>
        <w:rPr>
          <w:rFonts w:ascii="Arial" w:cs="Arial" w:eastAsia="Arial" w:hAnsi="Arial"/>
          <w:sz w:val="16"/>
          <w:szCs w:val="16"/>
          <w:color w:val="auto"/>
        </w:rPr>
      </w:pPr>
    </w:p>
    <w:p>
      <w:pPr>
        <w:ind w:left="440" w:hanging="156"/>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Forward-Looking Factors</w:t>
      </w:r>
    </w:p>
    <w:p>
      <w:pPr>
        <w:spacing w:after="0" w:line="200"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MD&amp;A should be read in conjunction with the Consolidated Financial Statements and related Notes included in Item 8, Financial Statements and Supplementary Data, of this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Executive Overview</w:t>
      </w:r>
    </w:p>
    <w:p>
      <w:pPr>
        <w:spacing w:after="0" w:line="200"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are a global provider of integrated financial information, analytical applications and industry-leading service for the global investment community. We deliver insight and information to investment professionals through our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we offer proprietary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Our revenues are derived from subscriptions to products and services such as workstations, analytics, enterprise data, research management, and trade execution.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2018 Year in Review</w:t>
      </w:r>
    </w:p>
    <w:p>
      <w:pPr>
        <w:spacing w:after="0" w:line="200"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Fiscal 2018 revenue growth can be attributed to achievements in the delivery, integration and consumption of our financial data and analytical applications by the global investment community. As of August 31, 2018, annual subscription value (“ASV”) totaled $1.39 billion, an increase of 5.8% over the prior year and 5.7% organically. Revenues increased 10.6% year over year, of which, 5.6% of the increase can be attributed to organic revenue growth. In addition, clients and users reached new highs of 5,142 and 91,897, respectively, in fiscal 2018. We returned $393.4 million to stockholders in the form of share repurchases and dividends during the fiscal year.</w:t>
      </w:r>
    </w:p>
    <w:p>
      <w:pPr>
        <w:spacing w:after="0" w:line="15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continued to diversity our suite of solutions through the integration of our acquisitions and new product investments. We enhanced our Multi-Asset Class (“MAC”) risk models, leading to several global client wins and strengthening our position in the analytics market. We expanded our Content and Technology Solutions (“CTS”) workflow and launched Open:FactSet Marketplace, a new platform to address the demand for integrating both financial and alternative data. We recently added Data Exploration, a platform for financial professionals to evaluate quickly alternative and financial datasets and build investment applications in a fully hosted environment.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24" w:name="page25"/>
    <w:bookmarkEnd w:id="24"/>
    <w:p>
      <w:pPr>
        <w:ind w:right="660"/>
        <w:spacing w:after="0" w:line="351" w:lineRule="auto"/>
        <w:rPr>
          <w:sz w:val="20"/>
          <w:szCs w:val="20"/>
          <w:color w:val="auto"/>
        </w:rPr>
      </w:pPr>
      <w:r>
        <w:rPr>
          <w:rFonts w:ascii="Arial" w:cs="Arial" w:eastAsia="Arial" w:hAnsi="Arial"/>
          <w:sz w:val="14"/>
          <w:szCs w:val="14"/>
          <w:color w:val="auto"/>
        </w:rPr>
        <w:t>FactSet released its first annual Corporate Social Responsibility Report (“CSR”), highlighting the Company’s commitments to our clients, employees, stockholders, and communities. The report covered the fiscal year ending August 31, 2017, highlighting our recent achievements and setting a trajectory for our future CSR goals.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Client Service / Consultants</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 client-centric approach has always been a key foundation of our success at FactSet. We support our powerful information and analytical applications with a team of financial data and modeling experts. Client satisfaction is a key metric by which we measure the success of our service. According to our global client satisfaction survey, greater than 95% of respondents were satisfied or very satisfied with FactSet’s support. The depth of our knowledge, the data behind the models and the complex mathematics substantiating the answers each create an opportunity for us to forge close working relationships with our user community.</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industry-leading customer care is largely due to the talent of our employee population. As of August 31, 2018, employee headcount was 9,571, up 5.5% from a year ago. This increase in headcount was primarily in client-focused positions with dedication to client loyalty, supporting our recent global client retention rate of greater than 95% of ASV as of August 31, 2018. Our consulting teams have been trained to listen to our clients’ needs and transfer this knowledge directly to the product development teams, helping us transform suggestions into new or enhanced product offerings.</w:t>
      </w:r>
    </w:p>
    <w:p>
      <w:pPr>
        <w:spacing w:after="0" w:line="167"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Educating our clients is also an important component of our service. Not only do we teach our users the nuances of our software and content offerings, but also FactSet personnel are often thought-leaders in a particular area of financial modeling in our rapidly evolving industry. As a result, clients look to FactSet as a trusted partner to stay on the forefront of financial modeling and analysis.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20" w:type="dxa"/>
            <w:vAlign w:val="bottom"/>
            <w:gridSpan w:val="2"/>
          </w:tcPr>
          <w:p>
            <w:pPr>
              <w:spacing w:after="0"/>
              <w:rPr>
                <w:sz w:val="20"/>
                <w:szCs w:val="20"/>
                <w:color w:val="auto"/>
              </w:rPr>
            </w:pPr>
            <w:r>
              <w:rPr>
                <w:rFonts w:ascii="Arial" w:cs="Arial" w:eastAsia="Arial" w:hAnsi="Arial"/>
                <w:sz w:val="16"/>
                <w:szCs w:val="16"/>
                <w:color w:val="auto"/>
              </w:rPr>
              <w:t>Key Metrics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220" w:type="dxa"/>
            <w:vAlign w:val="bottom"/>
            <w:gridSpan w:val="2"/>
          </w:tcPr>
          <w:p>
            <w:pPr>
              <w:spacing w:after="0"/>
              <w:rPr>
                <w:sz w:val="20"/>
                <w:szCs w:val="20"/>
                <w:color w:val="auto"/>
              </w:rPr>
            </w:pPr>
            <w:r>
              <w:rPr>
                <w:rFonts w:ascii="Arial" w:cs="Arial" w:eastAsia="Arial" w:hAnsi="Arial"/>
                <w:sz w:val="16"/>
                <w:szCs w:val="16"/>
                <w:color w:val="auto"/>
              </w:rPr>
              <w:t>The following is a review of our key metrics: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460"/>
              <w:spacing w:after="0"/>
              <w:rPr>
                <w:sz w:val="20"/>
                <w:szCs w:val="20"/>
                <w:color w:val="auto"/>
              </w:rPr>
            </w:pPr>
            <w:r>
              <w:rPr>
                <w:rFonts w:ascii="Arial" w:cs="Arial" w:eastAsia="Arial" w:hAnsi="Arial"/>
                <w:sz w:val="16"/>
                <w:szCs w:val="16"/>
                <w:color w:val="auto"/>
                <w:w w:val="95"/>
              </w:rPr>
              <w:t>As of and for the</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 except per share data, client and user counts)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Year ended August 31,</w:t>
            </w:r>
          </w:p>
        </w:tc>
        <w:tc>
          <w:tcPr>
            <w:tcW w:w="1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6"/>
                <w:szCs w:val="16"/>
                <w:color w:val="auto"/>
              </w:rPr>
            </w:pPr>
          </w:p>
        </w:tc>
        <w:tc>
          <w:tcPr>
            <w:tcW w:w="1680" w:type="dxa"/>
            <w:vAlign w:val="bottom"/>
          </w:tcPr>
          <w:p>
            <w:pPr>
              <w:jc w:val="right"/>
              <w:ind w:right="840"/>
              <w:spacing w:after="0"/>
              <w:rPr>
                <w:sz w:val="20"/>
                <w:szCs w:val="20"/>
                <w:color w:val="auto"/>
              </w:rPr>
            </w:pPr>
            <w:r>
              <w:rPr>
                <w:rFonts w:ascii="Arial" w:cs="Arial" w:eastAsia="Arial" w:hAnsi="Arial"/>
                <w:sz w:val="16"/>
                <w:szCs w:val="16"/>
                <w:color w:val="auto"/>
              </w:rPr>
              <w:t>2017</w:t>
            </w:r>
          </w:p>
        </w:tc>
        <w:tc>
          <w:tcPr>
            <w:tcW w:w="1340" w:type="dxa"/>
            <w:vAlign w:val="bottom"/>
          </w:tcPr>
          <w:p>
            <w:pPr>
              <w:ind w:left="360"/>
              <w:spacing w:after="0"/>
              <w:rPr>
                <w:sz w:val="20"/>
                <w:szCs w:val="20"/>
                <w:color w:val="auto"/>
              </w:rPr>
            </w:pPr>
            <w:r>
              <w:rPr>
                <w:rFonts w:ascii="Arial" w:cs="Arial" w:eastAsia="Arial" w:hAnsi="Arial"/>
                <w:sz w:val="16"/>
                <w:szCs w:val="16"/>
                <w:color w:val="auto"/>
              </w:rPr>
              <w:t>Change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1,350.1</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1,221.2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366.2</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80"/>
              <w:spacing w:after="0"/>
              <w:rPr>
                <w:sz w:val="20"/>
                <w:szCs w:val="20"/>
                <w:color w:val="auto"/>
              </w:rPr>
            </w:pPr>
            <w:r>
              <w:rPr>
                <w:rFonts w:ascii="Arial" w:cs="Arial" w:eastAsia="Arial" w:hAnsi="Arial"/>
                <w:sz w:val="16"/>
                <w:szCs w:val="16"/>
                <w:color w:val="auto"/>
              </w:rPr>
              <w:t>352.1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267.1</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258.3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Diluted EPS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6.78</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60"/>
              <w:spacing w:after="0"/>
              <w:rPr>
                <w:sz w:val="20"/>
                <w:szCs w:val="20"/>
                <w:color w:val="auto"/>
              </w:rPr>
            </w:pPr>
            <w:r>
              <w:rPr>
                <w:rFonts w:ascii="Arial" w:cs="Arial" w:eastAsia="Arial" w:hAnsi="Arial"/>
                <w:sz w:val="16"/>
                <w:szCs w:val="16"/>
                <w:color w:val="auto"/>
              </w:rPr>
              <w:t>6.51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line="220" w:lineRule="exact"/>
              <w:rPr>
                <w:sz w:val="20"/>
                <w:szCs w:val="20"/>
                <w:color w:val="auto"/>
              </w:rPr>
            </w:pPr>
            <w:r>
              <w:rPr>
                <w:rFonts w:ascii="Arial" w:cs="Arial" w:eastAsia="Arial" w:hAnsi="Arial"/>
                <w:sz w:val="25"/>
                <w:szCs w:val="25"/>
                <w:color w:val="auto"/>
                <w:vertAlign w:val="subscript"/>
              </w:rPr>
              <w:t>ASV</w:t>
            </w:r>
            <w:r>
              <w:rPr>
                <w:rFonts w:ascii="Arial" w:cs="Arial" w:eastAsia="Arial" w:hAnsi="Arial"/>
                <w:sz w:val="12"/>
                <w:szCs w:val="12"/>
                <w:color w:val="auto"/>
              </w:rPr>
              <w:t>(1)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1,393.1</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1,316.6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line="228" w:lineRule="exact"/>
              <w:rPr>
                <w:sz w:val="20"/>
                <w:szCs w:val="20"/>
                <w:color w:val="auto"/>
              </w:rPr>
            </w:pPr>
            <w:r>
              <w:rPr>
                <w:rFonts w:ascii="Arial" w:cs="Arial" w:eastAsia="Arial" w:hAnsi="Arial"/>
                <w:sz w:val="16"/>
                <w:szCs w:val="16"/>
                <w:color w:val="auto"/>
              </w:rPr>
              <w:t>Clients</w:t>
            </w:r>
            <w:r>
              <w:rPr>
                <w:rFonts w:ascii="Arial" w:cs="Arial" w:eastAsia="Arial" w:hAnsi="Arial"/>
                <w:sz w:val="26"/>
                <w:szCs w:val="26"/>
                <w:color w:val="auto"/>
                <w:vertAlign w:val="superscript"/>
              </w:rPr>
              <w:t>(3)</w:t>
            </w:r>
          </w:p>
        </w:tc>
        <w:tc>
          <w:tcPr>
            <w:tcW w:w="320" w:type="dxa"/>
            <w:vAlign w:val="bottom"/>
          </w:tcPr>
          <w:p>
            <w:pPr>
              <w:spacing w:after="0"/>
              <w:rPr>
                <w:sz w:val="19"/>
                <w:szCs w:val="19"/>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5,142</w:t>
            </w:r>
          </w:p>
        </w:tc>
        <w:tc>
          <w:tcPr>
            <w:tcW w:w="260" w:type="dxa"/>
            <w:vAlign w:val="bottom"/>
          </w:tcPr>
          <w:p>
            <w:pPr>
              <w:spacing w:after="0"/>
              <w:rPr>
                <w:sz w:val="19"/>
                <w:szCs w:val="19"/>
                <w:color w:val="auto"/>
              </w:rPr>
            </w:pPr>
          </w:p>
        </w:tc>
        <w:tc>
          <w:tcPr>
            <w:tcW w:w="1680" w:type="dxa"/>
            <w:vAlign w:val="bottom"/>
          </w:tcPr>
          <w:p>
            <w:pPr>
              <w:jc w:val="right"/>
              <w:ind w:right="280"/>
              <w:spacing w:after="0"/>
              <w:rPr>
                <w:sz w:val="20"/>
                <w:szCs w:val="20"/>
                <w:color w:val="auto"/>
              </w:rPr>
            </w:pPr>
            <w:r>
              <w:rPr>
                <w:rFonts w:ascii="Arial" w:cs="Arial" w:eastAsia="Arial" w:hAnsi="Arial"/>
                <w:sz w:val="16"/>
                <w:szCs w:val="16"/>
                <w:color w:val="auto"/>
              </w:rPr>
              <w:t>4,744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Users</w:t>
            </w:r>
            <w:r>
              <w:rPr>
                <w:rFonts w:ascii="Arial" w:cs="Arial" w:eastAsia="Arial" w:hAnsi="Arial"/>
                <w:sz w:val="26"/>
                <w:szCs w:val="26"/>
                <w:color w:val="auto"/>
                <w:vertAlign w:val="superscript"/>
              </w:rPr>
              <w:t>(4)</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91,897</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88,846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80" w:right="60" w:hanging="224"/>
        <w:spacing w:after="0" w:line="192" w:lineRule="auto"/>
        <w:tabs>
          <w:tab w:leader="none" w:pos="280" w:val="left"/>
        </w:tabs>
        <w:numPr>
          <w:ilvl w:val="0"/>
          <w:numId w:val="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During the third quarter of fiscal 2017, FactSet excluded professional services fees billed within the last 12 months, which are not subscription based. As such, ASV excluded professional service fees of $21.6 million and $17.2 million as of August 31, 2018 and 2017, respectively.</w:t>
      </w:r>
    </w:p>
    <w:p>
      <w:pPr>
        <w:spacing w:after="0" w:line="181" w:lineRule="exact"/>
        <w:rPr>
          <w:rFonts w:ascii="Arial" w:cs="Arial" w:eastAsia="Arial" w:hAnsi="Arial"/>
          <w:sz w:val="27"/>
          <w:szCs w:val="27"/>
          <w:i w:val="1"/>
          <w:iCs w:val="1"/>
          <w:color w:val="auto"/>
          <w:vertAlign w:val="superscript"/>
        </w:rPr>
      </w:pPr>
    </w:p>
    <w:p>
      <w:pPr>
        <w:ind w:left="280" w:right="220" w:hanging="224"/>
        <w:spacing w:after="0" w:line="192" w:lineRule="auto"/>
        <w:tabs>
          <w:tab w:leader="none" w:pos="280" w:val="left"/>
        </w:tabs>
        <w:numPr>
          <w:ilvl w:val="0"/>
          <w:numId w:val="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ASV grew 5.8% year over year, of which, 5.7% represents organic ASV growth. Organic ASV excludes ASV from acquisitions and dispositions completed within the last 12 months and the effects of foreign currency.</w:t>
      </w:r>
    </w:p>
    <w:p>
      <w:pPr>
        <w:spacing w:after="0" w:line="181" w:lineRule="exact"/>
        <w:rPr>
          <w:rFonts w:ascii="Arial" w:cs="Arial" w:eastAsia="Arial" w:hAnsi="Arial"/>
          <w:sz w:val="27"/>
          <w:szCs w:val="27"/>
          <w:i w:val="1"/>
          <w:iCs w:val="1"/>
          <w:color w:val="auto"/>
          <w:vertAlign w:val="superscript"/>
        </w:rPr>
      </w:pPr>
    </w:p>
    <w:p>
      <w:pPr>
        <w:ind w:left="280" w:right="200" w:hanging="224"/>
        <w:spacing w:after="0" w:line="192" w:lineRule="auto"/>
        <w:tabs>
          <w:tab w:leader="none" w:pos="280" w:val="left"/>
        </w:tabs>
        <w:numPr>
          <w:ilvl w:val="0"/>
          <w:numId w:val="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In the second quarter of fiscal 2017, we changed our client count definition to capture clients with ASV greater than $10,000 versus the previous metric of clients with ASV greater than $24,000. The prior year client count was restated to reflect this change for comparison purposes.</w:t>
      </w:r>
    </w:p>
    <w:p>
      <w:pPr>
        <w:spacing w:after="0" w:line="181" w:lineRule="exact"/>
        <w:rPr>
          <w:rFonts w:ascii="Arial" w:cs="Arial" w:eastAsia="Arial" w:hAnsi="Arial"/>
          <w:sz w:val="27"/>
          <w:szCs w:val="27"/>
          <w:i w:val="1"/>
          <w:iCs w:val="1"/>
          <w:color w:val="auto"/>
          <w:vertAlign w:val="superscript"/>
        </w:rPr>
      </w:pPr>
    </w:p>
    <w:p>
      <w:pPr>
        <w:ind w:left="280" w:right="260" w:hanging="224"/>
        <w:spacing w:after="0" w:line="192" w:lineRule="auto"/>
        <w:tabs>
          <w:tab w:leader="none" w:pos="280" w:val="left"/>
        </w:tabs>
        <w:numPr>
          <w:ilvl w:val="0"/>
          <w:numId w:val="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In the second quarter of fiscal 2017, we changed our user count definition to include users from workstations previously not captured due to certain product bundling and users of the StreetAccount web product. The prior year user count was restated to reflect this change for comparison purposes.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Annual Subscription Value Growth</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ASV at any given point in time represents the forward-looking revenues for the next twelve months from all subscription services currently being supplied to clients, and excludes professional services fees billed in the last twelve months, which are not subscription-based. With proper notice to us, our clients can add to, delete portions of, or terminate service at any time, subject to certain contractual limitations. As of August 31, 2018, our ASV totaled $1.39 billion, up 5.7% organically over the prior year. Organic ASV excludes ASV from acquisitions and dispositions completed within the last 12 months and the effects of foreign currency. The increase in ASV was driven by growth in our geographic segments and achievements across each of our workflow solutions which include Research, Analytics, CTS, and Wealth. Additionally, we have leveraged relationships with existing clients to increase year over year sales through cross-selling and upselling of our diversified product suite.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6"/>
          <w:szCs w:val="16"/>
          <w:color w:val="auto"/>
        </w:rPr>
        <w:t>Buy-side and sell-side ASV growth rates for the last 12 months were 5.4% and 7.3% respectively. Buy-side clients account for 83.9% of ASV, while the remainder is derived from sell-side firms that perform mergers and acquisitions advisory work, capital markets services and equity research.</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As of August 31, 2018, ASV from our U.S. operations was $868.7 million, an increase of 5.3% organically from a year ago. ASV from international operations was $524.4 million, an increase of 6.3% organically from a year ago. The growth in ASV in both the U.S. operations and international operations was driven primarily by higher sales across all workflow solutions and new business additions across the operations, primarily in the U.S segment.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Client and User Additions</w:t>
      </w:r>
    </w:p>
    <w:p>
      <w:pPr>
        <w:spacing w:after="0" w:line="20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total client count was 5,142 as of August 31, 2018, representing a net increase of 398 clients in the last twelve months. In the second quarter of fiscal 2017, we changed our client count definition to capture clients with ASV greater than $10,000 versus the previous metric of clients with ASV greater than $24,000. The prior year client count was restated to reflect this change for comparison purposes. Client count has increased by 398 or 8.4% in the last twelve months primarily from wealth managers, corporate firms and institutional asset managers. These firm types contributed to over 60% of the net user additions during the fiscal 2018 year. We continue to focus on expanding and cultivating relationships with our current client base as it is essential to our long-term growth strategy and assists in our upsell of workstations, applications and content at our existing clients.</w:t>
      </w:r>
    </w:p>
    <w:p>
      <w:pPr>
        <w:spacing w:after="0" w:line="168"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As of August 31, 2018, there were 91,897 professionals using FactSet. In the second quarter of fiscal 2017, FactSet changed its user count definition to include users from workstations previously not captured due to certain product bundling and users of the StreetAccount web product. The prior year user count was restated to reflect this change for comparison purposes. User count increased by 3,051 users in the past twelve months primarily driven by an increase in workstation sales.</w:t>
      </w:r>
    </w:p>
    <w:p>
      <w:pPr>
        <w:spacing w:after="0" w:line="146" w:lineRule="exact"/>
        <w:rPr>
          <w:sz w:val="20"/>
          <w:szCs w:val="20"/>
          <w:color w:val="auto"/>
        </w:rPr>
      </w:pPr>
    </w:p>
    <w:p>
      <w:pPr>
        <w:spacing w:after="0" w:line="319" w:lineRule="auto"/>
        <w:rPr>
          <w:sz w:val="20"/>
          <w:szCs w:val="20"/>
          <w:color w:val="auto"/>
        </w:rPr>
      </w:pPr>
      <w:r>
        <w:rPr>
          <w:rFonts w:ascii="Arial" w:cs="Arial" w:eastAsia="Arial" w:hAnsi="Arial"/>
          <w:sz w:val="14"/>
          <w:szCs w:val="14"/>
          <w:color w:val="auto"/>
        </w:rPr>
        <w:t>Annual client retention as of August 31, 2018, was greater than 95% of ASV and 91% when expressed as a percentage of clients. Our successful client retention demonstrates that a majority of our clients maintain their subscriptions to FactSet year over year, highlighting the strength of our business strategy. As of August 31, 2018, our largest individual client accounted for approximately 2% of total subscriptions, and annual subscriptions from our ten largest clients did not surpass 15% of total client subscriptions.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Returning Value to Stockholders</w:t>
      </w:r>
    </w:p>
    <w:p>
      <w:pPr>
        <w:spacing w:after="0" w:line="200"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On August 10, 2018, our Board of Directors approved a regular quarterly dividend of $0.64 per share. The cash dividend of $24.4 million was paid on September 18, 2018 to common stockholders of record at the close of business on August 31, 2018. We repurchased 1.5 million shares for $302.4 million during fiscal 2018 under our existing share repurchase program.</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On March 26, 2018, our Board of Directors, approved a $300.0 million expansion of the existing share repurchase program. Including this expansion, $241.7 million is available for future share repurchases as of August 31, 2018.</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Capital expenditures were $33.5 million during fiscal 2018, compared to $36.9 million a year ago. Capital expenditures of $24.2 million or 72% of our capital expenditures during fiscal 2018 related to upgrades of existing computer systems in Norwalk, additional server equipment for our data centers located in New Jersey and Virginia, as well as laptop computers and peripherals for new and existing employees. The remainder of our capital expenditures was primarily for the build out of office space including $2.8 million at our Hong Kong location, $2.2 million at our India locations, and $1.5 million at our Netherlands location.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Results of Operations</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For an understanding of the significant factors that influenced our performance during the past three fiscal years, the following discussion should be read in conjunction with the Consolidated Financial Statements and the Notes to Consolidated Financial Statements presented in this Report on Form 10-K.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color w:val="auto"/>
              </w:rPr>
              <w:t>Years ended August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17"/>
                <w:szCs w:val="17"/>
                <w:color w:val="auto"/>
              </w:rPr>
            </w:pPr>
          </w:p>
        </w:tc>
        <w:tc>
          <w:tcPr>
            <w:tcW w:w="1160" w:type="dxa"/>
            <w:vAlign w:val="bottom"/>
          </w:tcPr>
          <w:p>
            <w:pPr>
              <w:jc w:val="right"/>
              <w:ind w:right="600"/>
              <w:spacing w:after="0"/>
              <w:rPr>
                <w:sz w:val="20"/>
                <w:szCs w:val="20"/>
                <w:color w:val="auto"/>
              </w:rPr>
            </w:pPr>
            <w:r>
              <w:rPr>
                <w:rFonts w:ascii="Arial" w:cs="Arial" w:eastAsia="Arial" w:hAnsi="Arial"/>
                <w:sz w:val="16"/>
                <w:szCs w:val="16"/>
                <w:color w:val="auto"/>
              </w:rPr>
              <w:t>2017</w:t>
            </w:r>
          </w:p>
        </w:tc>
        <w:tc>
          <w:tcPr>
            <w:tcW w:w="1260" w:type="dxa"/>
            <w:vAlign w:val="bottom"/>
          </w:tcPr>
          <w:p>
            <w:pPr>
              <w:jc w:val="right"/>
              <w:ind w:right="440"/>
              <w:spacing w:after="0"/>
              <w:rPr>
                <w:sz w:val="20"/>
                <w:szCs w:val="20"/>
                <w:color w:val="auto"/>
              </w:rPr>
            </w:pPr>
            <w:r>
              <w:rPr>
                <w:rFonts w:ascii="Arial" w:cs="Arial" w:eastAsia="Arial" w:hAnsi="Arial"/>
                <w:sz w:val="16"/>
                <w:szCs w:val="16"/>
                <w:color w:val="auto"/>
              </w:rPr>
              <w:t>Change</w:t>
            </w:r>
          </w:p>
        </w:tc>
        <w:tc>
          <w:tcPr>
            <w:tcW w:w="300" w:type="dxa"/>
            <w:vAlign w:val="bottom"/>
          </w:tcPr>
          <w:p>
            <w:pPr>
              <w:spacing w:after="0"/>
              <w:rPr>
                <w:sz w:val="17"/>
                <w:szCs w:val="17"/>
                <w:color w:val="auto"/>
              </w:rPr>
            </w:pPr>
          </w:p>
        </w:tc>
        <w:tc>
          <w:tcPr>
            <w:tcW w:w="1000" w:type="dxa"/>
            <w:vAlign w:val="bottom"/>
          </w:tcPr>
          <w:p>
            <w:pPr>
              <w:jc w:val="right"/>
              <w:ind w:right="440"/>
              <w:spacing w:after="0"/>
              <w:rPr>
                <w:sz w:val="20"/>
                <w:szCs w:val="20"/>
                <w:color w:val="auto"/>
              </w:rPr>
            </w:pPr>
            <w:r>
              <w:rPr>
                <w:rFonts w:ascii="Arial" w:cs="Arial" w:eastAsia="Arial" w:hAnsi="Arial"/>
                <w:sz w:val="16"/>
                <w:szCs w:val="16"/>
                <w:color w:val="auto"/>
              </w:rPr>
              <w:t>2017</w:t>
            </w:r>
          </w:p>
        </w:tc>
        <w:tc>
          <w:tcPr>
            <w:tcW w:w="340" w:type="dxa"/>
            <w:vAlign w:val="bottom"/>
          </w:tcPr>
          <w:p>
            <w:pPr>
              <w:spacing w:after="0"/>
              <w:rPr>
                <w:sz w:val="17"/>
                <w:szCs w:val="17"/>
                <w:color w:val="auto"/>
              </w:rPr>
            </w:pPr>
          </w:p>
        </w:tc>
        <w:tc>
          <w:tcPr>
            <w:tcW w:w="1160" w:type="dxa"/>
            <w:vAlign w:val="bottom"/>
          </w:tcPr>
          <w:p>
            <w:pPr>
              <w:jc w:val="right"/>
              <w:ind w:right="600"/>
              <w:spacing w:after="0"/>
              <w:rPr>
                <w:sz w:val="20"/>
                <w:szCs w:val="20"/>
                <w:color w:val="auto"/>
              </w:rPr>
            </w:pPr>
            <w:r>
              <w:rPr>
                <w:rFonts w:ascii="Arial" w:cs="Arial" w:eastAsia="Arial" w:hAnsi="Arial"/>
                <w:sz w:val="16"/>
                <w:szCs w:val="16"/>
                <w:color w:val="auto"/>
              </w:rPr>
              <w:t>2016</w:t>
            </w:r>
          </w:p>
        </w:tc>
        <w:tc>
          <w:tcPr>
            <w:tcW w:w="1080" w:type="dxa"/>
            <w:vAlign w:val="bottom"/>
          </w:tcPr>
          <w:p>
            <w:pPr>
              <w:ind w:left="280"/>
              <w:spacing w:after="0"/>
              <w:rPr>
                <w:sz w:val="20"/>
                <w:szCs w:val="20"/>
                <w:color w:val="auto"/>
              </w:rPr>
            </w:pPr>
            <w:r>
              <w:rPr>
                <w:rFonts w:ascii="Arial" w:cs="Arial" w:eastAsia="Arial" w:hAnsi="Arial"/>
                <w:sz w:val="16"/>
                <w:szCs w:val="16"/>
                <w:color w:val="auto"/>
              </w:rPr>
              <w:t>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1,350,145</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1,221,179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1,221,179</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1,127,092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Cost of services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659,296</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566,580</w:t>
            </w:r>
          </w:p>
        </w:tc>
        <w:tc>
          <w:tcPr>
            <w:tcW w:w="126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566,580</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487,409</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324,645</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302,464</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302,464</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290,007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366,204</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352,135</w:t>
            </w: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352,135</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349,676</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267,085</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258,259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258,259</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338,815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6.78</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6.51</w:t>
            </w: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6.51</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80"/>
              <w:spacing w:after="0"/>
              <w:rPr>
                <w:sz w:val="20"/>
                <w:szCs w:val="20"/>
                <w:color w:val="auto"/>
              </w:rPr>
            </w:pPr>
            <w:r>
              <w:rPr>
                <w:rFonts w:ascii="Arial" w:cs="Arial" w:eastAsia="Arial" w:hAnsi="Arial"/>
                <w:sz w:val="16"/>
                <w:szCs w:val="16"/>
                <w:color w:val="auto"/>
              </w:rPr>
              <w:t>8.19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common shares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39,377</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39,642</w:t>
            </w:r>
          </w:p>
        </w:tc>
        <w:tc>
          <w:tcPr>
            <w:tcW w:w="1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39,642</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41,365</w:t>
            </w: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Revenues in fiscal 2018 were $1.35 billion, increasing 10.6% compared to fiscal 2017. Our organic revenue growth rate for fiscal 2018 was 5.6% compared to the prior year period, with cancellations remaining relatively flat during fiscal 2018. Organic revenues exclude the effects of acquisitions and dispositions completed in the last 12 months and foreign currency in all periods. The increase in revenues was throughout our geographical segments and workflow solutions. The U.S. segment revenue was up 7.4% compared to the prior year period, primarily driven by additional clients, expansion from within our existing client base and an annual price increase, while holding client cancellations steady. Our international operations also grew as demonstrated by our 17.3% growth in Europe and a 13.1% increase in Asia Pacific. In addition to revenue growth amongst the geographic segments, achievements were also made across each workflow solution which include Research, Analytics, CTS, and Wealth. The Research workflow growth was driven by additional users due to banking new hires. The growth in the Analytics workflow was primarily attributed to increased sales in the portfolio analytics, reporting, and risk platforms, coupled with the enhancement of our multi-asset class risk model offerings, which strengthened our position in the analytics market. The CTS workflow growth was driven by increased demand for our proprietary content data feeds while new business sales drove the Wealth workflow growth.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260"/>
        <w:spacing w:after="0" w:line="319" w:lineRule="auto"/>
        <w:rPr>
          <w:sz w:val="20"/>
          <w:szCs w:val="20"/>
          <w:color w:val="auto"/>
        </w:rPr>
      </w:pPr>
      <w:r>
        <w:rPr>
          <w:rFonts w:ascii="Arial" w:cs="Arial" w:eastAsia="Arial" w:hAnsi="Arial"/>
          <w:sz w:val="14"/>
          <w:szCs w:val="14"/>
          <w:color w:val="auto"/>
        </w:rPr>
        <w:t>Revenues in fiscal 2017 were $1.22 billion, up 8.3% compared to fiscal 2016. Our organic revenue growth rate for fiscal 2017 increased 6.9% compared to fiscal 2016. The increase in revenues was primarily driven by organic ASV growth, continued momentum for our multi-asset class analytic solutions, workstations, data feeds products and the additions to our product offerings from our fiscal 2017 acquisitions. Offsetting these positive factors, we experienced cancellations due to firm consolidations and failures.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gridSpan w:val="2"/>
          </w:tcPr>
          <w:p>
            <w:pPr>
              <w:spacing w:after="0"/>
              <w:rPr>
                <w:sz w:val="20"/>
                <w:szCs w:val="20"/>
                <w:color w:val="auto"/>
              </w:rPr>
            </w:pPr>
            <w:r>
              <w:rPr>
                <w:rFonts w:ascii="Arial" w:cs="Arial" w:eastAsia="Arial" w:hAnsi="Arial"/>
                <w:sz w:val="16"/>
                <w:szCs w:val="16"/>
                <w:color w:val="auto"/>
              </w:rPr>
              <w:t>Revenues by Geographic Segment</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2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w w:val="90"/>
              </w:rPr>
              <w:t>Years ended August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28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841,908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784,146</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755,492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Pr>
          <w:p>
            <w:pPr>
              <w:ind w:left="560"/>
              <w:spacing w:after="0"/>
              <w:rPr>
                <w:sz w:val="20"/>
                <w:szCs w:val="20"/>
                <w:color w:val="auto"/>
              </w:rPr>
            </w:pPr>
            <w:r>
              <w:rPr>
                <w:rFonts w:ascii="Arial" w:cs="Arial" w:eastAsia="Arial" w:hAnsi="Arial"/>
                <w:sz w:val="16"/>
                <w:szCs w:val="16"/>
                <w:i w:val="1"/>
                <w:iCs w:val="1"/>
                <w:color w:val="auto"/>
              </w:rPr>
              <w:t>% of revenues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62.4%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64.2%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387,589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330,332</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277,682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color w:val="auto"/>
              </w:rPr>
              <w:t>Asia Pacific</w:t>
            </w:r>
          </w:p>
        </w:tc>
        <w:tc>
          <w:tcPr>
            <w:tcW w:w="2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120,648</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106,701</w:t>
            </w: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93,918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508,237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437,033</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371,600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tcPr>
          <w:p>
            <w:pPr>
              <w:ind w:left="560"/>
              <w:spacing w:after="0"/>
              <w:rPr>
                <w:sz w:val="20"/>
                <w:szCs w:val="20"/>
                <w:color w:val="auto"/>
              </w:rPr>
            </w:pPr>
            <w:r>
              <w:rPr>
                <w:rFonts w:ascii="Arial" w:cs="Arial" w:eastAsia="Arial" w:hAnsi="Arial"/>
                <w:sz w:val="16"/>
                <w:szCs w:val="16"/>
                <w:i w:val="1"/>
                <w:iCs w:val="1"/>
                <w:color w:val="auto"/>
              </w:rPr>
              <w:t>% of revenues</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37.6%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35.8%</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33.0%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Consolidated</w:t>
            </w: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1,350,145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1,221,179</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1,127,092</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Revenue from our U.S. segment increased 7.4% to $841.9 million in fiscal 2018 compared to $784.1 million in fiscal 2017, due to organic ASV growth across our workflow solutions and strong performance executing new business sales. Cancellations remained relatively flat for fiscal 2018 showing signs of stability. Excluding the effects of acquisitions and dispositions, organic revenue in the U.S. was up 5.1% compared to fiscal 2017. Revenue from our U.S. operations accounted for 62.4% of our consolidated revenues during fiscal 2018, a decrease from 64.2% in fiscal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27" w:name="page28"/>
    <w:bookmarkEnd w:id="27"/>
    <w:p>
      <w:pPr>
        <w:ind w:right="520"/>
        <w:spacing w:after="0" w:line="277" w:lineRule="auto"/>
        <w:rPr>
          <w:sz w:val="20"/>
          <w:szCs w:val="20"/>
          <w:color w:val="auto"/>
        </w:rPr>
      </w:pPr>
      <w:r>
        <w:rPr>
          <w:rFonts w:ascii="Arial" w:cs="Arial" w:eastAsia="Arial" w:hAnsi="Arial"/>
          <w:sz w:val="16"/>
          <w:szCs w:val="16"/>
          <w:color w:val="auto"/>
        </w:rPr>
        <w:t>Revenue from our international operations increased 16.3% in fiscal 2018 compared to fiscal 2017, due to growth across our workflow solutions, partially offset by higher cancellations compared to the prior year.</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European revenue increased 17.3% to $387.6 million in fiscal 2018 compared to $330.3 in fiscal 2017. Excluding the effects of acquisitions and dispositions completed in the last 12 months and foreign currency, European organic revenue grew 9.4% in fiscal 2018 compared to fiscal 2017. Foreign currency exchange rate fluctuations increased our European growth rate by 150 basis points.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Asia Pacific revenue increased 13.1% during fiscal 2018, compared with fiscal 2017. Excluding the effects of acquisitions and dispositions completed in the last 12 months and foreign currency, Asia Pacific organic revenue grew 12.9% during fiscal 2018 compared to fiscal 2017, with foreign currency exchange rate fluctuations remaining flat compared to prior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180"/>
        <w:spacing w:after="0" w:line="308" w:lineRule="auto"/>
        <w:rPr>
          <w:sz w:val="20"/>
          <w:szCs w:val="20"/>
          <w:color w:val="auto"/>
        </w:rPr>
      </w:pPr>
      <w:r>
        <w:rPr>
          <w:rFonts w:ascii="Arial" w:cs="Arial" w:eastAsia="Arial" w:hAnsi="Arial"/>
          <w:sz w:val="14"/>
          <w:szCs w:val="14"/>
          <w:color w:val="auto"/>
        </w:rPr>
        <w:t>Revenue from our U.S. segment increased 3.8% to $784.1 million in fiscal 2017 compared to $755.5 million in fiscal 2016. Our U.S. revenue growth reflected the performance from both our Analytics and CTS workflows, as well as revenue from acquisitions completed in fiscal 2017. Excluding the effects of acquisitions and dispositions completed in the last 12 months, organic revenue in the U.S. increased 6.2% compared to fiscal 2016. Revenue from our U.S. operations accounted for 64.2% of our consolidated revenues during fiscal 2017, a decrease from 67.0% in fiscal 2016 due to the acquisitions completed in fiscal 2017 which primarily increased international revenue.</w:t>
      </w:r>
    </w:p>
    <w:p>
      <w:pPr>
        <w:spacing w:after="0" w:line="13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European revenue increased 19.0% in fiscal 2017 compared to fiscal 2016 due to solid growth in both our CTS and Analytics workflows as well as, client price increases, and acquisitions completed in 2017, partially offset by the impact of foreign currency translation. Foreign currency exchange rate fluctuations reduced our European growth rate by 40 basis points. Excluding the effects of acquisitions and dispositions completed in the last 12 months and foreign currency, European revenue grew 8.3% compared to fiscal 2016.</w:t>
      </w:r>
    </w:p>
    <w:p>
      <w:pPr>
        <w:spacing w:after="0" w:line="167" w:lineRule="exact"/>
        <w:rPr>
          <w:sz w:val="20"/>
          <w:szCs w:val="20"/>
          <w:color w:val="auto"/>
        </w:rPr>
      </w:pPr>
    </w:p>
    <w:p>
      <w:pPr>
        <w:ind w:right="600"/>
        <w:spacing w:after="0" w:line="264" w:lineRule="auto"/>
        <w:rPr>
          <w:sz w:val="20"/>
          <w:szCs w:val="20"/>
          <w:color w:val="auto"/>
        </w:rPr>
      </w:pPr>
      <w:r>
        <w:rPr>
          <w:rFonts w:ascii="Arial" w:cs="Arial" w:eastAsia="Arial" w:hAnsi="Arial"/>
          <w:sz w:val="16"/>
          <w:szCs w:val="16"/>
          <w:color w:val="auto"/>
        </w:rPr>
        <w:t>The Asia Pacific revenue growth rate of 13.6% was primarily due to increased subscriptions to our content, analytic solutions and core workstation product offerings. Additionally, foreign currency exchange rate fluctuations increased our Asia Pacific growth rate by 46 basis points. Excluding the effects of acquisitions and dispositions completed in the last 12 months and foreign currency, Asia Pacific revenue grew 12.7% compared to fiscal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66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color w:val="auto"/>
                <w:w w:val="90"/>
              </w:rPr>
              <w:t>Years ended August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660" w:type="dxa"/>
            <w:vAlign w:val="bottom"/>
            <w:gridSpan w:val="2"/>
            <w:vMerge w:val="continue"/>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services</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659,296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566,580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487,409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Selling, general and administrative (“SG&amp;A”)</w:t>
            </w: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324,645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302,464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290,007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983,941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869,044</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777,416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366,204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352,135</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349,676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40" w:type="dxa"/>
            <w:vAlign w:val="bottom"/>
          </w:tcPr>
          <w:p>
            <w:pPr>
              <w:ind w:left="260"/>
              <w:spacing w:after="0"/>
              <w:rPr>
                <w:sz w:val="20"/>
                <w:szCs w:val="20"/>
                <w:color w:val="auto"/>
              </w:rPr>
            </w:pPr>
            <w:r>
              <w:rPr>
                <w:rFonts w:ascii="Arial" w:cs="Arial" w:eastAsia="Arial" w:hAnsi="Arial"/>
                <w:sz w:val="16"/>
                <w:szCs w:val="16"/>
                <w:i w:val="1"/>
                <w:iCs w:val="1"/>
                <w:color w:val="auto"/>
              </w:rPr>
              <w:t>Operating Margin</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27.1%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28.8%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31.0%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Cost of Services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Cost of services increased 16.4% to $659.3 million compared to the prior fiscal year. Cost of services, expressed as a percentage of revenues, was 48.8% during fiscal 2018, an increase of 240 basis points over the prior year period. This increase was primarily due to higher employee compensation costs driven by increased employee headcount and restructuring actions, incremental data costs from recent acquisitions and additional users as well as amortization of intangible assets associated with our recent acquisitions. This increase was partially offset by a reduction in stock-based compensation expenses from accelerated vesting in the prior year.</w:t>
      </w:r>
    </w:p>
    <w:p>
      <w:pPr>
        <w:spacing w:after="0" w:line="150"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Employee compensation, including stock-based compensation, when expressed as a percentage of revenues increased 100 basis points in fiscal 2018, compared to fiscal 2017. The increase is primarily due to the hiring of 497 net new employees over the last 12 months, with the majority of their compensation recorded in cost of services due to their involvement with content collection, engineering and product development. Employee compensation expense further increased due to headcount expansion from prior year acquisitions that were included for a full year in fiscal 2018, while fiscal 2017 only included a partial year amount. In addition, during fiscal 2018 we incurred $17.4 million of restructuring charges primarily related to severance of which $8.5 million was recorded within cost of services. Data costs, when expressed as a percentage of revenues, increased 60 basis points due primarily from our recent acquisitions and higher variable data costs associated with additional users. Amortization of acquired intangible assets, when expressed as a percentage of revenues, increased 20 basis points in fiscal 2018 compared to the same period a year ago, primarily due to recent acquisitions, which added $93.2 million of intangible assets to be amortized over a weighted-average life of 11.5 years. These intangible assets were amortized for the full fiscal 2018, while, fiscal 2017 did not include a similar amount of acquisition amortization due to the dates of each acquisition.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Cost of services increased 16.2% to $566.6 million in fiscal 2017, compared to fiscal 2016. Cost of services, expressed as a percentage of revenues, was 46.4% in fiscal 2017, an increase of 320 basis points compared to fiscal 2016. The increase was primarily driven by higher employee compensation, including stock-based compensation, computer related expenses, amortization of intangibles and acquisition-related costs.</w:t>
      </w:r>
    </w:p>
    <w:p>
      <w:pPr>
        <w:spacing w:after="0" w:line="162"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Employee compensation, including stock-based compensation, when expressed as a percentage of revenues, increased 200 basis points in fiscal 2017 compared to fiscal 2016. In fiscal 2017, 699 new employees were added, which included head count expansion from acquisitions of 498 new employees (primarily in the European segment), as well as base salary changes and incremental hires in our centers of excellence located in India and the Philippines. The increase was also due to new employees hired, of which a significant number were involved with content collection, engineering and product development. As of August 31, 2017, approximately 70% of our employees performed operational roles. Employee compensation also increased due to a charge of $5.9 million related to restructuring actions and a change in the vesting of performance-based stock options.</w:t>
      </w:r>
    </w:p>
    <w:p>
      <w:pPr>
        <w:spacing w:after="0" w:line="140"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Computer-related expenses, which include depreciation, maintenance, software and other fees increased 30 basis points, when expressed as a percentage of revenues in fiscal 2017 compared to fiscal 2016. The increase was due to added computer-related expenses, depreciation associated with the additional laptop computers and peripherals for new and existing employees, upgrades to existing computer systems, and improvements to our telecommunication equipment. Amortization of intangible assets increased 30 basis points, when expressed as a percentage of revenues, in fiscal 2017 compared to fiscal 2016 primarily due to our fiscal 2017 acquisitions, which added approximately $93.2 million of intangible assets to be amortized over a weighted-average life of 11.5 years. Additionally, acquisition-related costs increased cost of sales by approximately 40 basis points when expressed as a percentage of revenues year over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SG&amp;A expenses increased 7.3% to $324.6 million during fiscal 2018 compared to $302.5 million in fiscal 2017. SG&amp;A expenses, expressed as a percentage of revenues, were 24.0% in fiscal 2018, a decrease of 70 basis points over the prior year period. This decrease was primarily due to revenue growth outpacing the growth of SG&amp;A related expenses on a year over year basis, foreign currency exchange gains on hedging activities of our Indian Rupee and lower overall employee compensation including stock-based compensation expense. This decrease was partially offset primarily by higher legal costs, restructuring actions and new employee additions.</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Employee compensation, including stock-based compensation, when expressed as a percentage of revenues decreased 50 basis points compared to fiscal 2017. The decrease is primarily related to a higher percentage of our employees working in a cost of services capacity compared to an SG&amp;A role. Compensation for our employees within the content collection, consulting, product development, software and systems engineering groups is recorded within cost of services while employees within our sales and various other support and administrative departments are reflected in SG&amp;A. In fiscal 2018, the majority of our hiring has been in departments within cost of services, thus driving a higher percentage of our employee compensation in this area. Partially offsetting these decreases were higher legal expenses primarily from the settlement of a legal matter in the fourth quarter of fiscal 2018, a full year of employee compensation from recent acquisitions and $8.9 million of severance charges.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160"/>
        <w:spacing w:after="0" w:line="319" w:lineRule="auto"/>
        <w:rPr>
          <w:sz w:val="20"/>
          <w:szCs w:val="20"/>
          <w:color w:val="auto"/>
        </w:rPr>
      </w:pPr>
      <w:r>
        <w:rPr>
          <w:rFonts w:ascii="Arial" w:cs="Arial" w:eastAsia="Arial" w:hAnsi="Arial"/>
          <w:sz w:val="14"/>
          <w:szCs w:val="14"/>
          <w:color w:val="auto"/>
        </w:rPr>
        <w:t>SG&amp;A expenses increased 4.3% to $302.5 million during fiscal 2017 compared to $290.0 million in fiscal 2016. SG&amp;A expenses, expressed as a percentage of revenues, was 24.8% in fiscal 2017, a decrease of 90 basis points compared to fiscal 2016 due to lower employee compensation expense partially offset by higher professional fees and occupancy costs, including rent expense and depreciation of furniture and fixtures. Additionally, fiscal 2016 included a charge of $3.3 million related primarily to legal matters.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9" w:name="page30"/>
    <w:bookmarkEnd w:id="29"/>
    <w:p>
      <w:pPr>
        <w:spacing w:after="0" w:line="302" w:lineRule="auto"/>
        <w:rPr>
          <w:sz w:val="20"/>
          <w:szCs w:val="20"/>
          <w:color w:val="auto"/>
        </w:rPr>
      </w:pPr>
      <w:r>
        <w:rPr>
          <w:rFonts w:ascii="Arial" w:cs="Arial" w:eastAsia="Arial" w:hAnsi="Arial"/>
          <w:sz w:val="14"/>
          <w:szCs w:val="14"/>
          <w:color w:val="auto"/>
        </w:rPr>
        <w:t>Employee compensation, including stock-based compensation, when expressed as a percentage of revenues, decreased 160 basis points in fiscal 2017 compared to fiscal 2016 due to a continued shift in our employee base from SG&amp;A to cost of service related roles. This decrease in employee compensation was offset by a charge of $4.4 million related to restructuring actions and a change in the vesting of performance-based stock options. Professional fees, expressed as a percentage of revenues, increased 30 basis points from costs associated with acquisitions in fiscal 2017. Occupancy costs, when expressed as a percentage of revenues, increased 30 basis points due to the increase in the worldwide-leased office space of 71,000 square feet, which included expanded offices in Germany, Switzerland, Bulgaria, India and the Netherlands.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and Operating Margin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Operating income increased 4.0% to $366.2 million in fiscal 2018 compared to $352.1 million in fiscal 2017. Our operating margin decreased in fiscal 2018 to 27.1%, compared to 28.8% for fiscal 2017. Operating income increased due to incremental revenue that outpaced the growth of SG&amp;A expenses year over year partially offset by higher cost of services. The reduction in operating margin year over year was due to an increase in employee compensation costs, including restructuring actions, data costs from acquisitions and additional users, amortization of intangible assets associated with our recent acquisitions, and incremental legal fees partially offset by foreign currency exchange gains on hedging activities and lower 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Operating income increased 0.7% to $352.1 million in fiscal 2017 compared to fiscal 2016. Our operating margin for fiscal 2017 was 28.8%, down from 31.0% in fiscal 2016. Expenses related to employee compensation, professional fees, computer related costs, amortization of intangibles and acquisition-related costs all increased in fiscal 2017, which resulted in our total operating expenses increasing to 11.8% year over year. We also recognized charges of approximately $18.0 million related to restructuring actions, a change in the vesting of performance-based stock options and other acquisition-related costs, compared to $7.0 million in fiscal 2016. The higher expenses were offset partially by a year over year increase in revenues of 8.3%, driven partially by our recent acquisitions.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Operating Income by Segment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4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w w:val="94"/>
              </w:rPr>
              <w:t>Years ended August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148,095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137,105</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165,251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148,977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153,676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131,410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69,132</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61,354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53,015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Consolidated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366,204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352,135</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349,676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Our operating segments are aligned with how we manage the business, the demographic markets we serve, and how the CODMG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third-party data costs and corporate headquarter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U.S. operating income increased 8.0% to $148.1 million during fiscal 2018 compared to $137.1 million a year ago. The increase in U.S. operating income was primarily due to revenue growth of 7.4%, partially offset by increased expenses related to employee compensation, computer equipment and data costs. Employee compensation increased primarily due to annual base salary increases, restructuring actions, and higher employee benefit costs including medical expenditures. Computer related expenses, which include depreciation, maintenance, software and other fees, increased year over year due to expenses associated with upgrades to existing computer systems in Norwalk, additional server equipment in our data centers located in New Jersey and Virginia, as well as laptop computers and peripherals for new and existing employees. Data costs increased due to higher third-party data costs from our recent acquisitions and additional users.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0" w:name="page31"/>
    <w:bookmarkEnd w:id="30"/>
    <w:p>
      <w:pPr>
        <w:ind w:right="160"/>
        <w:spacing w:after="0" w:line="289" w:lineRule="auto"/>
        <w:rPr>
          <w:sz w:val="20"/>
          <w:szCs w:val="20"/>
          <w:color w:val="auto"/>
        </w:rPr>
      </w:pPr>
      <w:r>
        <w:rPr>
          <w:rFonts w:ascii="Arial" w:cs="Arial" w:eastAsia="Arial" w:hAnsi="Arial"/>
          <w:sz w:val="15"/>
          <w:szCs w:val="15"/>
          <w:color w:val="auto"/>
        </w:rPr>
        <w:t>European operating income decreased 3.1% to $149.0 million during fiscal 2018 compared to $153.7 million a year ago. The impact of foreign currency decreased European operating income by $4.9 million year over year. Additionally, the decrease in European operating income was due to a full year impact of fiscal 2017 acquisitions, contributing to higher employee compensation, amortization of intangible assets, and data costs, partially offset by revenue growth of 17.3%.</w:t>
      </w:r>
    </w:p>
    <w:p>
      <w:pPr>
        <w:spacing w:after="0" w:line="146" w:lineRule="exact"/>
        <w:rPr>
          <w:sz w:val="20"/>
          <w:szCs w:val="20"/>
          <w:color w:val="auto"/>
        </w:rPr>
      </w:pPr>
    </w:p>
    <w:p>
      <w:pPr>
        <w:ind w:right="120"/>
        <w:spacing w:after="0" w:line="282" w:lineRule="auto"/>
        <w:rPr>
          <w:sz w:val="20"/>
          <w:szCs w:val="20"/>
          <w:color w:val="auto"/>
        </w:rPr>
      </w:pPr>
      <w:r>
        <w:rPr>
          <w:rFonts w:ascii="Arial" w:cs="Arial" w:eastAsia="Arial" w:hAnsi="Arial"/>
          <w:sz w:val="15"/>
          <w:szCs w:val="15"/>
          <w:color w:val="auto"/>
        </w:rPr>
        <w:t>Asia Pacific operating income increased 12.7% to $69.1 million during fiscal 2018 compared to $61.4 million a year ago. The increase in Asia Pacific operating income was due to revenue growth of 13.1% and benefits from a stronger U.S. dollar, partially offset by increases in employee compensation and occupancy costs. Employee compensation was higher year over year as result of a 9.2% increase in our Asia Pacific workforce. Occupancy costs increased due primarily to an increase in rent expense for additional office space in our Philippines location. The impact of foreign currency increased Asia Pacific operating income by $3.6 million year over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U.S. operating income decreased 17.0% to $137.1 million during fiscal 2017 compared to $165.3 million in fiscal 2016. The decrease in U.S. operating income was primarily due to increases in expenses related to employee compensation, and occupancy costs, partially offset by revenue growth of 3.8%. Employee compensation increased primarily due to a 3.6% increase in U.S. employee headcount year over year and a change in the vesting of performance-based stock options. Occupancy costs including rent expense and depreciation of furniture and fixtures increased due primarily to an increase in rent expense at our New York location.</w:t>
      </w:r>
    </w:p>
    <w:p>
      <w:pPr>
        <w:spacing w:after="0" w:line="150"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European operating income increased 16.9% to $153.7 million during fiscal 2017 compared to $131.4 million in fiscal 2016. The increase in European operating income was due to revenue growth of 19.0% and benefits from a stronger U.S. dollar, offset by higher employee compensation, occupancy costs, and amortization of intangibles. European revenue grew due to acquisitions completed in 2017, which had a significant sales presence in European markets. The impact of foreign currency increased European operating income by $6.2 million year over year. Employee compensation was higher in fiscal 2017 compared to fiscal 2016 due to an increase of 473 net new employees in our European offices. These employees were primarily from acquisitions completed in 2017. Occupancy costs including rent expense and depreciation of furniture and fixtures increased due primarily to an increase in rent expense in Germany associated with the 2017 acquisitions. Amortization of intangibles increased due to the addition of $93.2 million of intangibles, the majority of which resided in our European segment.</w:t>
      </w:r>
    </w:p>
    <w:p>
      <w:pPr>
        <w:spacing w:after="0" w:line="159"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Asia Pacific operating income increased 15.7% to $61.4 million during fiscal 2017 compared to $53.0 million in fiscal 2016. The increase in Asia Pacific operating income was due to revenue growth of 13.6% and benefits from a stronger U.S. dollar, partially offset by increases in employee compensation and occupancy costs. Employee compensation was higher year over year as a result of a 2.7% increase in our Asia Pacific workforce in fiscal 2017. Occupancy costs increased due to an increase in rent expense at our India locations. The impact of foreign currency increased Asia Pacific operating income by $1.4 million year over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Income Taxes, Net Income and Diluted Earnings per Share</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4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3"/>
              </w:rPr>
              <w:t>Years ended August 31,</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4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2018</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right"/>
              <w:ind w:right="600"/>
              <w:spacing w:after="0"/>
              <w:rPr>
                <w:sz w:val="20"/>
                <w:szCs w:val="20"/>
                <w:color w:val="auto"/>
              </w:rPr>
            </w:pPr>
            <w:r>
              <w:rPr>
                <w:rFonts w:ascii="Arial" w:cs="Arial" w:eastAsia="Arial" w:hAnsi="Arial"/>
                <w:sz w:val="16"/>
                <w:szCs w:val="16"/>
                <w:color w:val="auto"/>
              </w:rPr>
              <w:t>2017</w:t>
            </w:r>
          </w:p>
        </w:tc>
        <w:tc>
          <w:tcPr>
            <w:tcW w:w="44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84,753</w:t>
            </w:r>
          </w:p>
        </w:tc>
        <w:tc>
          <w:tcPr>
            <w:tcW w:w="4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86,053</w:t>
            </w:r>
          </w:p>
        </w:tc>
        <w:tc>
          <w:tcPr>
            <w:tcW w:w="4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267,085</w:t>
            </w:r>
          </w:p>
        </w:tc>
        <w:tc>
          <w:tcPr>
            <w:tcW w:w="4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258,259</w:t>
            </w:r>
          </w:p>
        </w:tc>
        <w:tc>
          <w:tcPr>
            <w:tcW w:w="4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4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6.51</w:t>
            </w:r>
          </w:p>
        </w:tc>
        <w:tc>
          <w:tcPr>
            <w:tcW w:w="44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160"/>
        <w:spacing w:after="0" w:line="302" w:lineRule="auto"/>
        <w:rPr>
          <w:sz w:val="20"/>
          <w:szCs w:val="20"/>
          <w:color w:val="auto"/>
        </w:rPr>
      </w:pPr>
      <w:r>
        <w:rPr>
          <w:rFonts w:ascii="Arial" w:cs="Arial" w:eastAsia="Arial" w:hAnsi="Arial"/>
          <w:sz w:val="14"/>
          <w:szCs w:val="14"/>
          <w:color w:val="auto"/>
        </w:rPr>
        <w:t>The fiscal 2018 provision for income taxes was $84.8 million, a decrease of 1.5% from the same period a year ago. The decrease was primarily attributable to the impacts associated with the U.S. tax reform under the Tax Cuts and Jobs Act (“TCJA”). On December 22, 2017, the U.S. government enacted comprehensive tax legislation through the TCJA. The TCJA, among other things, lowered the statutory U.S. corporate income tax rate from 35% to 21%, effective January 1, 2018. Due to our August 31 fiscal year-end, the lower tax rate was phased in, resulting in a blended U.S. statutory federal rate of 25.7% for fiscal 2018. The TCJA also implemented a modified territorial tax system and imposed a mandatory one-time transition tax on accumulated earnings and profits (“E&amp;P”) of foreign subsidiaries that were previously deferred from U.S. income taxes.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1" w:name="page32"/>
    <w:bookmarkEnd w:id="31"/>
    <w:p>
      <w:pPr>
        <w:ind w:right="40"/>
        <w:spacing w:after="0" w:line="273" w:lineRule="auto"/>
        <w:rPr>
          <w:sz w:val="20"/>
          <w:szCs w:val="20"/>
          <w:color w:val="auto"/>
        </w:rPr>
      </w:pPr>
      <w:r>
        <w:rPr>
          <w:rFonts w:ascii="Arial" w:cs="Arial" w:eastAsia="Arial" w:hAnsi="Arial"/>
          <w:sz w:val="15"/>
          <w:szCs w:val="15"/>
          <w:color w:val="auto"/>
        </w:rPr>
        <w:t>Our effective tax rate was 24.1% for the full fiscal 2018 year compared to 25.0% a year ago due to higher foreign income taxed at rates lower than U.S. rates, incremental income tax benefits from R&amp;D tax credits and increased excess tax benefits from stock option exercises. These benefits were partially offset by the one-time transition tax of $23.2 million and a $2.3 million tax expense associated with the remeasurement of our net U.S. deferred tax position, both of which related to the TCJA. We had approximately $250 million in undistributed foreign E&amp;P generated prior to December 31, 2017, which resulted in the provisional amount for the one-time transition tax expense of $23.2 million, payable over an eight-year period. This amount may change as we finalize the calculation of foreign E&amp;P previously deferred from U.S. federal taxation, as well as the analysis of available foreign tax credits. Due to the changes in taxation of undistributed foreign earnings under the TCJA, we will continue to analyze foreign subsidiary earnings, as well as global working capital requirements, and may repatriate earnings when the amounts are remitted substantially free of additional tax. In addition, the estimates may also be affected by changes in interpretations at the federal and state levels, and any additional regulatory guidance that may be issued.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The fiscal 2017 provision for income taxes was $86.1 million, down 29.6% compared to fiscal 2016. The decrease was primarily due to tax expense of $30.8 million related to the gain on sale of our Market Metrics business that occurred in fiscal 2016. Excluding the tax impact of the gain, the provision for income taxes decreased by 5.9% year over year related primarily to our organizational realignment. As of September 1, 2016, we realigned certain aspects of our global operations from FactSet Research Systems Inc., our U.S. parent company, to FactSet UK Limited, a U.K. operating company, to better serve our growing client base outside the U.S. Due to the realignment we recognized a 200 basis point benefit in our annual tax rate. Additionally, excluding the gain on sale in fiscal 2016, our provision for income taxes decreased due to a decrease in taxable income year over year. This decrease was due primarily to higher interest expense incurred as a result of an increase in our outstanding debt borrowings by approximately $300 million.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 and Diluted Earnings per Share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jc w:val="both"/>
        <w:ind w:right="120"/>
        <w:spacing w:after="0" w:line="278" w:lineRule="auto"/>
        <w:rPr>
          <w:sz w:val="20"/>
          <w:szCs w:val="20"/>
          <w:color w:val="auto"/>
        </w:rPr>
      </w:pPr>
      <w:r>
        <w:rPr>
          <w:rFonts w:ascii="Arial" w:cs="Arial" w:eastAsia="Arial" w:hAnsi="Arial"/>
          <w:sz w:val="15"/>
          <w:szCs w:val="15"/>
          <w:color w:val="auto"/>
        </w:rPr>
        <w:t>Net income increased 3.4% to $267.1 million while diluted earnings per share increased 4.1% to $6.78 during fiscal 2018 compared to fiscal 2017. Net income and diluted EPS grew primarily due to higher revenues from strong performances across our segments and workflow solutions, gains earned from our foreign currency hedges, and a decrease in our effective tax rate due to the TCJA. These benefits were partially offset by an increase in employee compensation expenses, data costs, amortization of intangible assets from acquisitions, occupancy costs, and interest expense associated with our outstanding debt. Diluted EPS also benefited from a 0.3 million reduction in our weighted average shares outstanding due to share repurchases partially offset by stock option exercises during fiscal 2018.</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Net income decreased 23.8% to $258.3 million and diluted earnings per share decreased 20.5% to $6.51 during fiscal 2017 compared to fiscal 2016. A large component of the decrease year over year was related to the after-tax gain of $81.7 million from the sale of the Market Metrics business in fiscal 2016. This gain increased diluted earnings per share by $2.01. Excluding the fiscal 2016 after-tax gain on sale, net income increased 0.4% year over year, while diluted EPS increased by 5.3%. During fiscal 2017, net income and diluted earnings per share increased due to revenue growth of 8.3% year over year, coupled with a reduction to the income tax provision of 29.6% primarily related to the gain from the sale of our Market Metrics business along with an organizational realignment. Additionally, during fiscal 2017, foreign currency movements increased operating income by $7.1 million compared to a benefit of $11.6 million in the same period of fiscal 2016. These increases were partially offset by incremental employee compensation expense due to the hiring of 699 net new employees (including 498 employees from acquisitions completed in the last 12 months), an increase in professional fees, occupancy costs, computer related expenses, amortization of intangibles and acquisition-related costs. The increase in diluted earnings per share was also driven by a decrease in diluted shares outstanding as a result of continued share repurchases in fiscal 2017.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Non-GAAP Financial Measures</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To supplement the financial measures prepared in accordance with GAAP, we use non-GAAP financial measures including organic revenue, adjusted operating margin, adjusted net income and adjusted diluted earnings per share. The reconciliations of these non-GAAP financial measures to the most directly comparable financial measures calculated and presented in accordance with GAAP are shown in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we do, limiting the usefulness of those measures for comparative purposes.</w:t>
      </w:r>
    </w:p>
    <w:p>
      <w:pPr>
        <w:spacing w:after="0" w:line="155" w:lineRule="exact"/>
        <w:rPr>
          <w:sz w:val="20"/>
          <w:szCs w:val="20"/>
          <w:color w:val="auto"/>
        </w:rPr>
      </w:pPr>
    </w:p>
    <w:p>
      <w:pPr>
        <w:ind w:right="720"/>
        <w:spacing w:after="0" w:line="264" w:lineRule="auto"/>
        <w:rPr>
          <w:sz w:val="20"/>
          <w:szCs w:val="20"/>
          <w:color w:val="auto"/>
        </w:rPr>
      </w:pPr>
      <w:r>
        <w:rPr>
          <w:rFonts w:ascii="Arial" w:cs="Arial" w:eastAsia="Arial" w:hAnsi="Arial"/>
          <w:sz w:val="16"/>
          <w:szCs w:val="16"/>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The table below provides an unaudited reconciliation of revenues to organic revenues.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0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Arial" w:cs="Arial" w:eastAsia="Arial" w:hAnsi="Arial"/>
                <w:sz w:val="16"/>
                <w:szCs w:val="16"/>
                <w:color w:val="auto"/>
              </w:rPr>
              <w:t>Twelve Months Ended</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6"/>
                <w:szCs w:val="16"/>
                <w:color w:val="auto"/>
              </w:rPr>
              <w:t>August 31,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2017</w:t>
            </w:r>
          </w:p>
        </w:tc>
        <w:tc>
          <w:tcPr>
            <w:tcW w:w="220" w:type="dxa"/>
            <w:vAlign w:val="bottom"/>
          </w:tcPr>
          <w:p>
            <w:pPr>
              <w:spacing w:after="0"/>
              <w:rPr>
                <w:sz w:val="17"/>
                <w:szCs w:val="17"/>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Change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3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1,350,145</w:t>
            </w: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1,221,179</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8"/>
        </w:trPr>
        <w:tc>
          <w:tcPr>
            <w:tcW w:w="3060" w:type="dxa"/>
            <w:vAlign w:val="bottom"/>
          </w:tcPr>
          <w:p>
            <w:pPr>
              <w:spacing w:after="0" w:line="228" w:lineRule="exact"/>
              <w:rPr>
                <w:sz w:val="20"/>
                <w:szCs w:val="20"/>
                <w:color w:val="auto"/>
              </w:rPr>
            </w:pPr>
            <w:r>
              <w:rPr>
                <w:rFonts w:ascii="Arial" w:cs="Arial" w:eastAsia="Arial" w:hAnsi="Arial"/>
                <w:sz w:val="16"/>
                <w:szCs w:val="16"/>
                <w:color w:val="auto"/>
              </w:rPr>
              <w:t>Deferred revenue fair value adjustment</w:t>
            </w:r>
            <w:r>
              <w:rPr>
                <w:rFonts w:ascii="Arial" w:cs="Arial" w:eastAsia="Arial" w:hAnsi="Arial"/>
                <w:sz w:val="26"/>
                <w:szCs w:val="26"/>
                <w:color w:val="auto"/>
                <w:vertAlign w:val="superscript"/>
              </w:rPr>
              <w:t>(1)</w:t>
            </w:r>
          </w:p>
        </w:tc>
        <w:tc>
          <w:tcPr>
            <w:tcW w:w="3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7,691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5,486</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06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Acquisitions and divestitures completed</w:t>
            </w:r>
            <w:r>
              <w:rPr>
                <w:rFonts w:ascii="Arial" w:cs="Arial" w:eastAsia="Arial" w:hAnsi="Arial"/>
                <w:sz w:val="26"/>
                <w:szCs w:val="26"/>
                <w:color w:val="auto"/>
                <w:vertAlign w:val="superscript"/>
              </w:rPr>
              <w:t>(2)</w:t>
            </w:r>
          </w:p>
        </w:tc>
        <w:tc>
          <w:tcPr>
            <w:tcW w:w="3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(58,624)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(1,222)</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060" w:type="dxa"/>
            <w:vAlign w:val="bottom"/>
            <w:vMerge w:val="restart"/>
          </w:tcPr>
          <w:p>
            <w:pPr>
              <w:spacing w:after="0"/>
              <w:rPr>
                <w:sz w:val="20"/>
                <w:szCs w:val="20"/>
                <w:color w:val="auto"/>
              </w:rPr>
            </w:pPr>
            <w:r>
              <w:rPr>
                <w:rFonts w:ascii="Arial" w:cs="Arial" w:eastAsia="Arial" w:hAnsi="Arial"/>
                <w:sz w:val="16"/>
                <w:szCs w:val="16"/>
                <w:color w:val="auto"/>
                <w:w w:val="91"/>
              </w:rPr>
              <w:t>Currency impact (foreign currency movements)</w:t>
            </w:r>
          </w:p>
        </w:tc>
        <w:tc>
          <w:tcPr>
            <w:tcW w:w="3360" w:type="dxa"/>
            <w:vAlign w:val="bottom"/>
          </w:tcPr>
          <w:p>
            <w:pPr>
              <w:jc w:val="right"/>
              <w:ind w:right="3133"/>
              <w:spacing w:after="0" w:line="120" w:lineRule="exact"/>
              <w:rPr>
                <w:sz w:val="20"/>
                <w:szCs w:val="20"/>
                <w:color w:val="auto"/>
              </w:rPr>
            </w:pPr>
            <w:r>
              <w:rPr>
                <w:rFonts w:ascii="Arial" w:cs="Arial" w:eastAsia="Arial" w:hAnsi="Arial"/>
                <w:sz w:val="13"/>
                <w:szCs w:val="13"/>
                <w:color w:val="auto"/>
                <w:w w:val="87"/>
              </w:rPr>
              <w:t>(3)</w:t>
            </w:r>
          </w:p>
        </w:tc>
        <w:tc>
          <w:tcPr>
            <w:tcW w:w="320" w:type="dxa"/>
            <w:vAlign w:val="bottom"/>
          </w:tcPr>
          <w:p>
            <w:pPr>
              <w:spacing w:after="0"/>
              <w:rPr>
                <w:sz w:val="10"/>
                <w:szCs w:val="10"/>
                <w:color w:val="auto"/>
              </w:rPr>
            </w:pPr>
          </w:p>
        </w:tc>
        <w:tc>
          <w:tcPr>
            <w:tcW w:w="130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060" w:type="dxa"/>
            <w:vAlign w:val="bottom"/>
            <w:vMerge w:val="continue"/>
          </w:tcPr>
          <w:p>
            <w:pPr>
              <w:spacing w:after="0"/>
              <w:rPr>
                <w:sz w:val="8"/>
                <w:szCs w:val="8"/>
                <w:color w:val="auto"/>
              </w:rPr>
            </w:pPr>
          </w:p>
        </w:tc>
        <w:tc>
          <w:tcPr>
            <w:tcW w:w="3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gridSpan w:val="2"/>
          </w:tcPr>
          <w:p>
            <w:pPr>
              <w:jc w:val="right"/>
              <w:ind w:right="140"/>
              <w:spacing w:after="0" w:line="96" w:lineRule="exact"/>
              <w:rPr>
                <w:sz w:val="20"/>
                <w:szCs w:val="20"/>
                <w:color w:val="auto"/>
              </w:rPr>
            </w:pPr>
            <w:r>
              <w:rPr>
                <w:rFonts w:ascii="Arial" w:cs="Arial" w:eastAsia="Arial" w:hAnsi="Arial"/>
                <w:sz w:val="11"/>
                <w:szCs w:val="11"/>
                <w:color w:val="auto"/>
              </w:rPr>
              <w:t>(4,952</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spacing w:after="0"/>
              <w:rPr>
                <w:sz w:val="20"/>
                <w:szCs w:val="20"/>
                <w:color w:val="auto"/>
              </w:rPr>
            </w:pPr>
            <w:r>
              <w:rPr>
                <w:rFonts w:ascii="Arial" w:cs="Arial" w:eastAsia="Arial" w:hAnsi="Arial"/>
                <w:sz w:val="16"/>
                <w:szCs w:val="16"/>
                <w:color w:val="auto"/>
              </w:rPr>
              <w:t>Organic revenues</w:t>
            </w:r>
          </w:p>
        </w:tc>
        <w:tc>
          <w:tcPr>
            <w:tcW w:w="336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1,294,260</w:t>
            </w: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1,225,443</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80" w:hanging="296"/>
        <w:spacing w:after="0"/>
        <w:tabs>
          <w:tab w:leader="none" w:pos="580"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Deferred revenue fair value adjustments from purchase accounting.</w:t>
      </w:r>
    </w:p>
    <w:p>
      <w:pPr>
        <w:spacing w:after="0" w:line="1" w:lineRule="exact"/>
        <w:rPr>
          <w:rFonts w:ascii="Arial" w:cs="Arial" w:eastAsia="Arial" w:hAnsi="Arial"/>
          <w:sz w:val="21"/>
          <w:szCs w:val="21"/>
          <w:i w:val="1"/>
          <w:iCs w:val="1"/>
          <w:color w:val="auto"/>
          <w:vertAlign w:val="superscript"/>
        </w:rPr>
      </w:pPr>
    </w:p>
    <w:p>
      <w:pPr>
        <w:ind w:left="580" w:hanging="296"/>
        <w:spacing w:after="0" w:line="189" w:lineRule="auto"/>
        <w:tabs>
          <w:tab w:leader="none" w:pos="580"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Acquired revenues from acquisitions and divestitures completed within the last 12 months.</w:t>
      </w:r>
    </w:p>
    <w:p>
      <w:pPr>
        <w:spacing w:after="0" w:line="2" w:lineRule="exact"/>
        <w:rPr>
          <w:rFonts w:ascii="Arial" w:cs="Arial" w:eastAsia="Arial" w:hAnsi="Arial"/>
          <w:sz w:val="21"/>
          <w:szCs w:val="21"/>
          <w:i w:val="1"/>
          <w:iCs w:val="1"/>
          <w:color w:val="auto"/>
          <w:vertAlign w:val="superscript"/>
        </w:rPr>
      </w:pPr>
    </w:p>
    <w:p>
      <w:pPr>
        <w:ind w:left="580" w:hanging="296"/>
        <w:spacing w:after="0" w:line="189" w:lineRule="auto"/>
        <w:tabs>
          <w:tab w:leader="none" w:pos="580"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impact from foreign currency movements over the past 12 months.</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The table below provides an unaudited reconciliation of operating income, operating margin, net income and diluted EPS to adjusted operating income, adjusted operating margin, adjusted net income and adjusted diluted EPS.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Arial" w:cs="Arial" w:eastAsia="Arial" w:hAnsi="Arial"/>
                <w:sz w:val="16"/>
                <w:szCs w:val="16"/>
                <w:color w:val="auto"/>
              </w:rPr>
              <w:t>Twelve Months Ended</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6"/>
                <w:szCs w:val="16"/>
                <w:color w:val="auto"/>
              </w:rPr>
              <w:t>August 31,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1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00"/>
              <w:spacing w:after="0" w:line="238" w:lineRule="exact"/>
              <w:rPr>
                <w:sz w:val="20"/>
                <w:szCs w:val="20"/>
                <w:color w:val="auto"/>
              </w:rPr>
            </w:pPr>
            <w:r>
              <w:rPr>
                <w:rFonts w:ascii="Arial" w:cs="Arial" w:eastAsia="Arial" w:hAnsi="Arial"/>
                <w:sz w:val="16"/>
                <w:szCs w:val="16"/>
                <w:color w:val="auto"/>
              </w:rPr>
              <w:t>2018</w:t>
            </w:r>
            <w:r>
              <w:rPr>
                <w:rFonts w:ascii="Arial" w:cs="Arial" w:eastAsia="Arial" w:hAnsi="Arial"/>
                <w:sz w:val="26"/>
                <w:szCs w:val="26"/>
                <w:color w:val="auto"/>
                <w:vertAlign w:val="superscript"/>
              </w:rPr>
              <w:t>(1)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0"/>
              <w:spacing w:after="0" w:line="238" w:lineRule="exact"/>
              <w:rPr>
                <w:sz w:val="20"/>
                <w:szCs w:val="20"/>
                <w:color w:val="auto"/>
              </w:rPr>
            </w:pPr>
            <w:r>
              <w:rPr>
                <w:rFonts w:ascii="Arial" w:cs="Arial" w:eastAsia="Arial" w:hAnsi="Arial"/>
                <w:sz w:val="16"/>
                <w:szCs w:val="16"/>
                <w:color w:val="auto"/>
              </w:rPr>
              <w:t>2017</w:t>
            </w:r>
            <w:r>
              <w:rPr>
                <w:rFonts w:ascii="Arial" w:cs="Arial" w:eastAsia="Arial" w:hAnsi="Arial"/>
                <w:sz w:val="26"/>
                <w:szCs w:val="26"/>
                <w:color w:val="auto"/>
                <w:vertAlign w:val="superscript"/>
              </w:rPr>
              <w:t>(2)</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366,204</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352,135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24,665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19,924</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fair value adjustment</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7,691</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5,486</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20" w:type="dxa"/>
            <w:vAlign w:val="bottom"/>
            <w:gridSpan w:val="2"/>
          </w:tcPr>
          <w:p>
            <w:pPr>
              <w:spacing w:after="0"/>
              <w:rPr>
                <w:sz w:val="20"/>
                <w:szCs w:val="20"/>
                <w:color w:val="auto"/>
              </w:rPr>
            </w:pPr>
            <w:r>
              <w:rPr>
                <w:rFonts w:ascii="Arial" w:cs="Arial" w:eastAsia="Arial" w:hAnsi="Arial"/>
                <w:sz w:val="16"/>
                <w:szCs w:val="16"/>
                <w:color w:val="auto"/>
              </w:rPr>
              <w:t>Other items</w:t>
            </w:r>
          </w:p>
        </w:tc>
        <w:tc>
          <w:tcPr>
            <w:tcW w:w="1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26,950</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17,969</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Adjusted operating income</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425,510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395,514</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Adjusted operating margin</w:t>
            </w:r>
          </w:p>
        </w:tc>
        <w:tc>
          <w:tcPr>
            <w:tcW w:w="15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31.3%</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32.2%</w:t>
            </w:r>
          </w:p>
        </w:tc>
        <w:tc>
          <w:tcPr>
            <w:tcW w:w="14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Net income</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267,085</w:t>
            </w: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258,259</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Intangible asset amortization</w:t>
            </w:r>
            <w:r>
              <w:rPr>
                <w:rFonts w:ascii="Arial" w:cs="Arial" w:eastAsia="Arial" w:hAnsi="Arial"/>
                <w:sz w:val="26"/>
                <w:szCs w:val="26"/>
                <w:color w:val="auto"/>
                <w:vertAlign w:val="superscript"/>
              </w:rPr>
              <w:t>(3)</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19,723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14,845</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line="228" w:lineRule="exact"/>
              <w:rPr>
                <w:sz w:val="20"/>
                <w:szCs w:val="20"/>
                <w:color w:val="auto"/>
              </w:rPr>
            </w:pPr>
            <w:r>
              <w:rPr>
                <w:rFonts w:ascii="Arial" w:cs="Arial" w:eastAsia="Arial" w:hAnsi="Arial"/>
                <w:sz w:val="16"/>
                <w:szCs w:val="16"/>
                <w:color w:val="auto"/>
              </w:rPr>
              <w:t>Deferred revenue fair value adjustment</w:t>
            </w:r>
            <w:r>
              <w:rPr>
                <w:rFonts w:ascii="Arial" w:cs="Arial" w:eastAsia="Arial" w:hAnsi="Arial"/>
                <w:sz w:val="26"/>
                <w:szCs w:val="26"/>
                <w:color w:val="auto"/>
                <w:vertAlign w:val="superscript"/>
              </w:rPr>
              <w:t>(4)</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6,084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4,093</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Other items</w:t>
            </w:r>
            <w:r>
              <w:rPr>
                <w:rFonts w:ascii="Arial" w:cs="Arial" w:eastAsia="Arial" w:hAnsi="Arial"/>
                <w:sz w:val="26"/>
                <w:szCs w:val="26"/>
                <w:color w:val="auto"/>
                <w:vertAlign w:val="superscript"/>
              </w:rPr>
              <w:t>(5)</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21,614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14,308</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Income tax items</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21,310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(1,918)</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Adjusted net income</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335,816</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289,587</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6.78</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6.51</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Intangible asset amortization</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0.50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0.37</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fair value adjustment</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0.15</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0.10</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6"/>
                <w:szCs w:val="16"/>
                <w:color w:val="auto"/>
              </w:rPr>
              <w:t>Other items</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0.56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0.35</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Income tax items</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0.53</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(0.05)</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800" w:type="dxa"/>
            <w:vAlign w:val="bottom"/>
          </w:tcPr>
          <w:p>
            <w:pPr>
              <w:ind w:left="260"/>
              <w:spacing w:after="0" w:line="220" w:lineRule="exact"/>
              <w:rPr>
                <w:sz w:val="20"/>
                <w:szCs w:val="20"/>
                <w:color w:val="auto"/>
              </w:rPr>
            </w:pPr>
            <w:r>
              <w:rPr>
                <w:rFonts w:ascii="Arial" w:cs="Arial" w:eastAsia="Arial" w:hAnsi="Arial"/>
                <w:sz w:val="16"/>
                <w:szCs w:val="16"/>
                <w:color w:val="auto"/>
              </w:rPr>
              <w:t>Adjusted diluted earnings per common share</w:t>
            </w:r>
            <w:r>
              <w:rPr>
                <w:rFonts w:ascii="Arial" w:cs="Arial" w:eastAsia="Arial" w:hAnsi="Arial"/>
                <w:sz w:val="25"/>
                <w:szCs w:val="25"/>
                <w:color w:val="auto"/>
                <w:vertAlign w:val="superscript"/>
              </w:rPr>
              <w:t>(6)</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8.53</w:t>
            </w:r>
          </w:p>
        </w:tc>
        <w:tc>
          <w:tcPr>
            <w:tcW w:w="3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7.31</w:t>
            </w:r>
          </w:p>
        </w:tc>
        <w:tc>
          <w:tcPr>
            <w:tcW w:w="1620" w:type="dxa"/>
            <w:vAlign w:val="bottom"/>
            <w:gridSpan w:val="2"/>
          </w:tcPr>
          <w:p>
            <w:pPr>
              <w:jc w:val="right"/>
              <w:ind w:right="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(Diluted)</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39,377</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39,642</w:t>
            </w:r>
          </w:p>
        </w:tc>
        <w:tc>
          <w:tcPr>
            <w:tcW w:w="1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right="60" w:hanging="296"/>
        <w:spacing w:after="0" w:line="231" w:lineRule="auto"/>
        <w:tabs>
          <w:tab w:leader="none" w:pos="58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Operating income, net income and diluted EPS in fiscal 2018 were adjusted to exclude (i) intangible asset amortization (ii) deferred revenue fair value adjustments from purchase accounting, and (iii) other items including restructuring, legal matters and other corporate actions. Net income and diluted EPS in fiscal 2018 were also adjusted to exclude a one-time deemed repatriation tax on foreign earnings.</w:t>
      </w:r>
    </w:p>
    <w:p>
      <w:pPr>
        <w:spacing w:after="0" w:line="98" w:lineRule="exact"/>
        <w:rPr>
          <w:rFonts w:ascii="Arial" w:cs="Arial" w:eastAsia="Arial" w:hAnsi="Arial"/>
          <w:sz w:val="21"/>
          <w:szCs w:val="21"/>
          <w:i w:val="1"/>
          <w:iCs w:val="1"/>
          <w:color w:val="auto"/>
          <w:vertAlign w:val="superscript"/>
        </w:rPr>
      </w:pPr>
    </w:p>
    <w:p>
      <w:pPr>
        <w:ind w:left="580" w:right="60" w:hanging="296"/>
        <w:spacing w:after="0" w:line="248" w:lineRule="auto"/>
        <w:tabs>
          <w:tab w:leader="none" w:pos="580" w:val="left"/>
        </w:tabs>
        <w:numPr>
          <w:ilvl w:val="0"/>
          <w:numId w:val="10"/>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Operating income, net income and diluted EPS in fiscal 2017 were adjusted to exclude (i) intangible asset amortization (ii) deferred revenue fair value adjustments from purchase accounting, and (iii) other items including modifications of certain share-based compensation grants, restructuring actions and acquisition-related costs. Net income and diluted EPS in fiscal 2017 were also adjusted to exclude benefits related to finalizing fiscal 2016 tax returns and other discrete items.</w:t>
      </w:r>
    </w:p>
    <w:p>
      <w:pPr>
        <w:spacing w:after="0" w:line="53" w:lineRule="exact"/>
        <w:rPr>
          <w:rFonts w:ascii="Arial" w:cs="Arial" w:eastAsia="Arial" w:hAnsi="Arial"/>
          <w:sz w:val="20"/>
          <w:szCs w:val="20"/>
          <w:i w:val="1"/>
          <w:iCs w:val="1"/>
          <w:color w:val="auto"/>
          <w:vertAlign w:val="superscript"/>
        </w:rPr>
      </w:pPr>
    </w:p>
    <w:p>
      <w:pPr>
        <w:ind w:left="580" w:hanging="296"/>
        <w:spacing w:after="0"/>
        <w:tabs>
          <w:tab w:leader="none" w:pos="58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intangible asset amortization was recorded net of a tax impact of $4.9 million in fiscal 2018 compared with $5.1 million for fiscal 2017.</w:t>
      </w:r>
    </w:p>
    <w:p>
      <w:pPr>
        <w:spacing w:after="0" w:line="78" w:lineRule="exact"/>
        <w:rPr>
          <w:rFonts w:ascii="Arial" w:cs="Arial" w:eastAsia="Arial" w:hAnsi="Arial"/>
          <w:sz w:val="21"/>
          <w:szCs w:val="21"/>
          <w:i w:val="1"/>
          <w:iCs w:val="1"/>
          <w:color w:val="auto"/>
          <w:vertAlign w:val="superscript"/>
        </w:rPr>
      </w:pPr>
    </w:p>
    <w:p>
      <w:pPr>
        <w:ind w:left="580" w:hanging="296"/>
        <w:spacing w:after="0" w:line="220" w:lineRule="auto"/>
        <w:tabs>
          <w:tab w:leader="none" w:pos="58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deferred revenue fair value adjustment was recorded net of a tax impact of $1.6 million in fiscal 2018 compared with $1.4 million for fiscal 2017.</w:t>
      </w:r>
    </w:p>
    <w:p>
      <w:pPr>
        <w:spacing w:after="0" w:line="78" w:lineRule="exact"/>
        <w:rPr>
          <w:rFonts w:ascii="Arial" w:cs="Arial" w:eastAsia="Arial" w:hAnsi="Arial"/>
          <w:sz w:val="21"/>
          <w:szCs w:val="21"/>
          <w:i w:val="1"/>
          <w:iCs w:val="1"/>
          <w:color w:val="auto"/>
          <w:vertAlign w:val="superscript"/>
        </w:rPr>
      </w:pPr>
    </w:p>
    <w:p>
      <w:pPr>
        <w:ind w:left="580" w:hanging="296"/>
        <w:spacing w:after="0" w:line="220" w:lineRule="auto"/>
        <w:tabs>
          <w:tab w:leader="none" w:pos="58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other items were recorded net of a tax impact of $5.3 million in fiscal 2018 compared with $3.7 million for fiscal 2017.</w:t>
      </w:r>
    </w:p>
    <w:p>
      <w:pPr>
        <w:spacing w:after="0" w:line="78" w:lineRule="exact"/>
        <w:rPr>
          <w:rFonts w:ascii="Arial" w:cs="Arial" w:eastAsia="Arial" w:hAnsi="Arial"/>
          <w:sz w:val="21"/>
          <w:szCs w:val="21"/>
          <w:i w:val="1"/>
          <w:iCs w:val="1"/>
          <w:color w:val="auto"/>
          <w:vertAlign w:val="superscript"/>
        </w:rPr>
      </w:pPr>
    </w:p>
    <w:p>
      <w:pPr>
        <w:ind w:left="580" w:hanging="296"/>
        <w:spacing w:after="0" w:line="220" w:lineRule="auto"/>
        <w:tabs>
          <w:tab w:leader="none" w:pos="58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Details may not sum to total due to rounding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Liquidity</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420" w:type="dxa"/>
            <w:vAlign w:val="bottom"/>
            <w:gridSpan w:val="2"/>
          </w:tcPr>
          <w:p>
            <w:pPr>
              <w:spacing w:after="0"/>
              <w:rPr>
                <w:sz w:val="20"/>
                <w:szCs w:val="20"/>
                <w:color w:val="auto"/>
              </w:rPr>
            </w:pPr>
            <w:r>
              <w:rPr>
                <w:rFonts w:ascii="Arial" w:cs="Arial" w:eastAsia="Arial" w:hAnsi="Arial"/>
                <w:sz w:val="16"/>
                <w:szCs w:val="16"/>
                <w:color w:val="auto"/>
              </w:rPr>
              <w:t>The table below, for the periods indicated, provides selected cash flow information: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4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i w:val="1"/>
                <w:iCs w:val="1"/>
                <w:color w:val="auto"/>
                <w:w w:val="89"/>
              </w:rPr>
              <w:t>Years ended August 31,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6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2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385,668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320,527</w:t>
            </w:r>
          </w:p>
        </w:tc>
        <w:tc>
          <w:tcPr>
            <w:tcW w:w="1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line="216" w:lineRule="exact"/>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5"/>
                <w:szCs w:val="25"/>
                <w:color w:val="auto"/>
                <w:vertAlign w:val="superscript"/>
              </w:rPr>
              <w:t>(1)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(33,520)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(36,862)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(47,740)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6400" w:type="dxa"/>
            <w:vAlign w:val="bottom"/>
            <w:shd w:val="clear" w:color="auto" w:fill="CCEEFF"/>
          </w:tcPr>
          <w:p>
            <w:pPr>
              <w:spacing w:after="0" w:line="22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352,148</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283,665</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283,400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(48,531)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(347,306)</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(158,408)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(320,037)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(91,002)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208,623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194,731</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228,407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hanging="280"/>
        <w:spacing w:after="0"/>
        <w:tabs>
          <w:tab w:leader="none" w:pos="42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Included in net cash used in investing activities during each fiscal year reported.</w:t>
      </w:r>
    </w:p>
    <w:p>
      <w:pPr>
        <w:spacing w:after="0" w:line="78" w:lineRule="exact"/>
        <w:rPr>
          <w:rFonts w:ascii="Arial" w:cs="Arial" w:eastAsia="Arial" w:hAnsi="Arial"/>
          <w:sz w:val="21"/>
          <w:szCs w:val="21"/>
          <w:i w:val="1"/>
          <w:iCs w:val="1"/>
          <w:color w:val="auto"/>
          <w:vertAlign w:val="superscript"/>
        </w:rPr>
      </w:pPr>
    </w:p>
    <w:p>
      <w:pPr>
        <w:ind w:left="420" w:hanging="280"/>
        <w:spacing w:after="0" w:line="231" w:lineRule="auto"/>
        <w:tabs>
          <w:tab w:leader="none" w:pos="420"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Free cash flow is defined as cash provided by operating activities, which includes the cash cost for taxes and changes in working capital, less capital expenditures.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 compared to Fiscal 2017</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Cash and cash equivalents aggregated to $208.6 million, or 14.7% of our total assets at August 31, 2018, compared with $194.7 million, or 13.8% of our total assets at August 31, 2017. Our cash and cash equivalents increased $13.9 million during fiscal 2018 due to net cash provided by operating activities of $385.7 million and $71.6 million in proceeds from the exercise of employee stock options. These cash inflows were partially offset by $89.4 million in dividend payments, $33.5 million of capital expenditures, $15.0 million related to a business investment, $3.2 million from the effects of foreign currency translations and $303.9 million in share repurchases, which included $302.4 million under the existing share repurchase program and $1.5 million in shares repurchased from employees to cover their cost of taxes upon vesting of restricted stock.</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Net cash used in investing activities was $48.5 million in fiscal 2018, representing a $298.8 million decrease from fiscal 2017. This reduction was primarily due to decreased acquisition activity with $15.0 million invested in fiscal 2018 compared to $303.1 million largely related to the BI-SAM Technologies (“BISAM”) and Vermilion Holdings Limited (“Vermilion”) acquisitions in fiscal 2017. Additionally, cash used in investing activities decreased year over year due to lower capital expenditures of $3.3 million and a decrease in the purchase of investments (net of proceeds) of $7.4 million year over year</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During fiscal 2018, net cash used in financing activities was $320.0 million, representing a $311.9 million increase from fiscal 2017. This increase was due to $275.0 million in proceeds (net of repayment) from the issuance of long-term debt in fiscal 2017 that did not occur in fiscal 2018. In addition, the decrease was due to higher dividend payments of $8.5 million, an increase in share repurchases of $43.0 million, and a change in the presentation of tax benefits from share-based payment arrangements due to the adoption of the accounting standard update, which required us to disclose benefits from stock option exercises as an operating cash inflow instead of a financing activity. This presentation change was adopted prospectively beginning with fiscal 2018. These cash outflows were partially offset by an increase in proceeds from employee stock plans of $21.6 million.</w:t>
      </w:r>
    </w:p>
    <w:p>
      <w:pPr>
        <w:spacing w:after="0" w:line="140"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We expect that for at least the next 12 months, our operating expenses will continue to constitute a significant use of our cash. As of August 31, 2018, our total cash and cash equivalents worldwide was $208.6 million, with $574.8 million in outstanding borrowings (net of $0.2 million of unamortized debt issuance costs). Approximately $30.9 million of our total available cash and cash equivalents is held in bank accounts located within the U.S., $134.3 million in Europe (predominantly within the UK, France, and Germany) and the remaining $43.4 million is held in the Asia Pacific segment.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60"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Free cash flow generated in fiscal 2018 was $352.1 million, an increase of 24.1% compared to $283.7 million in fiscal 2017. Free cash flow was attributable to $267.1 million of net income, $87.0 million of non-cash items, $31.6 million of working capital changes, less $33.5 million in capital expenditures. The year over year free cash flow growth was driven by positive working capital changes totaling $47.6 million and lower capital expenditures of $3.3 million. Working capital improved year over year due to timing of supplier payments and payroll, stabilization of our days sales outstanding (“DSO”) at 41 days and the adoption of an accounting standard update for share-based payments, which required the presentation of benefits from stock options exercised to be reported as an operating activity, when in prior periods it was reported as a financing activity.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Fiscal 2017 compared to Fiscal 2016</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Cash and cash equivalents aggregated to $194.7 million, or 13.8% of our total assets at August 31, 2017, compared with $228.4 million, or 22.4% of our total assets at August 31, 2016. Our cash and cash equivalents decreased $33.7 million during fiscal 2017 due primarily to $303.1 million in cash paid for acquisitions (net of cash acquired), $252.8 million in share repurchases under the existing share repurchase program, dividend payments of $80.9 million, capital expenditures of $36.9 million and $7.4 million from the purchase of investments (net of proceeds). These cash outflows were partially offset by cash provided by operations of $320.5 million, $275.0 million in net proceeds from long-term debt, $50.0 million in proceeds from the exercise of employee stock options, $10.3 million in tax benefits from share-based payment arrangements and $1.3 million from the effects of foreign currency translations.</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Net cash used in investing activities was $347.3 million in fiscal 2017, which represented a $188.9 million increase from fiscal 2016 due primarily to an increase in the cash used in acquisitions and the purchases of investments (net of proceeds), partially offset by a decrease in capital expenditures. Additionally, in fiscal 2016 we recognized proceeds from the sale of our Market Metrics business of $153.1 million. Acquisitions during fiscal 2017, largely related to BISAM and Vermilion, resulted in a cash outflow of $303.1 million compared to a net cash outflow of $262.9 million for the Portware acquisition during fiscal 2016. Purchase of investments (net of proceeds) resulted in an increased cash outflow of $6.5 million in fiscal 2017 compared to fiscal 2016. The decrease in capital expenditures of $10.9 million was due from the fit-out of new space in New York, Chicago and at our corporate headquarters in Norwalk in fiscal 2016.Fiscal 2017 capital expenditures related primarily to computer equipment for our U.S. locations and additional expenses at our Chicago, New York, and India locations.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 xml:space="preserve">During fiscal 2017, net cash used in financing activities was $8.2 million compared to $91.0 million in fiscal 2016. This decrease was due primarily to FactSet entering into an accelerated share repurchase agreement (the “ASR Agreement”) to repurchase $120.0 million of our common stock in July 2016. We received 595,607 shares of common stock on July 5, 2016, which was approximately 80% of the total number of shares of common stock expected to be repurchased under the ASR Agreement. The final settlement of the ASR Agreement occurred in the first quarter of fiscal 2017 with our receiving an additional 102,916 shares of our common stock. Excluding cash used in the ASR Agreement, cash provided by financing activities in fiscal 2016 was $29.0 million, resulting in a fluctuation of $37.2 million in the current year. This fluctuation was due to an increase in cash used to repurchase common stock under our existing share repurchase program of $24.2 million, an increase in payments of regular quarterly dividends of $6.7 million, lower proceeds from employee stock plans of $6.8 million and lower tax benefits from share-based payment arrangements of $7.9 million. Cash used in share repurchases increased year over year as we repurchased 1.6 million shares for $252.8 million under the existing share repurchase program compared to 1.5 million shares for $232.3 million in fiscal 2016. Dividend payments increased as our Board of Directors approved a 12.0% increase in the regular quarterly dividend to $0.56 per share, or $2.24 per share per annum, beginning with the dividend payment in June 2017. The year over year fluctuation was also due to additional borrowings under our 2017 Credit Agreement (defined in </w:t>
      </w:r>
      <w:r>
        <w:rPr>
          <w:rFonts w:ascii="Arial" w:cs="Arial" w:eastAsia="Arial" w:hAnsi="Arial"/>
          <w:sz w:val="15"/>
          <w:szCs w:val="15"/>
          <w:i w:val="1"/>
          <w:iCs w:val="1"/>
          <w:color w:val="auto"/>
        </w:rPr>
        <w:t>Capital Needs</w:t>
      </w:r>
      <w:r>
        <w:rPr>
          <w:rFonts w:ascii="Arial" w:cs="Arial" w:eastAsia="Arial" w:hAnsi="Arial"/>
          <w:sz w:val="15"/>
          <w:szCs w:val="15"/>
          <w:color w:val="auto"/>
        </w:rPr>
        <w:t>) of $575.0 million, used to fund our acquisition of BISAM on March 17, 2017 and retire our existing debt of $365.0 million. In fiscal 2016 we borrowed $265.0</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million under our previous credit agreement to fund our acquisition of Portware on October 16, 2015. Refer to the </w:t>
      </w:r>
      <w:r>
        <w:rPr>
          <w:rFonts w:ascii="Arial" w:cs="Arial" w:eastAsia="Arial" w:hAnsi="Arial"/>
          <w:sz w:val="15"/>
          <w:szCs w:val="15"/>
          <w:i w:val="1"/>
          <w:iCs w:val="1"/>
          <w:color w:val="auto"/>
        </w:rPr>
        <w:t>Capital Resources</w:t>
      </w:r>
      <w:r>
        <w:rPr>
          <w:rFonts w:ascii="Arial" w:cs="Arial" w:eastAsia="Arial" w:hAnsi="Arial"/>
          <w:sz w:val="15"/>
          <w:szCs w:val="15"/>
          <w:color w:val="auto"/>
        </w:rPr>
        <w:t xml:space="preserve"> section of the MD&amp;A for a discussion of our long-term debt borrowings.</w:t>
      </w:r>
    </w:p>
    <w:p>
      <w:pPr>
        <w:spacing w:after="0" w:line="159"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Free cash flow for fiscal 2017 was $283.7 million compared to $283.4 million in fiscal 2016. Free cash flow generated during fiscal 2017 was attributable to $258.3 million of net income adjusted for $78.3 million of non-cash items partially offset by $36.9 million in capital expenditures and $16.0 million of negative working capital changes. Free cash flow increased slightly from the comparable year ago period, due primarily to a reduction in capital expenditures partially offset by a decrease in net cash provided by operating activities. The decrease in net cash provided by operating activities was the result of higher client receivables and the timing of taxes payments. Our DSO was 41 days as of August 31, 2017, representing an increase from 31 days at August 31, 2016. The increase in DSO was primarily related to the acquisitions made in the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Capital Resources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Capital expenditures were $33.5 million during fiscal 2018, down from $36.9 million a year ago. Capital expenditures of $24.2 million, or 72% of our capital expenditures during fiscal 2018 related to upgrades to existing computer systems in Norwalk, additional server equipment in our data centers located in New Jersey and Virginia, as well as laptop computers and peripherals for new and existing employees. The remainder of our capital expenditures was primarily for the build out of office space including $2.2 million at our India location, $2.8 million at our Hong Kong location and $1.5 million at our Netherlands location.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5" w:name="page36"/>
    <w:bookmarkEnd w:id="35"/>
    <w:p>
      <w:pPr>
        <w:ind w:right="80"/>
        <w:spacing w:after="0" w:line="259" w:lineRule="auto"/>
        <w:rPr>
          <w:sz w:val="20"/>
          <w:szCs w:val="20"/>
          <w:color w:val="auto"/>
        </w:rPr>
      </w:pPr>
      <w:r>
        <w:rPr>
          <w:rFonts w:ascii="Arial" w:cs="Arial" w:eastAsia="Arial" w:hAnsi="Arial"/>
          <w:sz w:val="16"/>
          <w:szCs w:val="16"/>
          <w:color w:val="auto"/>
        </w:rPr>
        <w:t>Capital expenditures were $36.9 million during fiscal 2017, down from $47.7 million in fiscal 2016. Approximately $21.4 million, or 58%, of our capital expenditures was primarily for purchases of more servers for our existing data centers, additional laptop computers and peripherals for new employees, upgrades to existing computer systems and improvements to our telecommunication equipment. The remainder of our capital expenditures was primarily for the build out of office space including $4.4 million at our Chicago location, $4.4 million at our New York locations and $2.7 million at our India locations.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Capital Needs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4"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On March 17, 2017, we entered into a Credit Agreement (the “2017 Credit Agreement”) between FactSet, as the borrower, and PNC Bank, National Association (“PNC”), as the administrative agent and lender. The 2017 Credit Agreement provides for an unsecured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a spread using a debt leverage pricing grid currently at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In conjunction with our entrance into the 2017 Credit Agreement, we borrowed $575.0 million in the form of a LIBOR rate loan under the 2017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2017 Revolving Credit Facility were also used to fund our acquisition of BISAM.</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presented net of related loan origination fees at August 31, 2018. The loan origination fees are amortized into interest expense over the term of the loan using the effective interest method. During fiscal years 2018, 2017 and 2016, we recorded interest expense of $15.9 million, $8.4 million and $3.0 million, respectively, on our outstanding debt amounts. As of August 31, 2018, no commitment fee was owed by us since we borrowed the full amount under the 2017 Credit Agreement.</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In fiscal 2017, FactSet incurred approximately $0.4 million in legal costs to draft and review the 2017 Credit Agreement. These costs were capitalized as loan origination fees and are amortized into interest expense over the term of the loan using the effective interest method.</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 In addition, the 2017 Credit Agreement required that FactSet maintain a consolidated leverage ratio, as measured by total funded debt/EBITDA below a specified level as of the end of each fiscal quarter. We were in compliance with all of the covenants of the 2017 Credit Agreement as of August 31, 2018 and 2017.</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As of August 31, 2018, the fair value of our long-term debt was $575.0 million, which we believe approximated the carrying amount as the terms and interest rates approximate market rates given its floating interest rate basis.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From time to time, we are required to obtain letters of credit in the ordinary course of business. Approximately $2.0 million of standby letters of credit have been issued in connection with our leased office spaces as of August 31, 2018. These standby letters of credit contain covenants that, among other things, require us to maintain minimum levels of consolidated net worth and certain leverage and fixed charge ratios. As of August 31, 2018 and 2017, we were in compliance with all covenants contained in the standby letters of credit.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Exposure</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(loss) income as a component of stockholders’ equity.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6" w:name="page37"/>
    <w:bookmarkEnd w:id="36"/>
    <w:p>
      <w:pPr>
        <w:ind w:right="20"/>
        <w:spacing w:after="0" w:line="282" w:lineRule="auto"/>
        <w:rPr>
          <w:sz w:val="20"/>
          <w:szCs w:val="20"/>
          <w:color w:val="auto"/>
        </w:rPr>
      </w:pPr>
      <w:r>
        <w:rPr>
          <w:rFonts w:ascii="Arial" w:cs="Arial" w:eastAsia="Arial" w:hAnsi="Arial"/>
          <w:sz w:val="15"/>
          <w:szCs w:val="15"/>
          <w:color w:val="auto"/>
        </w:rPr>
        <w:t>Over the next 12 months, our non-U.S. dollar denominated revenues expected to be recognized are estimated to be $92.8 million while our non-U.S. dollar denominated expenses are estimated to be $324.5 million, which translates into a net foreign currency exposure of $231.7 million. Our foreign currency exchange exposure is related to our operating expense base in countries outside the U.S., where 74% of our employees were located as of August 31, 2018. During fiscal 2018, foreign currency movements decreased operating income by $1.3 million, compared to a $7.1 million increase to operating income for fiscal 2017.</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Hedges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2018, we maintained the following foreign currency forward contracts to hedge our exposures:</w:t>
      </w:r>
    </w:p>
    <w:p>
      <w:pPr>
        <w:spacing w:after="0" w:line="200" w:lineRule="exact"/>
        <w:rPr>
          <w:sz w:val="20"/>
          <w:szCs w:val="20"/>
          <w:color w:val="auto"/>
        </w:rPr>
      </w:pPr>
    </w:p>
    <w:p>
      <w:pPr>
        <w:ind w:left="580" w:hanging="296"/>
        <w:spacing w:after="0"/>
        <w:tabs>
          <w:tab w:leader="none" w:pos="58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Philippine Peso </w:t>
      </w:r>
      <w:r>
        <w:rPr>
          <w:rFonts w:ascii="Arial" w:cs="Arial" w:eastAsia="Arial" w:hAnsi="Arial"/>
          <w:sz w:val="15"/>
          <w:szCs w:val="15"/>
          <w:color w:val="auto"/>
        </w:rPr>
        <w:t>– foreign currency forward contracts to hedge approximately 75% of our Philippine Peso exposure through the fourth quarter of fiscal 2020.</w:t>
      </w:r>
    </w:p>
    <w:p>
      <w:pPr>
        <w:spacing w:after="0" w:line="211" w:lineRule="exact"/>
        <w:rPr>
          <w:rFonts w:ascii="Arial" w:cs="Arial" w:eastAsia="Arial" w:hAnsi="Arial"/>
          <w:sz w:val="15"/>
          <w:szCs w:val="15"/>
          <w:i w:val="1"/>
          <w:iCs w:val="1"/>
          <w:color w:val="auto"/>
        </w:rPr>
      </w:pPr>
    </w:p>
    <w:p>
      <w:pPr>
        <w:ind w:left="580" w:right="280" w:hanging="296"/>
        <w:spacing w:after="0" w:line="277" w:lineRule="auto"/>
        <w:tabs>
          <w:tab w:leader="none" w:pos="5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Indian Rupee </w:t>
      </w:r>
      <w:r>
        <w:rPr>
          <w:rFonts w:ascii="Arial" w:cs="Arial" w:eastAsia="Arial" w:hAnsi="Arial"/>
          <w:sz w:val="16"/>
          <w:szCs w:val="16"/>
          <w:color w:val="auto"/>
        </w:rPr>
        <w:t>– foreign currency forward contracts to hedge approximately 75% of our Indian Rupee exposure through the third quarter of fiscal 2019 and 50%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from the fourth quarter of fiscal 2019 through the end of the second quarter of fiscal 2020.</w:t>
      </w:r>
    </w:p>
    <w:p>
      <w:pPr>
        <w:spacing w:after="0" w:line="151" w:lineRule="exact"/>
        <w:rPr>
          <w:rFonts w:ascii="Arial" w:cs="Arial" w:eastAsia="Arial" w:hAnsi="Arial"/>
          <w:sz w:val="16"/>
          <w:szCs w:val="16"/>
          <w:i w:val="1"/>
          <w:iCs w:val="1"/>
          <w:color w:val="auto"/>
        </w:rPr>
      </w:pPr>
    </w:p>
    <w:p>
      <w:pPr>
        <w:ind w:left="580" w:hanging="296"/>
        <w:spacing w:after="0"/>
        <w:tabs>
          <w:tab w:leader="none" w:pos="5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Euro </w:t>
      </w:r>
      <w:r>
        <w:rPr>
          <w:rFonts w:ascii="Arial" w:cs="Arial" w:eastAsia="Arial" w:hAnsi="Arial"/>
          <w:sz w:val="16"/>
          <w:szCs w:val="16"/>
          <w:color w:val="auto"/>
        </w:rPr>
        <w:t>– foreign currency forward contracts to hedge approximately 50% of our Euro exposure through the third quarter of fiscal 2019.</w:t>
      </w:r>
    </w:p>
    <w:p>
      <w:pPr>
        <w:spacing w:after="0" w:line="200" w:lineRule="exact"/>
        <w:rPr>
          <w:rFonts w:ascii="Arial" w:cs="Arial" w:eastAsia="Arial" w:hAnsi="Arial"/>
          <w:sz w:val="16"/>
          <w:szCs w:val="16"/>
          <w:i w:val="1"/>
          <w:iCs w:val="1"/>
          <w:color w:val="auto"/>
        </w:rPr>
      </w:pPr>
    </w:p>
    <w:p>
      <w:pPr>
        <w:ind w:left="580" w:hanging="296"/>
        <w:spacing w:after="0"/>
        <w:tabs>
          <w:tab w:leader="none" w:pos="58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British Pound Sterling </w:t>
      </w:r>
      <w:r>
        <w:rPr>
          <w:rFonts w:ascii="Arial" w:cs="Arial" w:eastAsia="Arial" w:hAnsi="Arial"/>
          <w:sz w:val="14"/>
          <w:szCs w:val="14"/>
          <w:color w:val="auto"/>
        </w:rPr>
        <w:t>– foreign currency forward contracts to hedge approximately 50% of our British Pound Sterling exposure through the third quarter of fiscal 2019.</w:t>
      </w:r>
    </w:p>
    <w:p>
      <w:pPr>
        <w:spacing w:after="0" w:line="223" w:lineRule="exact"/>
        <w:rPr>
          <w:sz w:val="20"/>
          <w:szCs w:val="20"/>
          <w:color w:val="auto"/>
        </w:rPr>
      </w:pPr>
    </w:p>
    <w:p>
      <w:pPr>
        <w:ind w:right="140"/>
        <w:spacing w:after="0" w:line="351" w:lineRule="auto"/>
        <w:rPr>
          <w:sz w:val="20"/>
          <w:szCs w:val="20"/>
          <w:color w:val="auto"/>
        </w:rPr>
      </w:pPr>
      <w:r>
        <w:rPr>
          <w:rFonts w:ascii="Arial" w:cs="Arial" w:eastAsia="Arial" w:hAnsi="Arial"/>
          <w:sz w:val="14"/>
          <w:szCs w:val="14"/>
          <w:color w:val="auto"/>
        </w:rPr>
        <w:t>As of August 31, 2018, the gross notional value of foreign currency forward contracts to purchase Philippine Pesos with U.S. dollars was PHP 2.8 billion, to purchase Indian Rupees with U.S. dollars was Rs. 3.6 billion, to purchase Euros with U.S. dollars was € 22.0 million and to purchase British Pound Sterling with U.S. dollars was £14.0 million.</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There were no other outstanding foreign currency forward contracts as of August 31, 2018. A gain on derivatives of $3.1 million was recorded into operating income during fiscal 2018, compared to a loss of $2.9 million in fiscal 2017.</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At August 31, 2018 and 2017, we had no off-balance sheet financing or other arrangements with unconsolidated entities or financial partnerships (such as entities often referred to as structured finance or special purpose entities) established for purposes of facilitating off-balance sheet financing or other debt arrangements or for other contractually limited purposes.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Share Repurchase Program</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In fiscal 2018, we repurchased 1.5 million shares for $302.4 million compared to 1.6 million shares for $252.8 million in fiscal 2017 under the existing share repurchase program. Over the last 12 months, we have returned $393.4 million to stockholders in the form of share repurchases and dividends. On March 26, 2018, our Board of Directors approved a $300.0 million expansion of the existing share repurchase program. Subsequent to this expansion, $431.2 million is available for future share repurchases. As of August 31, 2018, $241.7 million is available for future share repurchases under the existing share repurchase program.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Contractual Obligations</w:t>
      </w:r>
    </w:p>
    <w:p>
      <w:pPr>
        <w:spacing w:after="0" w:line="200" w:lineRule="exact"/>
        <w:rPr>
          <w:sz w:val="20"/>
          <w:szCs w:val="20"/>
          <w:color w:val="auto"/>
        </w:rPr>
      </w:pPr>
    </w:p>
    <w:p>
      <w:pPr>
        <w:ind w:right="160"/>
        <w:spacing w:after="0" w:line="282" w:lineRule="auto"/>
        <w:rPr>
          <w:sz w:val="20"/>
          <w:szCs w:val="20"/>
          <w:color w:val="auto"/>
        </w:rPr>
      </w:pPr>
      <w:r>
        <w:rPr>
          <w:rFonts w:ascii="Arial" w:cs="Arial" w:eastAsia="Arial" w:hAnsi="Arial"/>
          <w:sz w:val="15"/>
          <w:szCs w:val="15"/>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2018, we had total purchase commitments of $79.0 million, which was comparable to the prior year commitments of $81.0 million, reflecting no material changes with suppliers during fiscal 2018.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6"/>
          <w:szCs w:val="16"/>
          <w:color w:val="auto"/>
        </w:rPr>
        <w:t>The following table summarizes our significant contractual obligations as of August 31, 2018 and the corresponding effect that these obligations will have on our liquidity and cash flows in future periods: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w w:val="89"/>
              </w:rPr>
              <w:t>Payments due by period</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00"/>
              <w:spacing w:after="0" w:line="171" w:lineRule="exact"/>
              <w:rPr>
                <w:sz w:val="20"/>
                <w:szCs w:val="20"/>
                <w:color w:val="auto"/>
              </w:rPr>
            </w:pPr>
            <w:r>
              <w:rPr>
                <w:rFonts w:ascii="Arial" w:cs="Arial" w:eastAsia="Arial" w:hAnsi="Arial"/>
                <w:sz w:val="16"/>
                <w:szCs w:val="16"/>
                <w:color w:val="auto"/>
              </w:rPr>
              <w:t>2024 and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5"/>
        </w:trPr>
        <w:tc>
          <w:tcPr>
            <w:tcW w:w="3700" w:type="dxa"/>
            <w:vAlign w:val="bottom"/>
            <w:gridSpan w:val="2"/>
          </w:tcPr>
          <w:p>
            <w:pPr>
              <w:spacing w:after="0"/>
              <w:rPr>
                <w:sz w:val="20"/>
                <w:szCs w:val="20"/>
                <w:color w:val="auto"/>
              </w:rPr>
            </w:pPr>
            <w:r>
              <w:rPr>
                <w:rFonts w:ascii="Arial" w:cs="Arial" w:eastAsia="Arial" w:hAnsi="Arial"/>
                <w:sz w:val="16"/>
                <w:szCs w:val="16"/>
                <w:i w:val="1"/>
                <w:iCs w:val="1"/>
                <w:color w:val="auto"/>
              </w:rPr>
              <w:t>(in millions)</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2020-2021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2022-2023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thereafter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420"/>
              <w:spacing w:after="0"/>
              <w:rPr>
                <w:sz w:val="20"/>
                <w:szCs w:val="20"/>
                <w:color w:val="auto"/>
              </w:rPr>
            </w:pPr>
            <w:r>
              <w:rPr>
                <w:rFonts w:ascii="Arial" w:cs="Arial" w:eastAsia="Arial" w:hAnsi="Arial"/>
                <w:sz w:val="16"/>
                <w:szCs w:val="16"/>
                <w:color w:val="auto"/>
              </w:rPr>
              <w:t>Total</w:t>
            </w:r>
          </w:p>
        </w:tc>
      </w:tr>
      <w:tr>
        <w:trPr>
          <w:trHeight w:val="220"/>
        </w:trPr>
        <w:tc>
          <w:tcPr>
            <w:tcW w:w="20" w:type="dxa"/>
            <w:vAlign w:val="bottom"/>
          </w:tcPr>
          <w:p>
            <w:pPr>
              <w:spacing w:after="0"/>
              <w:rPr>
                <w:sz w:val="19"/>
                <w:szCs w:val="19"/>
                <w:color w:val="auto"/>
              </w:rPr>
            </w:pPr>
          </w:p>
        </w:tc>
        <w:tc>
          <w:tcPr>
            <w:tcW w:w="3680" w:type="dxa"/>
            <w:vAlign w:val="bottom"/>
            <w:tcBorders>
              <w:top w:val="single" w:sz="8" w:color="auto"/>
            </w:tcBorders>
            <w:shd w:val="clear" w:color="auto" w:fill="CCEEFF"/>
          </w:tcPr>
          <w:p>
            <w:pPr>
              <w:spacing w:after="0" w:line="220" w:lineRule="exact"/>
              <w:rPr>
                <w:sz w:val="20"/>
                <w:szCs w:val="20"/>
                <w:color w:val="auto"/>
              </w:rPr>
            </w:pPr>
            <w:r>
              <w:rPr>
                <w:rFonts w:ascii="Arial" w:cs="Arial" w:eastAsia="Arial" w:hAnsi="Arial"/>
                <w:sz w:val="16"/>
                <w:szCs w:val="16"/>
                <w:color w:val="auto"/>
              </w:rPr>
              <w:t>Operating lease obligations</w:t>
            </w:r>
            <w:r>
              <w:rPr>
                <w:rFonts w:ascii="Arial" w:cs="Arial" w:eastAsia="Arial" w:hAnsi="Arial"/>
                <w:sz w:val="25"/>
                <w:szCs w:val="25"/>
                <w:color w:val="auto"/>
                <w:vertAlign w:val="superscript"/>
              </w:rPr>
              <w:t>(1)</w:t>
            </w:r>
          </w:p>
        </w:tc>
        <w:tc>
          <w:tcPr>
            <w:tcW w:w="1380" w:type="dxa"/>
            <w:vAlign w:val="bottom"/>
            <w:tcBorders>
              <w:top w:val="single" w:sz="8" w:color="auto"/>
            </w:tcBorders>
            <w:gridSpan w:val="2"/>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41.1</w:t>
            </w: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4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63.3</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w:t>
            </w:r>
          </w:p>
        </w:tc>
        <w:tc>
          <w:tcPr>
            <w:tcW w:w="28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3680" w:type="dxa"/>
            <w:vAlign w:val="bottom"/>
          </w:tcPr>
          <w:p>
            <w:pPr>
              <w:spacing w:after="0" w:line="228" w:lineRule="exact"/>
              <w:rPr>
                <w:sz w:val="20"/>
                <w:szCs w:val="20"/>
                <w:color w:val="auto"/>
              </w:rPr>
            </w:pPr>
            <w:r>
              <w:rPr>
                <w:rFonts w:ascii="Arial" w:cs="Arial" w:eastAsia="Arial" w:hAnsi="Arial"/>
                <w:sz w:val="16"/>
                <w:szCs w:val="16"/>
                <w:color w:val="auto"/>
              </w:rPr>
              <w:t>Purchase commitments</w:t>
            </w:r>
            <w:r>
              <w:rPr>
                <w:rFonts w:ascii="Arial" w:cs="Arial" w:eastAsia="Arial" w:hAnsi="Arial"/>
                <w:sz w:val="26"/>
                <w:szCs w:val="26"/>
                <w:color w:val="auto"/>
                <w:vertAlign w:val="superscript"/>
              </w:rPr>
              <w:t>(2)</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79.0</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Long-term debt obligations</w:t>
            </w:r>
            <w:r>
              <w:rPr>
                <w:rFonts w:ascii="Arial" w:cs="Arial" w:eastAsia="Arial" w:hAnsi="Arial"/>
                <w:sz w:val="25"/>
                <w:szCs w:val="25"/>
                <w:color w:val="auto"/>
                <w:vertAlign w:val="superscript"/>
              </w:rPr>
              <w:t>(3)</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w:t>
            </w:r>
          </w:p>
        </w:tc>
        <w:tc>
          <w:tcPr>
            <w:tcW w:w="2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3680" w:type="dxa"/>
            <w:vAlign w:val="bottom"/>
          </w:tcPr>
          <w:p>
            <w:pPr>
              <w:ind w:left="120"/>
              <w:spacing w:after="0"/>
              <w:rPr>
                <w:sz w:val="20"/>
                <w:szCs w:val="20"/>
                <w:color w:val="auto"/>
              </w:rPr>
            </w:pPr>
            <w:r>
              <w:rPr>
                <w:rFonts w:ascii="Arial" w:cs="Arial" w:eastAsia="Arial" w:hAnsi="Arial"/>
                <w:sz w:val="16"/>
                <w:szCs w:val="16"/>
                <w:color w:val="auto"/>
              </w:rPr>
              <w:t>Total contractual obligations by period</w:t>
            </w:r>
            <w:r>
              <w:rPr>
                <w:rFonts w:ascii="Arial" w:cs="Arial" w:eastAsia="Arial" w:hAnsi="Arial"/>
                <w:sz w:val="26"/>
                <w:szCs w:val="26"/>
                <w:color w:val="auto"/>
                <w:vertAlign w:val="superscript"/>
              </w:rPr>
              <w:t>(4)</w:t>
            </w:r>
          </w:p>
        </w:tc>
        <w:tc>
          <w:tcPr>
            <w:tcW w:w="940" w:type="dxa"/>
            <w:vAlign w:val="bottom"/>
          </w:tcPr>
          <w:p>
            <w:pPr>
              <w:spacing w:after="0"/>
              <w:rPr>
                <w:sz w:val="24"/>
                <w:szCs w:val="24"/>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651.6</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63.3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4"/>
                <w:szCs w:val="24"/>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1,061.8</w:t>
            </w:r>
          </w:p>
        </w:tc>
        <w:tc>
          <w:tcPr>
            <w:tcW w:w="280" w:type="dxa"/>
            <w:vAlign w:val="bottom"/>
          </w:tcPr>
          <w:p>
            <w:pPr>
              <w:spacing w:after="0"/>
              <w:rPr>
                <w:sz w:val="24"/>
                <w:szCs w:val="24"/>
                <w:color w:val="auto"/>
              </w:rPr>
            </w:pPr>
          </w:p>
        </w:tc>
      </w:tr>
    </w:tbl>
    <w:p>
      <w:pPr>
        <w:spacing w:after="0" w:line="59" w:lineRule="exact"/>
        <w:rPr>
          <w:sz w:val="20"/>
          <w:szCs w:val="20"/>
          <w:color w:val="auto"/>
        </w:rPr>
      </w:pPr>
    </w:p>
    <w:p>
      <w:pPr>
        <w:ind w:left="420" w:right="20" w:hanging="280"/>
        <w:spacing w:after="0" w:line="231" w:lineRule="auto"/>
        <w:tabs>
          <w:tab w:leader="none" w:pos="4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Operating lease amounts include future minimum lease payments under all our non-cancelable operating leases with an initial term in excess of one year. For more information on our operating leases, see Note 19, Commitments and Contingencies, in the Notes to the Company’s Consolidated Financial Statements included in Item 8 of this Report on Form 10-K.</w:t>
      </w:r>
    </w:p>
    <w:p>
      <w:pPr>
        <w:spacing w:after="0" w:line="98" w:lineRule="exact"/>
        <w:rPr>
          <w:rFonts w:ascii="Arial" w:cs="Arial" w:eastAsia="Arial" w:hAnsi="Arial"/>
          <w:sz w:val="21"/>
          <w:szCs w:val="21"/>
          <w:i w:val="1"/>
          <w:iCs w:val="1"/>
          <w:color w:val="auto"/>
          <w:vertAlign w:val="superscript"/>
        </w:rPr>
      </w:pPr>
    </w:p>
    <w:p>
      <w:pPr>
        <w:ind w:left="420" w:right="420" w:hanging="280"/>
        <w:spacing w:after="0" w:line="223" w:lineRule="auto"/>
        <w:tabs>
          <w:tab w:leader="none" w:pos="4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Purchase commitments represent payments due in future periods in respect of obligations to our various data vendors as well as commitments to purchase goods and services such as telecommunication, computer maintenance and consulting services.</w:t>
      </w:r>
    </w:p>
    <w:p>
      <w:pPr>
        <w:spacing w:after="0" w:line="60" w:lineRule="exact"/>
        <w:rPr>
          <w:rFonts w:ascii="Arial" w:cs="Arial" w:eastAsia="Arial" w:hAnsi="Arial"/>
          <w:sz w:val="21"/>
          <w:szCs w:val="21"/>
          <w:i w:val="1"/>
          <w:iCs w:val="1"/>
          <w:color w:val="auto"/>
          <w:vertAlign w:val="superscript"/>
        </w:rPr>
      </w:pPr>
    </w:p>
    <w:p>
      <w:pPr>
        <w:ind w:left="420" w:hanging="280"/>
        <w:spacing w:after="0"/>
        <w:tabs>
          <w:tab w:leader="none" w:pos="4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Represents the amount due under the Company’s 2017 Credit Agreement.</w:t>
      </w:r>
    </w:p>
    <w:p>
      <w:pPr>
        <w:spacing w:after="0" w:line="95" w:lineRule="exact"/>
        <w:rPr>
          <w:rFonts w:ascii="Arial" w:cs="Arial" w:eastAsia="Arial" w:hAnsi="Arial"/>
          <w:sz w:val="21"/>
          <w:szCs w:val="21"/>
          <w:i w:val="1"/>
          <w:iCs w:val="1"/>
          <w:color w:val="auto"/>
          <w:vertAlign w:val="superscript"/>
        </w:rPr>
      </w:pPr>
    </w:p>
    <w:p>
      <w:pPr>
        <w:ind w:left="420" w:right="480" w:hanging="280"/>
        <w:spacing w:after="0" w:line="223" w:lineRule="auto"/>
        <w:tabs>
          <w:tab w:leader="none" w:pos="420"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Non-current income taxes payable of $11.5 million and non-current deferred tax liabilities of $24.9 million have been excluded in the table above due to uncertainty regarding the timing of future payments.</w:t>
      </w:r>
    </w:p>
    <w:p>
      <w:pPr>
        <w:spacing w:after="0" w:line="18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color w:val="auto"/>
        </w:rPr>
        <w:t>Purchase orders do not necessarily reflect a binding commitment but are merely indicative of authorizations and intention to conclude purchases in the future. For the purpose of this tabular disclosure, purchase obligations for goods and services are defined as agreements that are enforceable and legally binding on us and that specify all significant terms, including: fixed or minimum quantities to be purchased; fixed, minimum or variable price provisions; and the approximate timing of the transaction. It is expected that all the contractual obligations noted in the table will be funded from existing cash and cash flows from operations. Expected timing pertaining to the contractual obligations included in the table above has been estimated based on information currently available. The amounts paid, and the timing of those payments may differ based on when the goods and services provided by our vendors to whom we are contractually obligated are received as well as due to changes to agreed-upon amounts for any of our obligations.</w:t>
      </w:r>
    </w:p>
    <w:p>
      <w:pPr>
        <w:spacing w:after="0" w:line="142"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On February 14, 2018, we entered into a new lease to relocate our corporate headquarters to 45 Glover Avenue in Norwalk, Connecticut. The new location will comprise approximately 173,000 square feet of office space. We expect to take possession of the newly leased property on or around January 1, 2019 for fit-out purposes. We will continue to occupy our existing headquarters space until the new headquarters property is ready for occupancy, currently estimated to be in the second quarter of fiscal 2020.</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Including new lease agreements executed during fiscal 2018, our worldwide leased office space increased to approximately 1,750,000 square feet at August 31, 2018, up 607,000 square feet, or 54.0% from August 31, 2017. This increase was primarily related to additional office space in the Philippines and the new headquarters lease signed in February 2018. Future minimum requirements for our operating leases in place as of August 31, 2018 totaled $407.8 million, an increase from $281.7 million as of August 31, 2017, primarily due to the additional office space in the Philippines and new leased space for headquarters in Norwalk, Connecticut mentioned above.</w:t>
      </w:r>
    </w:p>
    <w:p>
      <w:pPr>
        <w:spacing w:after="0" w:line="15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 xml:space="preserve">As disclosed earlier in the </w:t>
      </w:r>
      <w:r>
        <w:rPr>
          <w:rFonts w:ascii="Arial" w:cs="Arial" w:eastAsia="Arial" w:hAnsi="Arial"/>
          <w:sz w:val="16"/>
          <w:szCs w:val="16"/>
          <w:i w:val="1"/>
          <w:iCs w:val="1"/>
          <w:color w:val="auto"/>
        </w:rPr>
        <w:t>Capital Resources</w:t>
      </w:r>
      <w:r>
        <w:rPr>
          <w:rFonts w:ascii="Arial" w:cs="Arial" w:eastAsia="Arial" w:hAnsi="Arial"/>
          <w:sz w:val="16"/>
          <w:szCs w:val="16"/>
          <w:color w:val="auto"/>
        </w:rPr>
        <w:t xml:space="preserve"> section of this MD&amp;A, we entered into the 2017 Credit Agreement on March 17, 2017 and borrowed $575.0 million. In conjunction with the 2017 Credit Agreement, FactSet retired its outstanding loan amount of $365.0 million under the previous credit agreement.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With the exception of the new leases entered in the ordinary course of business, there were no other significant changes to our contractual obligations during fiscal 2018.</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Dividends</w:t>
      </w:r>
    </w:p>
    <w:p>
      <w:pPr>
        <w:spacing w:after="0" w:line="200" w:lineRule="exact"/>
        <w:rPr>
          <w:sz w:val="20"/>
          <w:szCs w:val="20"/>
          <w:color w:val="auto"/>
        </w:rPr>
      </w:pPr>
    </w:p>
    <w:p>
      <w:pPr>
        <w:ind w:right="20"/>
        <w:spacing w:after="0" w:line="319" w:lineRule="auto"/>
        <w:rPr>
          <w:sz w:val="20"/>
          <w:szCs w:val="20"/>
          <w:color w:val="auto"/>
        </w:rPr>
      </w:pPr>
      <w:r>
        <w:rPr>
          <w:rFonts w:ascii="Arial" w:cs="Arial" w:eastAsia="Arial" w:hAnsi="Arial"/>
          <w:sz w:val="14"/>
          <w:szCs w:val="14"/>
          <w:color w:val="auto"/>
        </w:rPr>
        <w:t>On May 7, 2018, our Board of Directors approved a 14.3% increase in the regular quarterly dividend beginning with the dividend payment on June 19, 2018, which was $0.64 per share. With our dividends and our share repurchases, in the aggregate, we have returned $393.4 million to stockholders over the past 12 months. Future cash dividends will depend on our earnings, capital requirements, financial condition and other factors we consider relevant. Dividends must be authorized by our Board of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During fiscal years 2018 and 2017, our Board of Directors declared the following dividends on our common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color w:val="auto"/>
              </w:rPr>
              <w:t>Dividends per</w:t>
            </w: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color w:val="auto"/>
              </w:rPr>
              <w:t>Share of</w:t>
            </w: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Arial" w:cs="Arial" w:eastAsia="Arial" w:hAnsi="Arial"/>
                <w:sz w:val="16"/>
                <w:szCs w:val="16"/>
                <w:i w:val="1"/>
                <w:iCs w:val="1"/>
                <w:color w:val="auto"/>
                <w:w w:val="92"/>
              </w:rPr>
              <w:t>Total $ Amount</w:t>
            </w: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Year Ended</w:t>
            </w:r>
          </w:p>
        </w:tc>
        <w:tc>
          <w:tcPr>
            <w:tcW w:w="1800" w:type="dxa"/>
            <w:vAlign w:val="bottom"/>
          </w:tcPr>
          <w:p>
            <w:pPr>
              <w:ind w:left="700"/>
              <w:spacing w:after="0"/>
              <w:rPr>
                <w:sz w:val="20"/>
                <w:szCs w:val="20"/>
                <w:color w:val="auto"/>
              </w:rPr>
            </w:pPr>
            <w:r>
              <w:rPr>
                <w:rFonts w:ascii="Arial" w:cs="Arial" w:eastAsia="Arial" w:hAnsi="Arial"/>
                <w:sz w:val="16"/>
                <w:szCs w:val="16"/>
                <w:color w:val="auto"/>
                <w:w w:val="98"/>
              </w:rPr>
              <w:t>Common Stock</w:t>
            </w:r>
          </w:p>
        </w:tc>
        <w:tc>
          <w:tcPr>
            <w:tcW w:w="500" w:type="dxa"/>
            <w:vAlign w:val="bottom"/>
          </w:tcPr>
          <w:p>
            <w:pPr>
              <w:spacing w:after="0"/>
              <w:rPr>
                <w:sz w:val="17"/>
                <w:szCs w:val="17"/>
                <w:color w:val="auto"/>
              </w:rPr>
            </w:pPr>
          </w:p>
        </w:tc>
        <w:tc>
          <w:tcPr>
            <w:tcW w:w="2140" w:type="dxa"/>
            <w:vAlign w:val="bottom"/>
          </w:tcPr>
          <w:p>
            <w:pPr>
              <w:ind w:left="100"/>
              <w:spacing w:after="0"/>
              <w:rPr>
                <w:sz w:val="20"/>
                <w:szCs w:val="20"/>
                <w:color w:val="auto"/>
              </w:rPr>
            </w:pPr>
            <w:r>
              <w:rPr>
                <w:rFonts w:ascii="Arial" w:cs="Arial" w:eastAsia="Arial" w:hAnsi="Arial"/>
                <w:sz w:val="16"/>
                <w:szCs w:val="16"/>
                <w:color w:val="auto"/>
              </w:rPr>
              <w:t>Record Date</w:t>
            </w:r>
          </w:p>
        </w:tc>
        <w:tc>
          <w:tcPr>
            <w:tcW w:w="1760" w:type="dxa"/>
            <w:vAlign w:val="bottom"/>
          </w:tcPr>
          <w:p>
            <w:pPr>
              <w:ind w:left="740"/>
              <w:spacing w:after="0"/>
              <w:rPr>
                <w:sz w:val="20"/>
                <w:szCs w:val="20"/>
                <w:color w:val="auto"/>
              </w:rPr>
            </w:pPr>
            <w:r>
              <w:rPr>
                <w:rFonts w:ascii="Arial" w:cs="Arial" w:eastAsia="Arial" w:hAnsi="Arial"/>
                <w:sz w:val="16"/>
                <w:szCs w:val="16"/>
                <w:i w:val="1"/>
                <w:iCs w:val="1"/>
                <w:color w:val="auto"/>
                <w:w w:val="98"/>
              </w:rPr>
              <w:t>(in thousands)</w:t>
            </w:r>
          </w:p>
        </w:tc>
        <w:tc>
          <w:tcPr>
            <w:tcW w:w="600" w:type="dxa"/>
            <w:vAlign w:val="bottom"/>
          </w:tcPr>
          <w:p>
            <w:pPr>
              <w:spacing w:after="0"/>
              <w:rPr>
                <w:sz w:val="17"/>
                <w:szCs w:val="17"/>
                <w:color w:val="auto"/>
              </w:rPr>
            </w:pPr>
          </w:p>
        </w:tc>
        <w:tc>
          <w:tcPr>
            <w:tcW w:w="2800" w:type="dxa"/>
            <w:vAlign w:val="bottom"/>
          </w:tcPr>
          <w:p>
            <w:pPr>
              <w:ind w:left="120"/>
              <w:spacing w:after="0"/>
              <w:rPr>
                <w:sz w:val="20"/>
                <w:szCs w:val="20"/>
                <w:color w:val="auto"/>
              </w:rPr>
            </w:pPr>
            <w:r>
              <w:rPr>
                <w:rFonts w:ascii="Arial" w:cs="Arial" w:eastAsia="Arial" w:hAnsi="Arial"/>
                <w:sz w:val="16"/>
                <w:szCs w:val="16"/>
                <w:color w:val="auto"/>
              </w:rPr>
              <w:t>Payment Date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Fiscal 2018</w:t>
            </w:r>
          </w:p>
        </w:tc>
        <w:tc>
          <w:tcPr>
            <w:tcW w:w="18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tcPr>
          <w:p>
            <w:pPr>
              <w:ind w:left="100"/>
              <w:spacing w:after="0"/>
              <w:rPr>
                <w:sz w:val="20"/>
                <w:szCs w:val="20"/>
                <w:color w:val="auto"/>
              </w:rPr>
            </w:pPr>
            <w:r>
              <w:rPr>
                <w:rFonts w:ascii="Arial" w:cs="Arial" w:eastAsia="Arial" w:hAnsi="Arial"/>
                <w:sz w:val="16"/>
                <w:szCs w:val="16"/>
                <w:color w:val="auto"/>
              </w:rPr>
              <w:t>November 30, 2017</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21,902</w:t>
            </w:r>
          </w:p>
        </w:tc>
        <w:tc>
          <w:tcPr>
            <w:tcW w:w="2800" w:type="dxa"/>
            <w:vAlign w:val="bottom"/>
          </w:tcPr>
          <w:p>
            <w:pPr>
              <w:ind w:left="120"/>
              <w:spacing w:after="0"/>
              <w:rPr>
                <w:sz w:val="20"/>
                <w:szCs w:val="20"/>
                <w:color w:val="auto"/>
              </w:rPr>
            </w:pPr>
            <w:r>
              <w:rPr>
                <w:rFonts w:ascii="Arial" w:cs="Arial" w:eastAsia="Arial" w:hAnsi="Arial"/>
                <w:sz w:val="16"/>
                <w:szCs w:val="16"/>
                <w:color w:val="auto"/>
              </w:rPr>
              <w:t>December 19,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February 28, 2018</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21,799</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March 20,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0.64</w:t>
            </w:r>
          </w:p>
        </w:tc>
        <w:tc>
          <w:tcPr>
            <w:tcW w:w="2140" w:type="dxa"/>
            <w:vAlign w:val="bottom"/>
          </w:tcPr>
          <w:p>
            <w:pPr>
              <w:ind w:left="100"/>
              <w:spacing w:after="0"/>
              <w:rPr>
                <w:sz w:val="20"/>
                <w:szCs w:val="20"/>
                <w:color w:val="auto"/>
              </w:rPr>
            </w:pPr>
            <w:r>
              <w:rPr>
                <w:rFonts w:ascii="Arial" w:cs="Arial" w:eastAsia="Arial" w:hAnsi="Arial"/>
                <w:sz w:val="16"/>
                <w:szCs w:val="16"/>
                <w:color w:val="auto"/>
              </w:rPr>
              <w:t>May 31, 2018</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24,566</w:t>
            </w:r>
          </w:p>
        </w:tc>
        <w:tc>
          <w:tcPr>
            <w:tcW w:w="2800" w:type="dxa"/>
            <w:vAlign w:val="bottom"/>
          </w:tcPr>
          <w:p>
            <w:pPr>
              <w:ind w:left="120"/>
              <w:spacing w:after="0"/>
              <w:rPr>
                <w:sz w:val="20"/>
                <w:szCs w:val="20"/>
                <w:color w:val="auto"/>
              </w:rPr>
            </w:pPr>
            <w:r>
              <w:rPr>
                <w:rFonts w:ascii="Arial" w:cs="Arial" w:eastAsia="Arial" w:hAnsi="Arial"/>
                <w:sz w:val="16"/>
                <w:szCs w:val="16"/>
                <w:color w:val="auto"/>
              </w:rPr>
              <w:t>June 19,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August 31, 2018</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24,443</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18, 2018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color w:val="auto"/>
              </w:rPr>
              <w:t>Fiscal 2017</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2140" w:type="dxa"/>
            <w:vAlign w:val="bottom"/>
          </w:tcPr>
          <w:p>
            <w:pPr>
              <w:ind w:left="100"/>
              <w:spacing w:after="0"/>
              <w:rPr>
                <w:sz w:val="20"/>
                <w:szCs w:val="20"/>
                <w:color w:val="auto"/>
              </w:rPr>
            </w:pPr>
            <w:r>
              <w:rPr>
                <w:rFonts w:ascii="Arial" w:cs="Arial" w:eastAsia="Arial" w:hAnsi="Arial"/>
                <w:sz w:val="16"/>
                <w:szCs w:val="16"/>
                <w:color w:val="auto"/>
              </w:rPr>
              <w:t>November 30, 2016</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19,852</w:t>
            </w:r>
          </w:p>
        </w:tc>
        <w:tc>
          <w:tcPr>
            <w:tcW w:w="2800" w:type="dxa"/>
            <w:vAlign w:val="bottom"/>
          </w:tcPr>
          <w:p>
            <w:pPr>
              <w:ind w:left="120"/>
              <w:spacing w:after="0"/>
              <w:rPr>
                <w:sz w:val="20"/>
                <w:szCs w:val="20"/>
                <w:color w:val="auto"/>
              </w:rPr>
            </w:pPr>
            <w:r>
              <w:rPr>
                <w:rFonts w:ascii="Arial" w:cs="Arial" w:eastAsia="Arial" w:hAnsi="Arial"/>
                <w:sz w:val="16"/>
                <w:szCs w:val="16"/>
                <w:color w:val="auto"/>
              </w:rPr>
              <w:t>December 20,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0.50</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February 28, 2017</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19,709</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March 21,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1800" w:type="dxa"/>
            <w:vAlign w:val="bottom"/>
          </w:tcPr>
          <w:p>
            <w:pPr>
              <w:ind w:left="70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tcPr>
          <w:p>
            <w:pPr>
              <w:ind w:left="100"/>
              <w:spacing w:after="0"/>
              <w:rPr>
                <w:sz w:val="20"/>
                <w:szCs w:val="20"/>
                <w:color w:val="auto"/>
              </w:rPr>
            </w:pPr>
            <w:r>
              <w:rPr>
                <w:rFonts w:ascii="Arial" w:cs="Arial" w:eastAsia="Arial" w:hAnsi="Arial"/>
                <w:sz w:val="16"/>
                <w:szCs w:val="16"/>
                <w:color w:val="auto"/>
              </w:rPr>
              <w:t>May 31, 2017</w:t>
            </w:r>
          </w:p>
        </w:tc>
        <w:tc>
          <w:tcPr>
            <w:tcW w:w="1760" w:type="dxa"/>
            <w:vAlign w:val="bottom"/>
          </w:tcPr>
          <w:p>
            <w:pPr>
              <w:ind w:left="7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w w:val="93"/>
              </w:rPr>
              <w:t>21,951</w:t>
            </w:r>
          </w:p>
        </w:tc>
        <w:tc>
          <w:tcPr>
            <w:tcW w:w="2800" w:type="dxa"/>
            <w:vAlign w:val="bottom"/>
          </w:tcPr>
          <w:p>
            <w:pPr>
              <w:ind w:left="120"/>
              <w:spacing w:after="0"/>
              <w:rPr>
                <w:sz w:val="20"/>
                <w:szCs w:val="20"/>
                <w:color w:val="auto"/>
              </w:rPr>
            </w:pPr>
            <w:r>
              <w:rPr>
                <w:rFonts w:ascii="Arial" w:cs="Arial" w:eastAsia="Arial" w:hAnsi="Arial"/>
                <w:sz w:val="16"/>
                <w:szCs w:val="16"/>
                <w:color w:val="auto"/>
              </w:rPr>
              <w:t>June 20,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1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August 31, 2017</w:t>
            </w:r>
          </w:p>
        </w:tc>
        <w:tc>
          <w:tcPr>
            <w:tcW w:w="17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3"/>
              </w:rPr>
              <w:t>21,853</w:t>
            </w:r>
          </w:p>
        </w:tc>
        <w:tc>
          <w:tcPr>
            <w:tcW w:w="2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September 19, 2017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All the above cash dividends were paid from existing cash resources on a quarterly basis.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Significant Accounting Policies</w:t>
      </w:r>
    </w:p>
    <w:p>
      <w:pPr>
        <w:spacing w:after="0" w:line="200"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 xml:space="preserve">We describe our significant accounting policies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our Consolidated Financial Statements included in Item 8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Critical Accounting Estimates</w:t>
      </w:r>
    </w:p>
    <w:p>
      <w:pPr>
        <w:spacing w:after="0" w:line="200" w:lineRule="exact"/>
        <w:rPr>
          <w:sz w:val="20"/>
          <w:szCs w:val="20"/>
          <w:color w:val="auto"/>
        </w:rPr>
      </w:pPr>
    </w:p>
    <w:p>
      <w:pPr>
        <w:ind w:right="60"/>
        <w:spacing w:after="0" w:line="302" w:lineRule="auto"/>
        <w:rPr>
          <w:sz w:val="20"/>
          <w:szCs w:val="20"/>
          <w:color w:val="auto"/>
        </w:rPr>
      </w:pPr>
      <w:r>
        <w:rPr>
          <w:rFonts w:ascii="Arial" w:cs="Arial" w:eastAsia="Arial" w:hAnsi="Arial"/>
          <w:sz w:val="14"/>
          <w:szCs w:val="14"/>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Management has discussed the development and selection of these critical accounting estimates with the Audit Committee of our Board of Directors. In addition, there are other items within our consolidated financial statements that require estimation but are not deemed critical as defined above. Changes in estimates used in these and other items could have a material impact on our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Combinations</w:t>
      </w:r>
    </w:p>
    <w:p>
      <w:pPr>
        <w:spacing w:after="0" w:line="20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record acquisitions using the purchase method of accounting. All the assets acquired, liabilities assumed, contractual contingencies and contingent consideration are recognized at their fair value on the acquisition date.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Our estimates are based on historical experience, information obtained from the management of the acquired companies, and when appropriate, include assistance from independent third-party appraisal firms. Our significant assumptions and estimates can include, but are not limited to, the cash flows that an asset is expected to generate in the future, the appropriate weighted-average cost of capital, and the cost savings expected to be derived from acquiring an asset. These estimates are inherently uncertain and unpredictable. In addition, unanticipated events and circumstances may occur which may affect the accuracy or validity of such estimates.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Equity Awards</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Performance-based stock options require management to make assumptions regarding the likelihood of achieving our performance targets. The number of performance-based options that vest will be predicated on us achieving performance levels during the measurement period subsequent to the date of grant. Depending on the financial performance levels we achieve, a percentage of the performance-based stock options will vest to the grantees of those stock options. However, there is no current guarantee that such options will vest in whole or in part.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February 2015 Performance-based Option Grant Review</w:t>
      </w:r>
    </w:p>
    <w:p>
      <w:pPr>
        <w:spacing w:after="0" w:line="204" w:lineRule="exact"/>
        <w:rPr>
          <w:sz w:val="20"/>
          <w:szCs w:val="20"/>
          <w:color w:val="auto"/>
        </w:rPr>
      </w:pPr>
    </w:p>
    <w:p>
      <w:pPr>
        <w:ind w:right="200"/>
        <w:spacing w:after="0" w:line="278" w:lineRule="auto"/>
        <w:rPr>
          <w:sz w:val="20"/>
          <w:szCs w:val="20"/>
          <w:color w:val="auto"/>
        </w:rPr>
      </w:pPr>
      <w:r>
        <w:rPr>
          <w:rFonts w:ascii="Arial" w:cs="Arial" w:eastAsia="Arial" w:hAnsi="Arial"/>
          <w:sz w:val="15"/>
          <w:szCs w:val="15"/>
          <w:color w:val="auto"/>
        </w:rPr>
        <w:t>In connection with the acquisition of Code Red, we granted 68,761 performance-based stock options during the second quarter of fiscal 2015 that are eligible to cliff vest based on a four-year measurement period ending February 28, 2019. In the second quarter of fiscal 2018, we modified the vesting criteria of the grant, which resulted in 40% of the options being deemed eligible to vest, with the remaining options forfeited. No cumulative catch-up adjustment was required because we had expected the 40% level to be achieved. The option holders must remain employed by FactSet through February 28, 2019 for the options to vest. As of August 31, 2018, total unamortized stock-based compensation of $0.4 million will be recognized as expense over the remaining vesting period of 0.4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January 2017 Performance-based Option Grant Review</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In connection with the acquisition of Vermilion, we granted 61,744 performance-based stock options in January 2017. These performance-based options will vest 40% on the second anniversary date of the grant and 20% on each subsequent anniversary date if certain Vermilion revenue and operating income targets are achieved by November 30, 2018. The option holders must also remain employed by FactSet for the options to be eligible to vest. As of August 31, 2018, we do not believe these growth targets are probable of being achieved, and as such, no stock-based compensation expense is expected to be recognized in connection with these performance-based options. A change in the actual financial performance levels achieved by Vermilion in future periods could result in the following changes to the current estimate of the vesting percentage and related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vesting percentage data)</w:t>
            </w:r>
          </w:p>
        </w:tc>
        <w:tc>
          <w:tcPr>
            <w:tcW w:w="2360" w:type="dxa"/>
            <w:vAlign w:val="bottom"/>
          </w:tcPr>
          <w:p>
            <w:pPr>
              <w:spacing w:after="0"/>
              <w:rPr>
                <w:sz w:val="17"/>
                <w:szCs w:val="17"/>
                <w:color w:val="auto"/>
              </w:rPr>
            </w:pPr>
          </w:p>
        </w:tc>
        <w:tc>
          <w:tcPr>
            <w:tcW w:w="1840" w:type="dxa"/>
            <w:vAlign w:val="bottom"/>
            <w:vMerge w:val="restart"/>
          </w:tcPr>
          <w:p>
            <w:pPr>
              <w:jc w:val="right"/>
              <w:ind w:right="580"/>
              <w:spacing w:after="0"/>
              <w:rPr>
                <w:sz w:val="20"/>
                <w:szCs w:val="20"/>
                <w:color w:val="auto"/>
              </w:rPr>
            </w:pPr>
            <w:r>
              <w:rPr>
                <w:rFonts w:ascii="Arial" w:cs="Arial" w:eastAsia="Arial" w:hAnsi="Arial"/>
                <w:sz w:val="16"/>
                <w:szCs w:val="16"/>
                <w:color w:val="auto"/>
              </w:rPr>
              <w:t>Cumulative</w:t>
            </w:r>
          </w:p>
        </w:tc>
        <w:tc>
          <w:tcPr>
            <w:tcW w:w="280" w:type="dxa"/>
            <w:vAlign w:val="bottom"/>
          </w:tcPr>
          <w:p>
            <w:pPr>
              <w:spacing w:after="0"/>
              <w:rPr>
                <w:sz w:val="17"/>
                <w:szCs w:val="17"/>
                <w:color w:val="auto"/>
              </w:rPr>
            </w:pPr>
          </w:p>
        </w:tc>
        <w:tc>
          <w:tcPr>
            <w:tcW w:w="176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w w:val="94"/>
              </w:rPr>
              <w:t>Remaining Expense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200" w:type="dxa"/>
            <w:vAlign w:val="bottom"/>
            <w:gridSpan w:val="2"/>
          </w:tcPr>
          <w:p>
            <w:pPr>
              <w:spacing w:after="0"/>
              <w:rPr>
                <w:sz w:val="20"/>
                <w:szCs w:val="20"/>
                <w:color w:val="auto"/>
              </w:rPr>
            </w:pPr>
            <w:r>
              <w:rPr>
                <w:rFonts w:ascii="Arial" w:cs="Arial" w:eastAsia="Arial" w:hAnsi="Arial"/>
                <w:sz w:val="16"/>
                <w:szCs w:val="16"/>
                <w:color w:val="auto"/>
              </w:rPr>
              <w:t>Vesting Percentage</w:t>
            </w:r>
          </w:p>
        </w:tc>
        <w:tc>
          <w:tcPr>
            <w:tcW w:w="2360" w:type="dxa"/>
            <w:vAlign w:val="bottom"/>
          </w:tcPr>
          <w:p>
            <w:pPr>
              <w:spacing w:after="0"/>
              <w:rPr>
                <w:sz w:val="20"/>
                <w:szCs w:val="20"/>
                <w:color w:val="auto"/>
              </w:rPr>
            </w:pPr>
          </w:p>
        </w:tc>
        <w:tc>
          <w:tcPr>
            <w:tcW w:w="1840" w:type="dxa"/>
            <w:vAlign w:val="bottom"/>
          </w:tcPr>
          <w:p>
            <w:pPr>
              <w:jc w:val="right"/>
              <w:ind w:right="200"/>
              <w:spacing w:after="0" w:line="238" w:lineRule="exact"/>
              <w:rPr>
                <w:sz w:val="20"/>
                <w:szCs w:val="20"/>
                <w:color w:val="auto"/>
              </w:rPr>
            </w:pPr>
            <w:r>
              <w:rPr>
                <w:rFonts w:ascii="Arial" w:cs="Arial" w:eastAsia="Arial" w:hAnsi="Arial"/>
                <w:sz w:val="16"/>
                <w:szCs w:val="16"/>
                <w:color w:val="auto"/>
                <w:w w:val="90"/>
              </w:rPr>
              <w:t>Catch-up Adjustment</w:t>
            </w:r>
            <w:r>
              <w:rPr>
                <w:rFonts w:ascii="Arial" w:cs="Arial" w:eastAsia="Arial" w:hAnsi="Arial"/>
                <w:sz w:val="26"/>
                <w:szCs w:val="26"/>
                <w:color w:val="auto"/>
                <w:w w:val="90"/>
                <w:vertAlign w:val="superscript"/>
              </w:rPr>
              <w:t>(1)</w:t>
            </w:r>
          </w:p>
        </w:tc>
        <w:tc>
          <w:tcPr>
            <w:tcW w:w="280" w:type="dxa"/>
            <w:vAlign w:val="bottom"/>
          </w:tcPr>
          <w:p>
            <w:pPr>
              <w:spacing w:after="0"/>
              <w:rPr>
                <w:sz w:val="20"/>
                <w:szCs w:val="20"/>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6"/>
                <w:szCs w:val="16"/>
                <w:color w:val="auto"/>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0% (current expectation)</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100%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613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(1)  Amount represents the cumulative catch-up adjustment to be recorded if there was a change in the vesting percentage as of August 31,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2017 Performance-based Option Grant Review</w:t>
      </w:r>
    </w:p>
    <w:p>
      <w:pPr>
        <w:spacing w:after="0" w:line="204" w:lineRule="exact"/>
        <w:rPr>
          <w:sz w:val="20"/>
          <w:szCs w:val="20"/>
          <w:color w:val="auto"/>
        </w:rPr>
      </w:pPr>
    </w:p>
    <w:p>
      <w:pPr>
        <w:ind w:right="100"/>
        <w:spacing w:after="0" w:line="302" w:lineRule="auto"/>
        <w:rPr>
          <w:sz w:val="20"/>
          <w:szCs w:val="20"/>
          <w:color w:val="auto"/>
        </w:rPr>
      </w:pPr>
      <w:r>
        <w:rPr>
          <w:rFonts w:ascii="Arial" w:cs="Arial" w:eastAsia="Arial" w:hAnsi="Arial"/>
          <w:sz w:val="14"/>
          <w:szCs w:val="14"/>
          <w:color w:val="auto"/>
        </w:rPr>
        <w:t>In connection with the acquisition of BISAM, we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August 31, 2018, we do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vesting percentage data)</w:t>
            </w:r>
          </w:p>
        </w:tc>
        <w:tc>
          <w:tcPr>
            <w:tcW w:w="2360" w:type="dxa"/>
            <w:vAlign w:val="bottom"/>
          </w:tcPr>
          <w:p>
            <w:pPr>
              <w:spacing w:after="0"/>
              <w:rPr>
                <w:sz w:val="17"/>
                <w:szCs w:val="17"/>
                <w:color w:val="auto"/>
              </w:rPr>
            </w:pPr>
          </w:p>
        </w:tc>
        <w:tc>
          <w:tcPr>
            <w:tcW w:w="1840" w:type="dxa"/>
            <w:vAlign w:val="bottom"/>
            <w:vMerge w:val="restart"/>
          </w:tcPr>
          <w:p>
            <w:pPr>
              <w:jc w:val="right"/>
              <w:ind w:right="580"/>
              <w:spacing w:after="0"/>
              <w:rPr>
                <w:sz w:val="20"/>
                <w:szCs w:val="20"/>
                <w:color w:val="auto"/>
              </w:rPr>
            </w:pPr>
            <w:r>
              <w:rPr>
                <w:rFonts w:ascii="Arial" w:cs="Arial" w:eastAsia="Arial" w:hAnsi="Arial"/>
                <w:sz w:val="16"/>
                <w:szCs w:val="16"/>
                <w:color w:val="auto"/>
              </w:rPr>
              <w:t>Cumulative</w:t>
            </w:r>
          </w:p>
        </w:tc>
        <w:tc>
          <w:tcPr>
            <w:tcW w:w="280" w:type="dxa"/>
            <w:vAlign w:val="bottom"/>
          </w:tcPr>
          <w:p>
            <w:pPr>
              <w:spacing w:after="0"/>
              <w:rPr>
                <w:sz w:val="17"/>
                <w:szCs w:val="17"/>
                <w:color w:val="auto"/>
              </w:rPr>
            </w:pPr>
          </w:p>
        </w:tc>
        <w:tc>
          <w:tcPr>
            <w:tcW w:w="176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w w:val="94"/>
              </w:rPr>
              <w:t>Remaining Expense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200" w:type="dxa"/>
            <w:vAlign w:val="bottom"/>
            <w:gridSpan w:val="2"/>
          </w:tcPr>
          <w:p>
            <w:pPr>
              <w:spacing w:after="0"/>
              <w:rPr>
                <w:sz w:val="20"/>
                <w:szCs w:val="20"/>
                <w:color w:val="auto"/>
              </w:rPr>
            </w:pPr>
            <w:r>
              <w:rPr>
                <w:rFonts w:ascii="Arial" w:cs="Arial" w:eastAsia="Arial" w:hAnsi="Arial"/>
                <w:sz w:val="16"/>
                <w:szCs w:val="16"/>
                <w:color w:val="auto"/>
              </w:rPr>
              <w:t>Vesting Percentage</w:t>
            </w:r>
          </w:p>
        </w:tc>
        <w:tc>
          <w:tcPr>
            <w:tcW w:w="2360" w:type="dxa"/>
            <w:vAlign w:val="bottom"/>
          </w:tcPr>
          <w:p>
            <w:pPr>
              <w:spacing w:after="0"/>
              <w:rPr>
                <w:sz w:val="20"/>
                <w:szCs w:val="20"/>
                <w:color w:val="auto"/>
              </w:rPr>
            </w:pPr>
          </w:p>
        </w:tc>
        <w:tc>
          <w:tcPr>
            <w:tcW w:w="1840" w:type="dxa"/>
            <w:vAlign w:val="bottom"/>
          </w:tcPr>
          <w:p>
            <w:pPr>
              <w:jc w:val="right"/>
              <w:ind w:right="200"/>
              <w:spacing w:after="0" w:line="238" w:lineRule="exact"/>
              <w:rPr>
                <w:sz w:val="20"/>
                <w:szCs w:val="20"/>
                <w:color w:val="auto"/>
              </w:rPr>
            </w:pPr>
            <w:r>
              <w:rPr>
                <w:rFonts w:ascii="Arial" w:cs="Arial" w:eastAsia="Arial" w:hAnsi="Arial"/>
                <w:sz w:val="16"/>
                <w:szCs w:val="16"/>
                <w:color w:val="auto"/>
                <w:w w:val="90"/>
              </w:rPr>
              <w:t>Catch-up Adjustment</w:t>
            </w:r>
            <w:r>
              <w:rPr>
                <w:rFonts w:ascii="Arial" w:cs="Arial" w:eastAsia="Arial" w:hAnsi="Arial"/>
                <w:sz w:val="26"/>
                <w:szCs w:val="26"/>
                <w:color w:val="auto"/>
                <w:w w:val="90"/>
                <w:vertAlign w:val="superscript"/>
              </w:rPr>
              <w:t>(1)</w:t>
            </w:r>
          </w:p>
        </w:tc>
        <w:tc>
          <w:tcPr>
            <w:tcW w:w="280" w:type="dxa"/>
            <w:vAlign w:val="bottom"/>
          </w:tcPr>
          <w:p>
            <w:pPr>
              <w:spacing w:after="0"/>
              <w:rPr>
                <w:sz w:val="20"/>
                <w:szCs w:val="20"/>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6"/>
                <w:szCs w:val="16"/>
                <w:color w:val="auto"/>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0%(current expectation)</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80%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1,658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5,449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90%</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100%</w:t>
            </w:r>
          </w:p>
        </w:tc>
        <w:tc>
          <w:tcPr>
            <w:tcW w:w="236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0"/>
              <w:spacing w:after="0"/>
              <w:rPr>
                <w:sz w:val="20"/>
                <w:szCs w:val="20"/>
                <w:color w:val="auto"/>
              </w:rPr>
            </w:pPr>
            <w:r>
              <w:rPr>
                <w:rFonts w:ascii="Arial" w:cs="Arial" w:eastAsia="Arial" w:hAnsi="Arial"/>
                <w:sz w:val="16"/>
                <w:szCs w:val="16"/>
                <w:color w:val="auto"/>
              </w:rPr>
              <w:t>2,073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6,811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(1)  Amount represents the cumulative catch-up adjustment to be recorded if there was a change in the vesting percentage as of August 31, 2018.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Accrued Compensation</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make significant estimates in determining our accrued compensation. Annual cash-based awards that are variable and discretionary in nature represent approximately 10% of our Company’s employee incentive compensation program. We conduct a final review of Company, departmental and individual performance each year end to determine the amount of discretionary employee compensation. We also review compensation throughout the year to determine how overall performance tracks against management’s expectations. Management takes these and other factors, including historical performance, into account in reviewing accrued compensation estimates on a quarterly basis and adjusts accrual rates as appropriate. As of August 31, 2018, and 2017, the amount of the variable employee compensation recorded within accrued compensation was $43.6 million and $39.2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Goodwill and Intangible Assets</w:t>
      </w:r>
    </w:p>
    <w:p>
      <w:pPr>
        <w:spacing w:after="0" w:line="200"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Goodwill is not amortized as it is estimated to have an indefinite life. At least annually, we are required to test goodwill at the reporting unit level for potential impairment, and, if impaired, write down to fair value based on the present value of discounted cash flows. Our reporting units evaluated for potential impairment were the U.S., Europe and Asia Pacific, which is aligned with how the chief operating decision making group (“CODMG”), composed of the CEO and executive management, manages the business and the demographic markets we serve. The three reporting units are consistent with the operating segments reported as there is no discrete financial information available for the subsidiaries or business units within each operating segment. The impairment test requires management to make judgments in connection with these reporting units, including assigning assets, liabilities, goodwill and other indefinite-lived intangible assets to reporting units and determining the fair value of each reporting unit.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40" w:name="page41"/>
    <w:bookmarkEnd w:id="40"/>
    <w:p>
      <w:pPr>
        <w:ind w:right="40"/>
        <w:spacing w:after="0" w:line="274" w:lineRule="auto"/>
        <w:rPr>
          <w:sz w:val="20"/>
          <w:szCs w:val="20"/>
          <w:color w:val="auto"/>
        </w:rPr>
      </w:pPr>
      <w:r>
        <w:rPr>
          <w:rFonts w:ascii="Arial" w:cs="Arial" w:eastAsia="Arial" w:hAnsi="Arial"/>
          <w:sz w:val="15"/>
          <w:szCs w:val="15"/>
          <w:color w:val="auto"/>
        </w:rPr>
        <w:t>Our impairment analysis contains uncertainties as it requires management to make assumptions and apply judgment to estimate industry and economic factors including market conditions, legal and technological factors and the profitability of our business strategies. It is our policy to conduct impairment testing based on our current business strategies taking into consideration present industry and economic conditions, as well as future expectations. We have not made any material changes in our impairment analysis methodology during the past three fiscal years. While we do not believe there is a reasonable likelihood that there will be a material change in the future estimates or assumptions we use to test for goodwill impairment losses, we may be exposed to an impairment charge that could be material if actual results are not consistent with our estimates and assumptions. Future events could cause us to conclude that indicators of impairment do exist, and that goodwill associated with our previous acquisitions is impaired, which could result in an impairment loss in our Consolidated Statements of Income and a write-down of the related asset.</w:t>
      </w:r>
    </w:p>
    <w:p>
      <w:pPr>
        <w:spacing w:after="0" w:line="15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We performed our annual goodwill impairment test during the fourth quarter of fiscal 2018, consistent with the timing of previous years. It was determined that there was no impairment, with the fair value of each of the Company’s reporting units significantly exceeding carrying value. The carrying value of goodwill as of August 31, 2018 and 2017, was $701.8 million and $707.6 million, respectively.</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identifiable intangible assets consist of acquired content databases, client relationships, software technology, non-compete agreements and trade names resulting from acquisitions, which have been fully integrated into our operations. We amortize intangible assets over their estimated useful lives, which are evaluated quarterly to determine whether events and circumstances warrant a revision to the remaining period of amortization. The weighted average useful life of our acquired identifiable intangible assets at August 31, 2018 was 11.5 years. If the estimate of the remaining useful life is changed, the remaining carrying amount of the intangible asset is amortized prospectively over that revised remaining useful life. There were no adjustments to the useful lives of intangible assets subject to amortization during any of the periods presented. These intangible assets had no assigned residual values as of August 31, 2018 and 2017.</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Intangible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Measurement of any impairment loss for intangible assets that management expects to hold, and use is based on the amount the carrying value exceeds the fair value of the asset. No indicators of impairment of intangible assets has been identified during any of the periods presented. Our ongoing consideration of the recoverability could result in impairment charges in the future, which could adversely affect our results of operations. The carrying value of intangible assets as of August 31, 2018 and 2017, was $148.9 million and $173.5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w:t>
      </w:r>
    </w:p>
    <w:p>
      <w:pPr>
        <w:spacing w:after="0" w:line="200"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Long-lived assets, comprised of property, equipment and leasehold improvements are evaluated for impairment whenever events or changes in circumstances indicate that the carrying value may not be recoverable. Factors that may cause an impairment review include significant changes in technology that make current computer-related assets that we use in our operations obsolete or less useful, and significant changes in the way we use these assets in our operations. When evaluating long-lived assets for potential impairment if impairment indicators are present,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The new cost basis will be depreciated (amortized) over the remaining useful life of that asset. Using the impairment evaluation methodology described here, there have been no long-lived asset impairment charges for each of the last three years. The carrying value of long-lived assets was $100.5 million in both years ended August 31, 2018 and 2017.</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 We have not made any material changes in our impairment loss assessment methodology during the past three fiscal years. We do not believe there is a reasonable likelihood that there will be a material change in the estimates or assumptions we use to calculate long-lived asset impairment losses. However, if actual results are not consistent with our estimates and assumptions used in estimating future cash flows and asset fair values, we may be exposed to losses that could be material.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Estimated Tax Provision and Tax Contingencies</w:t>
      </w:r>
    </w:p>
    <w:p>
      <w:pPr>
        <w:spacing w:after="0" w:line="200"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subject to income taxes in the U.S. and numerous foreign jurisdictions. Our tax provision is an estimate based on our understanding of laws in Federal, state and foreign tax jurisdictions. These laws can be complicated and are difficult to apply to any business, including ours. The tax laws also require us to allocate our taxable income to many jurisdictions based on subjective allocation methodologies and information collection processes. Our effective tax rates differ from the statutory rate primarily due to the impact of state taxes, foreign operations, R&amp;D and other tax credits, tax audit settlements, incentive-stock options and domestic production activities deductions. Our annual effective tax rate was 24.1%, 25.0% and 26.5% in fiscal 2018, 2017 and 2016, respectively.</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recognize the benefit of an income tax position only if it is more likely than not that the tax position will be sustained upon tax examination, based solely on the technical merits of the tax position as of the reporting date. Otherwise, no benefit can be recognized. The tax benefits recognized are measured based on the largest benefit that has a greater than 50% likelihood of being realized upon ultimate settlement. We will classify the liability for unrecognized tax benefits as current to the extent that we anticipate payment of cash within one year. Additionally, we accrue interest on all tax exposures for which reserves have been established consistent with jurisdictional tax laws. Interest is classified as income tax expense in the financial statements.</w:t>
      </w:r>
    </w:p>
    <w:p>
      <w:pPr>
        <w:spacing w:after="0" w:line="168"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 xml:space="preserve">As of August 31, 2018, we had gross unrecognized tax benefits totaling $9.2 million, including $1.1 million of accrued interest, recorded as </w:t>
      </w:r>
      <w:r>
        <w:rPr>
          <w:rFonts w:ascii="Arial" w:cs="Arial" w:eastAsia="Arial" w:hAnsi="Arial"/>
          <w:sz w:val="15"/>
          <w:szCs w:val="15"/>
          <w:i w:val="1"/>
          <w:iCs w:val="1"/>
          <w:color w:val="auto"/>
        </w:rPr>
        <w:t>Taxes Payable</w:t>
      </w:r>
      <w:r>
        <w:rPr>
          <w:rFonts w:ascii="Arial" w:cs="Arial" w:eastAsia="Arial" w:hAnsi="Arial"/>
          <w:sz w:val="15"/>
          <w:szCs w:val="15"/>
          <w:color w:val="auto"/>
        </w:rPr>
        <w:t xml:space="preserve"> (non-current) within the Consolidated Balance Sheet. Unrecognized tax benefits represent tax positions taken on tax returns but not yet recognized in the consolidated financial statements. When applicable, we adjust the previously recorded tax expense to reflect examination results when the position is effectively settled. If recognized, the unrecognized tax benefits and related interest would be recorded as a benefit to tax expense on the Consolidated Statements of Income. Audits by multiple tax authorities are currently ongoing. Significant judgment is required in evaluating our uncertain tax positions and determining our provision for income taxes. For this reason, we regularly engage in discussions and negotiations with tax authorities regarding tax matters in various jurisdictions. Although we believe our reserves are reasonable, no assurance can be given that the final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provision for income taxes is subject to volatility and could be adversely impacted by numerous factors such as changes in tax laws, regulations, or accounting principles, including accounting for uncertain tax positions or interpretations of them. Significant judgment is required to determine recognition and measurement. Further, as a result of certain ongoing employment and capital investment actions and commitments, our income in certain countries is subject to reduced tax rates and in some cases is wholly exempt from tax. Our failure to meet these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New Accounting Pronouncements</w:t>
      </w:r>
    </w:p>
    <w:p>
      <w:pPr>
        <w:spacing w:after="0" w:line="200"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the Notes to the Company’s Consolidated Financial Statements included in Item 8 for a full description of recent accounting pronouncements, including the expected dates of adoption, which we include here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Market Trends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In the ordinary course of business, we are exposed to financial risks involving the volatility of equity markets as well as foreign currency and interest rate fluctuations.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Shift from Active to Passive Investment Management</w:t>
      </w:r>
    </w:p>
    <w:p>
      <w:pPr>
        <w:spacing w:after="0" w:line="200"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color w:val="auto"/>
        </w:rPr>
        <w:t>Approximately 83.9%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16.1% of our ASV. A significant portion of these revenues relate to services deployed by large, bulge-bracket banks. Credit continues to impact many of the large banking clients due to the amount of leverage deployed in past operations. Our clients could also encounter similar issues.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revenues may decline if banks, including those involved in merger activity, significantly reduce headcount in the areas of corporate M&amp;A, capital markets and equity research to compensate for the challenges faced by other departments.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Brexit</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Volatility is expected to continue in the short term as the UK negotiates its exit from the European Union. The initial UK economic performance has been stronger than originally expected as the timeframe from the initial vote increases. Additionally, increased European confidence and UK consumer spending has contributed to the recovery of the economic outlook. The negotiation process is continuing, including the latest milestone of the UK and European Union developing a draft of the legal text for the transition deal. Any impact from Brexit on us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MiFID II</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the European Union, the new version of the Markets in Financial Instruments Directive, also known as "MiFID II", became effective in January 2018. The main purpose of this initiative was to ensure fairer, safe and more efficient markets and facilitate greater transparency for all participants. The Research workflow is one area where both buy-side and sell-side clients have seen and will continue to see significant change requirements as a result of the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workflow, which is part of the opportunity for us, but more importantly, allows our clients to leverage our technology solutions for MiFID II compliance.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Factors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addition to current and historical information, this Report on Form 10-K, including Management’s Discussion and Analysis of Financial Condition and Results of Operations, contains forward-looking statements based on management’s current expectations, estimates, forecasts and projections about industries in which we operate and the beliefs and assumptions of management. All statements that address expectations, guidance, outlook or projections about the future, including statements about our strategy for growth, product development, revenues, future financial results, anticipated growth, market position, subscriptions, expected expenditures, trends in our business and financial results, are forward-looking statements. Forward-looking statements may be identified by words like “expects,” “believes,” “anticipates,” “plans,” “intends,” “estimates,” “projects,” “should,” “indicates,” “continues,” “may” and similar expressions. These statements are not guarantees of future performance and involve a number of risks, uncertainties and assumptions. Many factors, including those discussed more fully elsewhere in this Report on Form 10-K or in any of our other filings with the Securities and Exchange Commission, could cause results to differ materially from those stated. These factors include, but are not limited to: the ability to integrate newly acquired companies, clients and businesses; strains on resources as a result of growth, the volatility and stability of global securities markets, including declines in equity or fixed income returns impacting the buying power of investment management clients; the ability to hire and retain qualified personnel; the maintenance of our leading technological position and reputation; failure to maintain or improve our competitive position in the marketplace; fraudulent, misappropriation or unauthorized data access, including cyber-security and privacy breaches; failures or disruptions of telecommunications, data centers, network systems, facilities, or the Internet; uncertainty, consolidation and business failures in the global investment banking industry; the continued shift from active to passive investing, the negotiation of contract terms with vendors, data suppliers and landlords; the retention of clients and the attraction of new ones; the absence of U.S. or foreign governmental regulation restricting international business; the unfavorable resolution of tax assessments and legal proceedings; and legislative and regulatory changes in the environments in which we and our clients operate. Forward-looking statements speak only as of the date they are made, and we assume no duty to and do not undertake to update forward-looking statements. Actual results could differ materially from those anticipated in forward-looking statements and future results could differ materially from historical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3" w:name="page44"/>
    <w:bookmarkEnd w:id="43"/>
    <w:p>
      <w:pPr>
        <w:ind w:right="300"/>
        <w:spacing w:after="0" w:line="277" w:lineRule="auto"/>
        <w:rPr>
          <w:sz w:val="20"/>
          <w:szCs w:val="20"/>
          <w:color w:val="auto"/>
        </w:rPr>
      </w:pPr>
      <w:r>
        <w:rPr>
          <w:rFonts w:ascii="Arial" w:cs="Arial" w:eastAsia="Arial" w:hAnsi="Arial"/>
          <w:sz w:val="16"/>
          <w:szCs w:val="16"/>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52" w:lineRule="exact"/>
        <w:rPr>
          <w:sz w:val="20"/>
          <w:szCs w:val="20"/>
          <w:color w:val="auto"/>
        </w:rPr>
      </w:pPr>
    </w:p>
    <w:p>
      <w:pPr>
        <w:ind w:right="80"/>
        <w:spacing w:after="0" w:line="319" w:lineRule="auto"/>
        <w:rPr>
          <w:sz w:val="20"/>
          <w:szCs w:val="20"/>
          <w:color w:val="auto"/>
        </w:rPr>
      </w:pPr>
      <w:r>
        <w:rPr>
          <w:rFonts w:ascii="Arial" w:cs="Arial" w:eastAsia="Arial" w:hAnsi="Arial"/>
          <w:sz w:val="14"/>
          <w:szCs w:val="14"/>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in Part 1 Item 1A, Risk Factors</w:t>
      </w:r>
      <w:r>
        <w:rPr>
          <w:rFonts w:ascii="Arial" w:cs="Arial" w:eastAsia="Arial" w:hAnsi="Arial"/>
          <w:sz w:val="14"/>
          <w:szCs w:val="14"/>
          <w:i w:val="1"/>
          <w:iCs w:val="1"/>
          <w:color w:val="auto"/>
        </w:rPr>
        <w:t>,</w:t>
      </w:r>
      <w:r>
        <w:rPr>
          <w:rFonts w:ascii="Arial" w:cs="Arial" w:eastAsia="Arial" w:hAnsi="Arial"/>
          <w:sz w:val="14"/>
          <w:szCs w:val="14"/>
          <w:color w:val="auto"/>
        </w:rPr>
        <w:t xml:space="preserve"> of this Report on Form 10-K. We do not intend, and undertake no obligation, to update any of our forward-looking statements after the date of this Report on Form 10-K to reflect actual results or future events or circumstances.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Business Outlook</w:t>
      </w:r>
    </w:p>
    <w:p>
      <w:pPr>
        <w:spacing w:after="0" w:line="200" w:lineRule="exact"/>
        <w:rPr>
          <w:sz w:val="20"/>
          <w:szCs w:val="20"/>
          <w:color w:val="auto"/>
        </w:rPr>
      </w:pPr>
    </w:p>
    <w:p>
      <w:pPr>
        <w:jc w:val="both"/>
        <w:ind w:right="240"/>
        <w:spacing w:after="0" w:line="264" w:lineRule="auto"/>
        <w:rPr>
          <w:sz w:val="20"/>
          <w:szCs w:val="20"/>
          <w:color w:val="auto"/>
        </w:rPr>
      </w:pPr>
      <w:r>
        <w:rPr>
          <w:rFonts w:ascii="Arial" w:cs="Arial" w:eastAsia="Arial" w:hAnsi="Arial"/>
          <w:sz w:val="16"/>
          <w:szCs w:val="16"/>
          <w:color w:val="auto"/>
        </w:rPr>
        <w:t>The following forward-looking statements reflect our expectations as of September 25, 2018. Given the number of risk factors, uncertainties and assumptions discussed in this MD&amp;A above and Part 1 Item 1A, Risk Factors, of this Report on Form 10-K, actual results may differ materially. We do not intend to update our forward-looking statements until our next quarterly results announcement, other than in publicly available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2019 Expectations</w:t>
      </w:r>
    </w:p>
    <w:p>
      <w:pPr>
        <w:spacing w:after="0" w:line="204" w:lineRule="exact"/>
        <w:rPr>
          <w:sz w:val="20"/>
          <w:szCs w:val="20"/>
          <w:color w:val="auto"/>
        </w:rPr>
      </w:pPr>
    </w:p>
    <w:p>
      <w:pPr>
        <w:ind w:left="580" w:hanging="296"/>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Organic ASV plus professional services is expected to increase in the range of $75.0 million and $90.0 million over fiscal 2018.</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GAAP Revenues are expected to be in the range of $1.41 billion and $1.45 billion.</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GAAP operating margin is expected to be in the range of 29% and 30%. Adjusted operating margin is expected to be in the range of 31.5% and 32.5%.</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FactSet’s annual effective tax rate is expected to be in the range of 17.5% and 18.5%, primarily as a result of the TCJA.</w:t>
      </w:r>
    </w:p>
    <w:p>
      <w:pPr>
        <w:spacing w:after="0" w:line="200"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GAAP diluted EPS is expected to be in the range of $8.70 and $8.90. Adjusted diluted EPS is expected to be in the range of $9.45 and $9.65. The midpoint of this guidance represents a 12% growth over the prior year.</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Both GAAP operating margin and GAAP diluted EPS guidance do not include certain effects of any non-recurring benefits or charges that may arise in fiscal 2019.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 the normal course of business, we are exposed to foreign currency exchange risk that could impact our financial position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Exchange Risk</w:t>
      </w:r>
    </w:p>
    <w:p>
      <w:pPr>
        <w:spacing w:after="0" w:line="200"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We conduct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Over the next 12 months, our non-U.S. dollar denominated revenues expected to be recognized are estimated to be $92.8 million while our non-U.S. dollar denominated expenses are estimated to be $324.5 million, which translates into a net foreign currency exposure of $231.7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Hedges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2018, we maintained the following foreign currency forward contracts to hedge our exposures:</w:t>
      </w:r>
    </w:p>
    <w:p>
      <w:pPr>
        <w:spacing w:after="0" w:line="200"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Philippine Peso </w:t>
      </w:r>
      <w:r>
        <w:rPr>
          <w:rFonts w:ascii="Arial" w:cs="Arial" w:eastAsia="Arial" w:hAnsi="Arial"/>
          <w:sz w:val="15"/>
          <w:szCs w:val="15"/>
          <w:color w:val="auto"/>
        </w:rPr>
        <w:t>– foreign currency forward contracts to hedge approximately 75% of our Philippine Peso exposure through the fourth quarter of fiscal 2020.</w:t>
      </w:r>
    </w:p>
    <w:p>
      <w:pPr>
        <w:spacing w:after="0" w:line="211" w:lineRule="exact"/>
        <w:rPr>
          <w:rFonts w:ascii="Arial" w:cs="Arial" w:eastAsia="Arial" w:hAnsi="Arial"/>
          <w:sz w:val="15"/>
          <w:szCs w:val="15"/>
          <w:i w:val="1"/>
          <w:iCs w:val="1"/>
          <w:color w:val="auto"/>
        </w:rPr>
      </w:pPr>
    </w:p>
    <w:p>
      <w:pPr>
        <w:ind w:left="580" w:right="280" w:hanging="296"/>
        <w:spacing w:after="0" w:line="277" w:lineRule="auto"/>
        <w:tabs>
          <w:tab w:leader="none" w:pos="58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Indian Rupee </w:t>
      </w:r>
      <w:r>
        <w:rPr>
          <w:rFonts w:ascii="Arial" w:cs="Arial" w:eastAsia="Arial" w:hAnsi="Arial"/>
          <w:sz w:val="16"/>
          <w:szCs w:val="16"/>
          <w:color w:val="auto"/>
        </w:rPr>
        <w:t>– foreign currency forward contracts to hedge approximately 75% of our Indian Rupee exposure through the third quarter of fiscal 2019 and 50%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from the fourth quarter of fiscal 2019 through the end of the second quarter of fiscal 2020.</w:t>
      </w:r>
    </w:p>
    <w:p>
      <w:pPr>
        <w:spacing w:after="0" w:line="151" w:lineRule="exact"/>
        <w:rPr>
          <w:rFonts w:ascii="Arial" w:cs="Arial" w:eastAsia="Arial" w:hAnsi="Arial"/>
          <w:sz w:val="16"/>
          <w:szCs w:val="16"/>
          <w:i w:val="1"/>
          <w:iCs w:val="1"/>
          <w:color w:val="auto"/>
        </w:rPr>
      </w:pPr>
    </w:p>
    <w:p>
      <w:pPr>
        <w:ind w:left="580" w:hanging="296"/>
        <w:spacing w:after="0"/>
        <w:tabs>
          <w:tab w:leader="none" w:pos="58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Euro </w:t>
      </w:r>
      <w:r>
        <w:rPr>
          <w:rFonts w:ascii="Arial" w:cs="Arial" w:eastAsia="Arial" w:hAnsi="Arial"/>
          <w:sz w:val="16"/>
          <w:szCs w:val="16"/>
          <w:color w:val="auto"/>
        </w:rPr>
        <w:t>– foreign currency forward contracts to hedge approximately 50% of our Euro exposure through the third quarter of fiscal 2019.</w:t>
      </w:r>
    </w:p>
    <w:p>
      <w:pPr>
        <w:spacing w:after="0" w:line="200" w:lineRule="exact"/>
        <w:rPr>
          <w:rFonts w:ascii="Arial" w:cs="Arial" w:eastAsia="Arial" w:hAnsi="Arial"/>
          <w:sz w:val="16"/>
          <w:szCs w:val="16"/>
          <w:i w:val="1"/>
          <w:iCs w:val="1"/>
          <w:color w:val="auto"/>
        </w:rPr>
      </w:pPr>
    </w:p>
    <w:p>
      <w:pPr>
        <w:ind w:left="580" w:hanging="296"/>
        <w:spacing w:after="0"/>
        <w:tabs>
          <w:tab w:leader="none" w:pos="58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British Pound Sterling </w:t>
      </w:r>
      <w:r>
        <w:rPr>
          <w:rFonts w:ascii="Arial" w:cs="Arial" w:eastAsia="Arial" w:hAnsi="Arial"/>
          <w:sz w:val="14"/>
          <w:szCs w:val="14"/>
          <w:color w:val="auto"/>
        </w:rPr>
        <w:t>– foreign currency forward contracts to hedge approximately 50% of our British Pound sterling exposure through the third quarter of fiscal 2019.</w:t>
      </w:r>
    </w:p>
    <w:p>
      <w:pPr>
        <w:spacing w:after="0" w:line="223" w:lineRule="exact"/>
        <w:rPr>
          <w:sz w:val="20"/>
          <w:szCs w:val="20"/>
          <w:color w:val="auto"/>
        </w:rPr>
      </w:pPr>
    </w:p>
    <w:p>
      <w:pPr>
        <w:ind w:right="140"/>
        <w:spacing w:after="0" w:line="351" w:lineRule="auto"/>
        <w:rPr>
          <w:sz w:val="20"/>
          <w:szCs w:val="20"/>
          <w:color w:val="auto"/>
        </w:rPr>
      </w:pPr>
      <w:r>
        <w:rPr>
          <w:rFonts w:ascii="Arial" w:cs="Arial" w:eastAsia="Arial" w:hAnsi="Arial"/>
          <w:sz w:val="14"/>
          <w:szCs w:val="14"/>
          <w:color w:val="auto"/>
        </w:rPr>
        <w:t>As of August 31, 2018, the gross notional value of foreign currency forward contracts to purchase Philippine Pesos with U.S. dollars was PHP 2.8 billion, to purchase Indian Rupees with U.S. dollars was Rs. 3.6 billion, to purchase Euros with U.S. dollars was € 22.0 million and to purchase British Pound Sterling with U.S. dollars was £14.0 million.</w:t>
      </w:r>
    </w:p>
    <w:p>
      <w:pPr>
        <w:spacing w:after="0" w:line="106"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There were no other outstanding foreign currency forward contracts as of August 31, 2018. A gain on derivatives of $3.1 million was recorded into operating income during fiscal 2018, compared to a loss of $2.9 million in fiscal 2017.The gains and losses on foreign currency forward contracts mitigate the variability in operating expenses associated with currency movements. These transactions are designated and accounted for as cash flow hedges in accordance with applicable accounting guidance.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 sensitivity analysis was performed based on the estimated fair value of all foreign currency forward contracts outstanding at August 31, 2018. If the U.S. dollar had been 10% weaker, the fair value of outstanding foreign currency forward contracts would have increased by $7.3 million, which would have had an immaterial impact on our Consolidated Balance Sheet. Such a change in fair value of our financial instruments would be substantially offset by changes in our expense base. If we had no hedges in place as of August 31, 2018, a hypothetical 10% weaker U.S. dollar against all foreign currencies from the quoted foreign currency exchange rates at August 31, 2018, would result in a decrease in operating income by $28.8 million over the next 12 months. A hypothetical 10% weaker U.S. dollar against all foreign currencies at August 31, 2018 would increase the fair value of total assets by $65.3 million and equity by $61.2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6"/>
          <w:szCs w:val="16"/>
          <w:color w:val="auto"/>
        </w:rPr>
        <w:t>Volatility in the British Pound Sterling exchange rate is expected to continue in the short term as the UK negotiates its exit from the European Union. In the longer term, any impact from Brexit will depend on, in part, on the outcome of tariff, regulatory, and other negotiations.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Risk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0"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 xml:space="preserve">The fair market value of our cash and investments at August 31, 2018, was $237.9 million. Our cash and cash equivalents consist of demand deposits and money market funds with original maturities of three months or less and are reported at fair value. Our investments consist of both mutual funds and certificates of deposits as both are part of our investment strategy. These mutual funds and certificates of deposits are included as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(short-term) on our Consolidated Balance Sheet as the mutual funds can be liquidated at our discretion and the certificates of deposit have original maturities greater than three months, but less than one year. The mutual funds and certificates are held for investment and are not considered debt securities. It is anticipated that the fair market value of our cash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investments have been significantly impacted by current market events.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Debt</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As of August 31, 2018, the fair value of our long-term debt was $575.0 million, which approximated its carrying amount and was determined based on quoted 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a spread using a debt leverage pricing grid currently at 1.00%. During fiscal years 2018, 2017 and 2016, we recorded interest expense of $15.9 million, $8.4 million and $3.0 million, respectively, on our outstanding debt amounts. Assuming all terms of our outstanding long-term debt remained the same, a hypothetical 25 basis point change (up or down) in the one-month LIBOR rate would result in a $1.4 million change in our annual interest expense.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5"/>
        </w:trPr>
        <w:tc>
          <w:tcPr>
            <w:tcW w:w="9260" w:type="dxa"/>
            <w:vAlign w:val="bottom"/>
            <w:gridSpan w:val="2"/>
          </w:tcPr>
          <w:p>
            <w:pPr>
              <w:spacing w:after="0"/>
              <w:rPr>
                <w:sz w:val="20"/>
                <w:szCs w:val="20"/>
                <w:color w:val="auto"/>
              </w:rPr>
            </w:pPr>
            <w:r>
              <w:rPr>
                <w:rFonts w:ascii="Arial" w:cs="Arial" w:eastAsia="Arial" w:hAnsi="Arial"/>
                <w:sz w:val="16"/>
                <w:szCs w:val="16"/>
                <w:color w:val="auto"/>
              </w:rPr>
              <w:t>ITEM 8. FINANCIAL STATEMENTS AND SUPPLEMENTARY DATA</w:t>
            </w:r>
          </w:p>
        </w:tc>
        <w:tc>
          <w:tcPr>
            <w:tcW w:w="1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9260" w:type="dxa"/>
            <w:vAlign w:val="bottom"/>
            <w:gridSpan w:val="2"/>
          </w:tcPr>
          <w:p>
            <w:pPr>
              <w:spacing w:after="0"/>
              <w:rPr>
                <w:sz w:val="20"/>
                <w:szCs w:val="20"/>
                <w:color w:val="auto"/>
              </w:rPr>
            </w:pPr>
            <w:r>
              <w:rPr>
                <w:rFonts w:ascii="Arial" w:cs="Arial" w:eastAsia="Arial" w:hAnsi="Arial"/>
                <w:sz w:val="16"/>
                <w:szCs w:val="16"/>
                <w:color w:val="auto"/>
              </w:rPr>
              <w:t>Index to Consolidated Financial Statements</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6"/>
                <w:szCs w:val="16"/>
                <w:color w:val="auto"/>
              </w:rPr>
              <w:t>Consolidated Financial Statements:</w:t>
            </w:r>
          </w:p>
        </w:tc>
        <w:tc>
          <w:tcPr>
            <w:tcW w:w="186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w w:val="85"/>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Management’s Statement of Responsibility for Financial Statements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tcPr>
          <w:p>
            <w:pPr>
              <w:ind w:left="120"/>
              <w:spacing w:after="0"/>
              <w:rPr>
                <w:sz w:val="20"/>
                <w:szCs w:val="20"/>
                <w:color w:val="auto"/>
              </w:rPr>
            </w:pPr>
            <w:r>
              <w:rPr>
                <w:rFonts w:ascii="Arial" w:cs="Arial" w:eastAsia="Arial" w:hAnsi="Arial"/>
                <w:sz w:val="16"/>
                <w:szCs w:val="16"/>
                <w:color w:val="auto"/>
              </w:rPr>
              <w:t>Management’s Report on Internal Control over Financial Reporting</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Reports of Independent Registered Public Accounting Firm</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tcPr>
          <w:p>
            <w:pPr>
              <w:ind w:left="120"/>
              <w:spacing w:after="0"/>
              <w:rPr>
                <w:sz w:val="20"/>
                <w:szCs w:val="20"/>
                <w:color w:val="auto"/>
              </w:rPr>
            </w:pPr>
            <w:r>
              <w:rPr>
                <w:rFonts w:ascii="Arial" w:cs="Arial" w:eastAsia="Arial" w:hAnsi="Arial"/>
                <w:sz w:val="16"/>
                <w:szCs w:val="16"/>
                <w:color w:val="auto"/>
              </w:rPr>
              <w:t>Consolidated Statements of Income for the years ended August 31, 2018, 2017 and 2016</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Statements of Comprehensive Income for the years ended August 31, 2018, 2017 and 2016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tcPr>
          <w:p>
            <w:pPr>
              <w:ind w:left="120"/>
              <w:spacing w:after="0"/>
              <w:rPr>
                <w:sz w:val="20"/>
                <w:szCs w:val="20"/>
                <w:color w:val="auto"/>
              </w:rPr>
            </w:pPr>
            <w:r>
              <w:rPr>
                <w:rFonts w:ascii="Arial" w:cs="Arial" w:eastAsia="Arial" w:hAnsi="Arial"/>
                <w:sz w:val="16"/>
                <w:szCs w:val="16"/>
                <w:color w:val="auto"/>
              </w:rPr>
              <w:t>Consolidated Balance Sheets at August 31, 2018 and 2017</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Consolidated Statements of Cash Flows for the years ended August 31, 2018, 2017 and 2016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tcPr>
          <w:p>
            <w:pPr>
              <w:ind w:left="120"/>
              <w:spacing w:after="0"/>
              <w:rPr>
                <w:sz w:val="20"/>
                <w:szCs w:val="20"/>
                <w:color w:val="auto"/>
              </w:rPr>
            </w:pPr>
            <w:r>
              <w:rPr>
                <w:rFonts w:ascii="Arial" w:cs="Arial" w:eastAsia="Arial" w:hAnsi="Arial"/>
                <w:sz w:val="16"/>
                <w:szCs w:val="16"/>
                <w:color w:val="auto"/>
              </w:rPr>
              <w:t>Consolidated Statements of Changes in Stockholders’ Equity for the years ended August 31, 2018, 2017 and 2016</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to the Consolidated Financial Statements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Financial Statement Schedule:</w:t>
            </w:r>
          </w:p>
        </w:tc>
        <w:tc>
          <w:tcPr>
            <w:tcW w:w="1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Schedule II – Valuation and Qualifying Accounts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9260" w:type="dxa"/>
            <w:vAlign w:val="bottom"/>
            <w:gridSpan w:val="2"/>
          </w:tcPr>
          <w:p>
            <w:pPr>
              <w:jc w:val="right"/>
              <w:ind w:right="3380"/>
              <w:spacing w:after="0"/>
              <w:rPr>
                <w:sz w:val="20"/>
                <w:szCs w:val="20"/>
                <w:color w:val="auto"/>
              </w:rPr>
            </w:pPr>
            <w:r>
              <w:rPr>
                <w:rFonts w:ascii="Arial" w:cs="Arial" w:eastAsia="Arial" w:hAnsi="Arial"/>
                <w:sz w:val="16"/>
                <w:szCs w:val="16"/>
                <w:color w:val="auto"/>
              </w:rPr>
              <w:t>47</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924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5" w:right="21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Management’s Statement of Responsibility for Financial Statements</w:t>
      </w:r>
    </w:p>
    <w:p>
      <w:pPr>
        <w:spacing w:after="0" w:line="200"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FactSet’s consolidated financial statements are prepared by management, which is responsible for their fairness, integrity and objectivity. The accompanying consolidated financial statements have been prepared in conformity with accounting principles generally accepted in the United States of America and include amounts based on management’s estimates and judgments. All financial information in this Report on Form 10-K has been presented on a basis consistent with the information included in the accompanying financial statements.</w:t>
      </w:r>
    </w:p>
    <w:p>
      <w:pPr>
        <w:spacing w:after="0" w:line="167" w:lineRule="exact"/>
        <w:rPr>
          <w:sz w:val="20"/>
          <w:szCs w:val="20"/>
          <w:color w:val="auto"/>
        </w:rPr>
      </w:pPr>
    </w:p>
    <w:p>
      <w:pPr>
        <w:jc w:val="both"/>
        <w:ind w:right="220"/>
        <w:spacing w:after="0" w:line="289" w:lineRule="auto"/>
        <w:rPr>
          <w:sz w:val="20"/>
          <w:szCs w:val="20"/>
          <w:color w:val="auto"/>
        </w:rPr>
      </w:pPr>
      <w:r>
        <w:rPr>
          <w:rFonts w:ascii="Arial" w:cs="Arial" w:eastAsia="Arial" w:hAnsi="Arial"/>
          <w:sz w:val="15"/>
          <w:szCs w:val="15"/>
          <w:color w:val="auto"/>
        </w:rPr>
        <w:t>FactSet’s policies and practices reflect corporate governance initiatives that are compliant with the listing requirements of the New York Stock Exchange, the NASDAQ Stock Market and the corporate governance requirements of the Sarbanes-Oxley Act of 2002. Management, with oversight by the Company’s Board of Directors, has established and maintains a strong ethical climate so that its affairs are conducted to the highest standards of personal and corporate conduct.</w:t>
      </w:r>
    </w:p>
    <w:p>
      <w:pPr>
        <w:spacing w:after="0" w:line="146"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FactSet maintains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FactSet assessed its internal control over financial reporting as of August 31, 2018 and issued a report (see below).</w:t>
      </w:r>
    </w:p>
    <w:p>
      <w:pPr>
        <w:spacing w:after="0" w:line="140"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color w:val="auto"/>
        </w:rPr>
        <w:t>The Audit Committee of the Board of Directors, which consists solely of independent non-employee directors, is responsible for overseeing the functioning of the accounting system and related controls and the preparation of annual financial statements. The Audit Committee periodically meets with management and the independent accountants to review and evaluate their accounting, auditing and financial reporting activities and responsibilities, including management’s assessment of internal control over financial reporting. The independent registered public accounting firm has full and free access to the Audit Committee and has met with the committee, with and without management present.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200" w:lineRule="exact"/>
        <w:rPr>
          <w:sz w:val="20"/>
          <w:szCs w:val="20"/>
          <w:color w:val="auto"/>
        </w:rPr>
      </w:pPr>
    </w:p>
    <w:p>
      <w:pPr>
        <w:ind w:right="120"/>
        <w:spacing w:after="0" w:line="297"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Management (with the participation of the principal executive officer and principal financial officer) conducted an evaluation of the effectiveness of FactSet’s internal control over financial reporting based on the framework in Internal Control—Integrated Framework (2013) issued by the Committee of Sponsoring Organizations of the Treadway Commission. Based on this evaluation, management concluded that FactSet’s internal control over financial reporting was effective as of August 31, 2018. Ernst &amp; Young LLP, an independent registered public accounting firm, has audited the effectiveness of FactSet’s internal control over financial reporting and has issued a report on FactSet’s internal control over financial reporting, which is included in their report on the subsequent page.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6"/>
                <w:szCs w:val="16"/>
                <w:color w:val="auto"/>
                <w:w w:val="95"/>
              </w:rPr>
              <w:t>/s/ F. PHILIP SNOW</w:t>
            </w:r>
          </w:p>
        </w:tc>
        <w:tc>
          <w:tcPr>
            <w:tcW w:w="2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 Helen L. Shan</w:t>
            </w:r>
          </w:p>
        </w:tc>
      </w:tr>
      <w:tr>
        <w:trPr>
          <w:trHeight w:val="388"/>
        </w:trPr>
        <w:tc>
          <w:tcPr>
            <w:tcW w:w="1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 Philip Snow</w:t>
            </w:r>
          </w:p>
        </w:tc>
        <w:tc>
          <w:tcPr>
            <w:tcW w:w="2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Helen L. Shan</w:t>
            </w:r>
          </w:p>
        </w:tc>
        <w:tc>
          <w:tcPr>
            <w:tcW w:w="4120" w:type="dxa"/>
            <w:vAlign w:val="bottom"/>
          </w:tcPr>
          <w:p>
            <w:pPr>
              <w:spacing w:after="0"/>
              <w:rPr>
                <w:sz w:val="24"/>
                <w:szCs w:val="24"/>
                <w:color w:val="auto"/>
              </w:rPr>
            </w:pPr>
          </w:p>
        </w:tc>
      </w:tr>
      <w:tr>
        <w:trPr>
          <w:trHeight w:val="192"/>
        </w:trPr>
        <w:tc>
          <w:tcPr>
            <w:tcW w:w="358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c>
          <w:tcPr>
            <w:tcW w:w="264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05"/>
        </w:trPr>
        <w:tc>
          <w:tcPr>
            <w:tcW w:w="3580" w:type="dxa"/>
            <w:vAlign w:val="bottom"/>
            <w:gridSpan w:val="2"/>
          </w:tcPr>
          <w:p>
            <w:pPr>
              <w:spacing w:after="0"/>
              <w:rPr>
                <w:sz w:val="20"/>
                <w:szCs w:val="20"/>
                <w:color w:val="auto"/>
              </w:rPr>
            </w:pPr>
            <w:r>
              <w:rPr>
                <w:rFonts w:ascii="Arial" w:cs="Arial" w:eastAsia="Arial" w:hAnsi="Arial"/>
                <w:sz w:val="16"/>
                <w:szCs w:val="16"/>
                <w:color w:val="auto"/>
              </w:rPr>
              <w:t>October 30, 2018</w:t>
            </w:r>
          </w:p>
        </w:tc>
        <w:tc>
          <w:tcPr>
            <w:tcW w:w="264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October 30, 2018</w:t>
            </w:r>
          </w:p>
        </w:tc>
      </w:tr>
      <w:tr>
        <w:trPr>
          <w:trHeight w:val="384"/>
        </w:trPr>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40" w:type="dxa"/>
            <w:vAlign w:val="bottom"/>
          </w:tcPr>
          <w:p>
            <w:pPr>
              <w:jc w:val="right"/>
              <w:ind w:right="340"/>
              <w:spacing w:after="0"/>
              <w:rPr>
                <w:sz w:val="20"/>
                <w:szCs w:val="20"/>
                <w:color w:val="auto"/>
              </w:rPr>
            </w:pPr>
            <w:r>
              <w:rPr>
                <w:rFonts w:ascii="Arial" w:cs="Arial" w:eastAsia="Arial" w:hAnsi="Arial"/>
                <w:sz w:val="16"/>
                <w:szCs w:val="16"/>
                <w:color w:val="auto"/>
              </w:rPr>
              <w:t>48</w:t>
            </w:r>
          </w:p>
        </w:tc>
        <w:tc>
          <w:tcPr>
            <w:tcW w:w="11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00"/>
        </w:trPr>
        <w:tc>
          <w:tcPr>
            <w:tcW w:w="140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35"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 FactSet Research Systems Inc.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04" w:lineRule="exact"/>
        <w:rPr>
          <w:sz w:val="20"/>
          <w:szCs w:val="20"/>
          <w:color w:val="auto"/>
        </w:rPr>
      </w:pPr>
    </w:p>
    <w:p>
      <w:pPr>
        <w:jc w:val="both"/>
        <w:ind w:right="60"/>
        <w:spacing w:after="0" w:line="289" w:lineRule="auto"/>
        <w:rPr>
          <w:sz w:val="20"/>
          <w:szCs w:val="20"/>
          <w:color w:val="auto"/>
        </w:rPr>
      </w:pPr>
      <w:r>
        <w:rPr>
          <w:rFonts w:ascii="Arial" w:cs="Arial" w:eastAsia="Arial" w:hAnsi="Arial"/>
          <w:sz w:val="15"/>
          <w:szCs w:val="15"/>
          <w:color w:val="auto"/>
        </w:rPr>
        <w:t>We have audited FactSet Research System Inc.’s (the Company) internal control over financial reporting as of August 31, 2018, based on criteria established in Internal Control - Integrated Framework issued by the Committee of Sponsoring Organizations of the Treadway Commission (2013 framework) (the COSO criteria). In our opinion, the Company maintained, in all material respects, effective internal control over financial reporting as of August 31, 2018, based on the COSO criteria.</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2018 consolidated financial statements of the Company and our report dated October 30, 2018,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4"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2"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04"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Stamford, 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30,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 FactSet Research Systems Inc.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04"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We have audited the accompanying consolidated balance sheets of FactSet Research Systems Inc. (the Company) as of August 31, 2018 and 2017, and the related consolidated statements of income, comprehensive income, stockholders’ equity and cash flows for each of the three years in the period ended August 31, 2018,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August 31, 2018 and 2017, and the results of its operations and its cash flows for each of the three years in the period ended August 31, 2018, in conformity with U.S. generally accepted accounting principles.</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August 31, 2018, based on criteria established in Internal Control – Integrated Framework issued by the Committee of Sponsoring Organizations of the Treadway Commission (2013 framework) and our report dated October 30, 2018 expressed an unqualified opinion thereon.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280"/>
        <w:spacing w:after="0" w:line="30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Stamford, CT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October 30, 2018</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6"/>
                <w:szCs w:val="16"/>
                <w:color w:val="auto"/>
                <w:w w:val="90"/>
              </w:rPr>
              <w:t>Years ended August 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32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1,350,145</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1,221,179</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1,127,092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services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659,296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487,409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324,645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302,464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290,007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operating expenses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777,416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366,204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349,676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(Loss) gain on sale of business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(1,223)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112,453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 of interest income</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(14,366)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Pr>
          <w:p>
            <w:pPr>
              <w:ind w:left="560"/>
              <w:spacing w:after="0"/>
              <w:rPr>
                <w:sz w:val="20"/>
                <w:szCs w:val="20"/>
                <w:color w:val="auto"/>
              </w:rPr>
            </w:pPr>
            <w:r>
              <w:rPr>
                <w:rFonts w:ascii="Arial" w:cs="Arial" w:eastAsia="Arial" w:hAnsi="Arial"/>
                <w:sz w:val="16"/>
                <w:szCs w:val="16"/>
                <w:color w:val="auto"/>
              </w:rPr>
              <w:t>Total other (expense) income</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(14,366)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(7,823)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111,317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351,838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344,312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460,993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84,753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86,053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122,178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267,085</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258,259</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6.78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6.51</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Basic weighted average common shares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38,733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39,444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40,880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common shares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39,642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41,365</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51" w:name="page52"/>
    <w:bookmarkEnd w:id="51"/>
    <w:p>
      <w:pPr>
        <w:ind w:left="4"/>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Consolidated Statements of Comprehensive Income</w:t>
      </w:r>
    </w:p>
    <w:p>
      <w:pPr>
        <w:spacing w:after="0" w:line="380"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ind w:left="60"/>
              <w:spacing w:after="0"/>
              <w:rPr>
                <w:sz w:val="20"/>
                <w:szCs w:val="20"/>
                <w:color w:val="auto"/>
              </w:rPr>
            </w:pPr>
            <w:r>
              <w:rPr>
                <w:rFonts w:ascii="Arial" w:cs="Arial" w:eastAsia="Arial" w:hAnsi="Arial"/>
                <w:sz w:val="16"/>
                <w:szCs w:val="16"/>
                <w:color w:val="auto"/>
                <w:w w:val="94"/>
              </w:rPr>
              <w:t>Years ended August 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267,085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258,259</w:t>
            </w:r>
          </w:p>
        </w:tc>
        <w:tc>
          <w:tcPr>
            <w:tcW w:w="1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Net unrealized (loss) gain on cash flow hedges*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(7,288)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(9,431)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Pr>
          <w:p>
            <w:pPr>
              <w:ind w:left="700"/>
              <w:spacing w:after="0"/>
              <w:rPr>
                <w:sz w:val="20"/>
                <w:szCs w:val="20"/>
                <w:color w:val="auto"/>
              </w:rPr>
            </w:pPr>
            <w:r>
              <w:rPr>
                <w:rFonts w:ascii="Arial" w:cs="Arial" w:eastAsia="Arial" w:hAnsi="Arial"/>
                <w:sz w:val="16"/>
                <w:szCs w:val="16"/>
                <w:color w:val="auto"/>
              </w:rPr>
              <w:t>Other comprehensive (loss) income</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(16,719)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33,833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(24,501)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250,366</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292,092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left="4" w:right="120" w:hanging="4"/>
        <w:spacing w:after="0" w:line="277" w:lineRule="auto"/>
        <w:tabs>
          <w:tab w:leader="none" w:pos="1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unrealized gain (loss) on cash flow hedges disclosed above was net of tax benefit (expense) of $3,518, ($3,049) and $498 for the fiscal years ended August 31, 2018, 2017 and 2016, respectively.</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752"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4"/>
          </w:tcPr>
          <w:p>
            <w:pPr>
              <w:jc w:val="right"/>
              <w:ind w:right="105"/>
              <w:spacing w:after="0"/>
              <w:rPr>
                <w:sz w:val="20"/>
                <w:szCs w:val="20"/>
                <w:color w:val="auto"/>
              </w:rPr>
            </w:pPr>
            <w:r>
              <w:rPr>
                <w:rFonts w:ascii="Arial" w:cs="Arial" w:eastAsia="Arial" w:hAnsi="Arial"/>
                <w:sz w:val="16"/>
                <w:szCs w:val="16"/>
                <w:color w:val="auto"/>
              </w:rPr>
              <w:t>August 31,</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1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share data)</w:t>
            </w:r>
          </w:p>
        </w:tc>
        <w:tc>
          <w:tcPr>
            <w:tcW w:w="34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208,623</w:t>
            </w:r>
          </w:p>
        </w:tc>
        <w:tc>
          <w:tcPr>
            <w:tcW w:w="120" w:type="dxa"/>
            <w:vAlign w:val="bottom"/>
          </w:tcPr>
          <w:p>
            <w:pPr>
              <w:spacing w:after="0"/>
              <w:rPr>
                <w:sz w:val="16"/>
                <w:szCs w:val="16"/>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194,731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29,259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Accounts receivable, net of reserves of $3,490 and $2,738 at August 31, 2018 and 2017, respectively</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156,639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148,331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taxes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40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430,916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409,376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Property, equipment and leasehold improvements, net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100,545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100,454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701,833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707,560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173,543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7,412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70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1,419,447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8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10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72,059</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59,214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66,479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61,083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fees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49,700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47,495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Taxes payable</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Dividends payable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201,139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574,775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575,000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21,190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24,892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fees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29,626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11,484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rent and other non-current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70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893,547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853,624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100" w:type="dxa"/>
            <w:vAlign w:val="bottom"/>
            <w:shd w:val="clear" w:color="auto" w:fill="CCEEFF"/>
          </w:tcPr>
          <w:p>
            <w:pPr>
              <w:ind w:left="120"/>
              <w:spacing w:after="0" w:line="168" w:lineRule="exact"/>
              <w:rPr>
                <w:sz w:val="20"/>
                <w:szCs w:val="20"/>
                <w:color w:val="auto"/>
              </w:rPr>
            </w:pPr>
            <w:r>
              <w:rPr>
                <w:rFonts w:ascii="Arial" w:cs="Arial" w:eastAsia="Arial" w:hAnsi="Arial"/>
                <w:sz w:val="16"/>
                <w:szCs w:val="16"/>
                <w:color w:val="auto"/>
              </w:rPr>
              <w:t>Commitments and contingencies (See Note 19)</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Preferred stock, $.01 par value, 10,000,000 shares authorized, none issued</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65"/>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w w:val="91"/>
              </w:rPr>
              <w:t>Common stock, $.01 par value, 150,000,000 shares authorized, 39,264,849 and 51,845,132 shares issued; 38,192,586 and</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39,023,032 shares outstanding at August 31, 2018 and 2017, respectively</w:t>
            </w: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667,531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741,748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Treasury stock, at cost: 1,072,263 and 12,822,100 shares at August 31, 2018 and 2017, respectively</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(213,428)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(1,606,678)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122,843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1,458,823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(51,439)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400"/>
              <w:spacing w:after="0"/>
              <w:rPr>
                <w:sz w:val="20"/>
                <w:szCs w:val="20"/>
                <w:color w:val="auto"/>
              </w:rPr>
            </w:pPr>
            <w:r>
              <w:rPr>
                <w:rFonts w:ascii="Arial" w:cs="Arial" w:eastAsia="Arial" w:hAnsi="Arial"/>
                <w:sz w:val="16"/>
                <w:szCs w:val="16"/>
                <w:b w:val="1"/>
                <w:bCs w:val="1"/>
                <w:color w:val="auto"/>
              </w:rPr>
              <w:t>TOTAL STOCKHOLDERS’ EQUITY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525,900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559,691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1,419,447</w:t>
            </w:r>
          </w:p>
        </w:tc>
        <w:tc>
          <w:tcPr>
            <w:tcW w:w="120" w:type="dxa"/>
            <w:vAlign w:val="bottom"/>
          </w:tcPr>
          <w:p>
            <w:pPr>
              <w:spacing w:after="0"/>
              <w:rPr>
                <w:sz w:val="16"/>
                <w:szCs w:val="16"/>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6"/>
                <w:szCs w:val="16"/>
                <w:color w:val="auto"/>
                <w:w w:val="90"/>
              </w:rPr>
              <w:t>Years ended August 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267,085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258,259</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57,285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48,294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38,052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Loss (gain) on sale of business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(112,453)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Loss (gain) on sale of assets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benefits from share-based payment arrangements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(10,331)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Changes in assets and liabilities, net of effects of acquisitions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 net of reserves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(29,503)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12,077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5,525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Deferred fees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6,035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Taxes payable, net of prepaid taxes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30,270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(11,224)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rent and other non-current liabilities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Other working capital accounts, net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331,140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4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Acquisition of businesses and investments, net of cash and cash equivalents acquired</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(303,086)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(262,909)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business, net</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153,137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(12,470)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(30,757)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(18,137)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of investments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w w:val="92"/>
              </w:rPr>
              <w:t>Purchases of property, equipment and leasehold improvements, net of proceeds from dispositions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(33,520)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(36,862)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(47,740)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(48,531)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(347,306)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(158,408)</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4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Dividend payments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(89,408)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(80,898)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(74,218)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(303,955)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(260,978)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(356,828)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265,000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Repayment of debt</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(365,000)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employee stock plans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71,610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50,045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56,851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Tax benefits from share-based payment arrangements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10,331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Other financing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Pr>
          <w:p>
            <w:pPr>
              <w:ind w:left="400"/>
              <w:spacing w:after="0"/>
              <w:rPr>
                <w:sz w:val="20"/>
                <w:szCs w:val="20"/>
                <w:color w:val="auto"/>
              </w:rPr>
            </w:pPr>
            <w:r>
              <w:rPr>
                <w:rFonts w:ascii="Arial" w:cs="Arial" w:eastAsia="Arial" w:hAnsi="Arial"/>
                <w:sz w:val="16"/>
                <w:szCs w:val="16"/>
                <w:b w:val="1"/>
                <w:bCs w:val="1"/>
                <w:color w:val="auto"/>
              </w:rPr>
              <w:t>Net cash used in financing activities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(320,037)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(8,161)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(91,002)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4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(12,237)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(33,676)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69,493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194,731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228,407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158,914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208,623</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194,731</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228,407</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Cash paid during the year for interest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15,676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8,466</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year for income taxes, net of refunds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68,707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74,788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87,513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Supplemental Disclosure of Non-Cash Transactions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Dividends declared, not paid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24,443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21,853</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20,019</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FactSet Research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Changes in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6"/>
                <w:szCs w:val="16"/>
                <w:color w:val="auto"/>
                <w:w w:val="90"/>
              </w:rPr>
              <w:t>Years ended August 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512</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 issued for employee stock plans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Retirement of Treasury shares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ADDITIONAL PAID-IN CAPITAL</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741,748</w:t>
            </w:r>
          </w:p>
        </w:tc>
        <w:tc>
          <w:tcPr>
            <w:tcW w:w="12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623,195</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542,355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 issued for employee stock plans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50,039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Retirement of Treasury shares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(186,717)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Tax benefits from share-based payment arrangements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10,331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Accelerated share repurchase</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Stock-based compensation adjustment associated with disposition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667,531</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741,748</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623,195</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TREASURY STOCK</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(1,606,678)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(1,321,700)</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(988,873)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(302,441)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(253,131)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(328,283)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Retirement of Treasury shares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1,697,205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Accelerated share repurchase</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(24,000)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Purchases of common stock upon restricted stock vesting</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(7,847)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(213,428)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(1,606,678)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(1,321,700)</w:t>
            </w: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RETAINED EARNINGS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1,458,823</w:t>
            </w:r>
          </w:p>
        </w:tc>
        <w:tc>
          <w:tcPr>
            <w:tcW w:w="12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1,283,927</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1,021,651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258,259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Dividends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(92,710)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(83,363)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(76,539)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Retirement of Treasury Stock</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(1,510,355)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gridSpan w:val="2"/>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122,843</w:t>
            </w:r>
          </w:p>
        </w:tc>
        <w:tc>
          <w:tcPr>
            <w:tcW w:w="12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1,458,823</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1,283,927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b w:val="1"/>
                <w:bCs w:val="1"/>
                <w:color w:val="auto"/>
              </w:rPr>
              <w:t>ACCUMULATED OTHER COMPREHENSIVE LOSS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(34,720)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(68,553)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(44,052)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(9,431)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28,816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(23,644)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unrealized (loss) gain on cash flow hedges, net of tax</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(7,288)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gridSpan w:val="2"/>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(51,439)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(34,720)</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(68,553)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6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Balance, beginning of year</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559,691</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517,381</w:t>
            </w:r>
          </w:p>
        </w:tc>
        <w:tc>
          <w:tcPr>
            <w:tcW w:w="1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531,584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267,085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258,259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338,815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 issued for employee stock plans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50,045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Purchases of common stock upon restricted stock vesting</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(1,514)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(7,847)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(4,544)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Tax benefits from share-based payment arrangements</w:t>
            </w:r>
          </w:p>
        </w:tc>
        <w:tc>
          <w:tcPr>
            <w:tcW w:w="32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10,331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18,205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(302,441)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(253,131)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(352,283)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(9,431)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28,816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(23,644)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adjustment associated with disposition</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Net unrealized (loss) gain on cash flow hedges, net of tax</w:t>
            </w:r>
          </w:p>
        </w:tc>
        <w:tc>
          <w:tcPr>
            <w:tcW w:w="3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(7,288)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w:t>
            </w: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(92,710)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(83,363)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20" w:type="dxa"/>
            <w:vAlign w:val="bottom"/>
            <w:gridSpan w:val="2"/>
          </w:tcPr>
          <w:p>
            <w:pPr>
              <w:spacing w:after="0"/>
              <w:rPr>
                <w:sz w:val="20"/>
                <w:szCs w:val="20"/>
                <w:color w:val="auto"/>
              </w:rPr>
            </w:pPr>
            <w:r>
              <w:rPr>
                <w:rFonts w:ascii="Arial" w:cs="Arial" w:eastAsia="Arial" w:hAnsi="Arial"/>
                <w:sz w:val="16"/>
                <w:szCs w:val="16"/>
                <w:color w:val="auto"/>
              </w:rPr>
              <w:t>Balance, end of year</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525,900</w:t>
            </w:r>
          </w:p>
        </w:tc>
        <w:tc>
          <w:tcPr>
            <w:tcW w:w="12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559,691</w:t>
            </w:r>
          </w:p>
        </w:tc>
        <w:tc>
          <w:tcPr>
            <w:tcW w:w="120" w:type="dxa"/>
            <w:vAlign w:val="bottom"/>
          </w:tcPr>
          <w:p>
            <w:pPr>
              <w:spacing w:after="0"/>
              <w:rPr>
                <w:sz w:val="16"/>
                <w:szCs w:val="16"/>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517,381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Notes to the Consolidated Financial Statements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 ORGANIZATION AND NATURE OF BUSINESS</w:t>
      </w:r>
    </w:p>
    <w:p>
      <w:pPr>
        <w:spacing w:after="0" w:line="200" w:lineRule="exact"/>
        <w:rPr>
          <w:sz w:val="20"/>
          <w:szCs w:val="20"/>
          <w:color w:val="auto"/>
        </w:rPr>
      </w:pPr>
    </w:p>
    <w:p>
      <w:pPr>
        <w:ind w:right="80"/>
        <w:spacing w:after="0" w:line="273" w:lineRule="auto"/>
        <w:rPr>
          <w:sz w:val="20"/>
          <w:szCs w:val="20"/>
          <w:color w:val="auto"/>
        </w:rPr>
      </w:pPr>
      <w:r>
        <w:rPr>
          <w:rFonts w:ascii="Arial" w:cs="Arial" w:eastAsia="Arial" w:hAnsi="Arial"/>
          <w:sz w:val="15"/>
          <w:szCs w:val="15"/>
          <w:color w:val="auto"/>
        </w:rPr>
        <w:t>FactSet Research Systems Inc. (the “Company” or “FactSet”) is a global provider of integrated financial information, analytical applications and industry-leading service for the global investment community. The Company delivers insight and information to investment professionals through its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FactSet offers proprietary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Company’s revenues are primarily derived from subscriptions to products and services such as workstations, analytics, enterprise data, research management, and trade execution.</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2. BASIS OF PRESENTATION</w:t>
      </w:r>
    </w:p>
    <w:p>
      <w:pPr>
        <w:spacing w:after="0" w:line="200"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FactSet conducts business globally and is managed on a geographic basis. The accompanying consolidated financial statements include the accounts of the Company and its wholly owned subsidiaries. All intercompany activity and balances have been eliminated from the consolidated financial statements.</w:t>
      </w:r>
    </w:p>
    <w:p>
      <w:pPr>
        <w:spacing w:after="0" w:line="152"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Company’s consolidated financial statements are prepared in accordance with U.S. generally accepted accounting principles (“GAAP”). The preparation of consolidated financial statements and related disclosures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have been made in areas that include allocation of purchase price to acquired assets and liabilities, stock-based compensation, income taxes, accrued compensation, valuation of goodwill, and useful lives and valuation of fixed and intangible assets.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the date that the financial statements were issued.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3.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accounting policies of the Company and its subsidiaries are summarized below.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Recognition</w:t>
      </w:r>
    </w:p>
    <w:p>
      <w:pPr>
        <w:spacing w:after="0" w:line="20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majority of the Company’s revenues are derived from subscriptions to services such as workstations (also referred to as users), content and applications. The majority of clients are invoiced monthly to reflect the actual services provided. The remaining clients are invoiced quarterly, annually or biannually in advance. Subscription revenue is earned each month as the service is rendered to clients on a monthly basis. FactSet recognizes revenue when the client subscribes to FactSet services, the service has been rendered and earned during the month, the amount of the subscription is fixed or determinable based on established rates quoted on an annualized basis and collectability is reasonably assured. A provision for billing adjustments and cancellation of services is estimated and accounted for as a reduction to revenue, with a corresponding reduction to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and Deferred Fees</w:t>
      </w:r>
    </w:p>
    <w:p>
      <w:pPr>
        <w:spacing w:after="0" w:line="20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Amounts that have been earned but not yet paid are reflected on the Consolidated Balance Sheets as Accounts receivable, net of reserves. Amounts invoiced in advance of client payments that are in excess of earned subscription revenue are reflected on the Consolidated Balance Sheet as Deferred fees. As of August 31, 2018, the amount of accounts receivable that was unbilled totaled $6.4 million, which was subsequently billed in fiscal 2019.</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calculates its receivable reserve through analyzing aged client receivables, reviewing the recent history of client receivable write-offs and understanding general market and economic conditions. In accordance with this policy, a receivable reserve of $3.5 million and $2.7 million was recorded as of August 31, 2018 and 2017, respectively, within the Consolidated Balance Sheets as a reduction to Accounts receivable.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Cost of Services</w:t>
      </w:r>
    </w:p>
    <w:p>
      <w:pPr>
        <w:spacing w:after="0" w:line="20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Cost of services is comprised of compensation for Company employees within the content collection, consulting, product development, software and systems engineering groups in addition to data costs, computer maintenance and depreciation expenses, amortization of identifiable intangible assets, and client-related communication costs.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200"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Selling, general and administrative expenses include compensation for the sales and various other support and administrative departments in addition to travel and entertainment expenses, marketing costs, rent, amortization of leasehold improvements, depreciation of furniture and fixtures, office expenses, professional fees and other miscellaneous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Research and Product Development Costs</w:t>
      </w:r>
    </w:p>
    <w:p>
      <w:pPr>
        <w:spacing w:after="0" w:line="200"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FactSet does not have a separate research and product development department, but rather the Product Development and Engineering departments work closely with our strategists, product managers, sales and other client-facing specialists to identify areas of improvement with the goal of providing increased value to clients. As such, research and product development costs relate to the salary and benefits for the Company’s product development, software engineering and technical support staff and, as such, these costs are expensed when incurred within cost of services as employee compensation. The Company expects to allocate a similar percentage of its workforce in future years in order to continue to develop new products and enhancements, respond quickly to market changes and meet the needs of its clients efficiently. FactSet incurred $217.1 million of research and product development costs during fiscal 2018, which was comparable to its spend on similar development during fiscal years 2017 and 2016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Basic earnings per share (“EPS”) is computed by dividing net income by the number of weighted average common shares outstanding during the period. Diluted EPS is computed by dividing net income by the number of weighted average common shares outstanding during the period increased by the dilutive effect of potential common shares outstanding during the period. The number of potential common shares outstanding has been determined in accordance with the treasury stock method to the extent they are dilutive. For the purpose of calculating EPS, common shares outstanding include common shares issuable upon the exercise of outstanding share-based compensation awards, including employee stock options and restricted stock. Under the treasury stock method, the exercise price paid by the optionee and future stock-based compensation expense that the Company has not yet recognized are assumed to be used to repurchase shares.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(Loss)</w:t>
      </w:r>
    </w:p>
    <w:p>
      <w:pPr>
        <w:spacing w:after="0" w:line="200" w:lineRule="exact"/>
        <w:rPr>
          <w:sz w:val="20"/>
          <w:szCs w:val="20"/>
          <w:color w:val="auto"/>
        </w:rPr>
      </w:pPr>
    </w:p>
    <w:p>
      <w:pPr>
        <w:jc w:val="both"/>
        <w:ind w:right="160"/>
        <w:spacing w:after="0" w:line="289" w:lineRule="auto"/>
        <w:rPr>
          <w:sz w:val="20"/>
          <w:szCs w:val="20"/>
          <w:color w:val="auto"/>
        </w:rPr>
      </w:pPr>
      <w:r>
        <w:rPr>
          <w:rFonts w:ascii="Arial" w:cs="Arial" w:eastAsia="Arial" w:hAnsi="Arial"/>
          <w:sz w:val="15"/>
          <w:szCs w:val="15"/>
          <w:color w:val="auto"/>
        </w:rPr>
        <w:t>The Company discloses comprehensive income (loss) in accordance with applicable standards for the reporting and display of comprehensive income (loss) in a set of financial statements. Comprehensive income (loss) is defined as the change in net assets of a business enterprise during a period from transactions generated from non-owner sources. It includes all changes in equity during a period except those resulting from investments by owners and distributions to owners.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Fair Value Measures</w:t>
      </w:r>
    </w:p>
    <w:p>
      <w:pPr>
        <w:spacing w:after="0" w:line="200"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cash equivalents are classified as Level 1 while the Company’s derivative instruments (foreign exchange forward contracts) and certificates of deposit are classified as Level 2. There were no Level 3 assets or liabilities held by FactSet as of August 31, 2018 or 2017.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0" w:lineRule="exact"/>
        <w:rPr>
          <w:sz w:val="20"/>
          <w:szCs w:val="20"/>
          <w:color w:val="auto"/>
        </w:rPr>
      </w:pPr>
    </w:p>
    <w:p>
      <w:pPr>
        <w:ind w:right="320"/>
        <w:spacing w:after="0" w:line="351" w:lineRule="auto"/>
        <w:rPr>
          <w:sz w:val="20"/>
          <w:szCs w:val="20"/>
          <w:color w:val="auto"/>
        </w:rPr>
      </w:pPr>
      <w:r>
        <w:rPr>
          <w:rFonts w:ascii="Arial" w:cs="Arial" w:eastAsia="Arial" w:hAnsi="Arial"/>
          <w:sz w:val="14"/>
          <w:szCs w:val="14"/>
          <w:color w:val="auto"/>
        </w:rPr>
        <w:t>Cash and cash equivalents consist of demand deposits and money market funds with original maturities of three months or less and are reported at fair value. The Company’s corporate money market funds are readily convertible into cash and the net asset value of each fund on the last day of the quarter is used to determine its fair value.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Investments</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Investments consist of both mutual funds and certificates of deposit as both are part of the Company’s investment strategy. These mutual funds and certificates of deposit are included as Investments (short-term) on the Company’s Consolidated Balance Sheets as the certificates of deposit have original maturities greater than three months, but less than one year and the mutual funds can be liquidated at that Company’s discretion. The mutual funds and certificates of deposit are held for investment and are not considered debt securities. Interest income earned from these investments during fiscal 2018, 2017 and 2016 were $1.3 million, $1.6 million and $1.6 million, respectively. The Company’s cash, cash equivalents and investments portfolio did not experience any realized or unrealized losses as a result of counterparty credit risk or ratings change during fiscal 2018 and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Property, Equipment and Leasehold Improvements</w:t>
      </w:r>
    </w:p>
    <w:p>
      <w:pPr>
        <w:spacing w:after="0" w:line="200"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Property, equipment and leasehold improvements are stated at cost, less accumulated depreciation and amortization. Computers and related equipment are depreciated on a straight-line basis over estimated useful lives of three years. Furniture and fixtures are depreciated on a straight-line basis over their estimated useful lives of seven years. Leasehold improvements are amortized on a straight-line basis over the terms of the related leases or estimated useful lives of the improvements, whichever period is shorter. Repairs and maintenance expenditures, which are not considered leasehold improvements and do not extend the useful life of the property and equipment, are expensed as incurred.</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Company performs a test for impairment whenever events or changes in circumstances indicate that the carrying amount of an individual asset or asset group may not be recoverable. Should projected undiscounted future cash flows be less than the carrying amount of the asset or asset group, an impairment charge reducing the carrying amount to fair value is required. Fair value is determined based on the most appropriate valuation technique, including discounted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00"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The Company is required to test goodwill at the reporting level for potential impairment annually, or more frequently if impairment indicators occur. Goodwill is tested for impairment based on the present value of discounted cash flows, and, if impaired, written down to fair value based on discounted cash flows. FactSet has three reporting units, which are consistent with the operating segments reported as there is no discrete financial information available for the subsidiaries within each operating segment. The reporting units evaluated for potential impairment were the U.S., Europe and Asia Pacific, which reflect the level of internal reporting the Company uses to manage its business and operations. The Company performed its annual goodwill impairment test during the fourth quarter of fiscal 2018, consistent with the timing of previous years, and concluded that there was no impairment, with the fair value of each of the Company’s reporting units significantly exceeding carrying value.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w:t>
      </w:r>
    </w:p>
    <w:p>
      <w:pPr>
        <w:spacing w:after="0" w:line="200"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Company amortizes intangible assets over their estimated useful lives, which are evaluated quarterly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Amortizable Intangible assets are tested for impairment, if indicators of impairment are present, based on undiscounted cash flows, and, if impaired, written down to fair value based on discounted cash flows. No impairment of intangible assets has been identified during any of the fiscal years presented. The intangible assets have no assigned residual values.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Accrued Liabilities</w:t>
      </w:r>
    </w:p>
    <w:p>
      <w:pPr>
        <w:spacing w:after="0" w:line="20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Accrued liabilities include estimates relating to employee compensation, operating expenses and tax liabilities. Annual cash-based awards that are variable and discretionary in nature represent approximately 10% of our Company’s employee incentive compensation program. At the end of each fiscal year, FactSet conducts a final review of both Company and individual performance within each department to determine the amount of discretionary employee compensation. The Company also reviews compensation throughout the year to determine how overall performance tracks against management’s expectations. Management takes these and other factors, including historical performance, into account in reviewing accrued compensation estimates quarterly and adjusting accrual rates as appropriate. The amount of the variable employee compensation recorded within accrued compensation as of August 31, 2018 and 2017, was $43.6 million and $39.2 million, respectively. During fiscal 2018 the Company incurred $17.4 million of restructuring charges primarily related to employee compensation and severance of which $5.6 million was recorded as Accrued compensation as of August 31, 2018 which will be paid during fiscal 2019.</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Derivative Instruments</w:t>
      </w:r>
    </w:p>
    <w:p>
      <w:pPr>
        <w:spacing w:after="0" w:line="200" w:lineRule="exact"/>
        <w:rPr>
          <w:sz w:val="20"/>
          <w:szCs w:val="20"/>
          <w:color w:val="auto"/>
        </w:rPr>
      </w:pPr>
    </w:p>
    <w:p>
      <w:pPr>
        <w:ind w:right="120"/>
        <w:spacing w:after="0" w:line="273" w:lineRule="auto"/>
        <w:rPr>
          <w:sz w:val="20"/>
          <w:szCs w:val="20"/>
          <w:color w:val="auto"/>
        </w:rPr>
      </w:pPr>
      <w:r>
        <w:rPr>
          <w:rFonts w:ascii="Arial" w:cs="Arial" w:eastAsia="Arial" w:hAnsi="Arial"/>
          <w:sz w:val="15"/>
          <w:szCs w:val="15"/>
          <w:color w:val="auto"/>
        </w:rPr>
        <w:t>FactSet conducts business outside the U.S. in several currencies including the British Pound Sterling, Euro, Indian Rupee, Japanese Yen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exchange forward contracts for trading or speculative purposes. In designing a specific hedging approach, FactSet considers several factors, including offsetting exposures, significance of exposures, forecasting risk and potential effectiveness of the hedge. These transactions are designated and accounted for as cash flow hedges in accordance with applicable accounting guidance. The changes in fair value for these foreign currency forward contracts are initially reported as a component of accumulated other comprehensive loss (“AOCL”) and subsequently reclassified into operating expenses when the hedged exposure affects earnings. The gains and losses on foreign currency forward contracts mitigate the variability in operating expenses associated with currency movements. All derivatives are assessed for effectiveness at each reporting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w:t>
      </w:r>
    </w:p>
    <w:p>
      <w:pPr>
        <w:spacing w:after="0" w:line="20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Certain wholly-owned subsidiaries within the European and Asia Pacific segments operate under a functional currency different from the U.S. dollar, such as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AOCL as a component of stockholders’ equity. The accumulated foreign currency translation loss totaled $48.0 million and $38.5 million at August 31, 2018 and 2017,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Income and Deferred Taxes</w:t>
      </w:r>
    </w:p>
    <w:p>
      <w:pPr>
        <w:spacing w:after="0" w:line="200"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 enacted tax rates. FactSet recognizes the financial effect of an income tax position only if it is more likely than not (greater than 50%) that the tax position will prevail upon tax examination, based solely on the technical merits of the tax position as of the reporting date. Otherwise, no benefit or expense can be recognized in the consolidated financial statements. The tax benefits recognized are measured based on the largest benefit that has a greater than 50% likelihood of being realized upon ultimate settlement. Additionally, FactSet accrues interest on all tax exposures for which reserves have been established consistent with jurisdictional tax laws. Interest is classified as income tax expense in the financial statements. As of August 31, 2018, the Company had gross unrecognized tax benefits totaling $9.2 million, including $1.1 million of accrued interest, recorded as Taxes payable (non-current) on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w:t>
      </w:r>
    </w:p>
    <w:p>
      <w:pPr>
        <w:spacing w:after="0" w:line="200"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Accounting guidance requires the measurement and recognition of compensation expense for all share-based payment awards made to employees and directors including stock options, restricted stock and common shares acquired under employee stock purchases based on estimated fair values of the share awards that are scheduled to vest during the period. FactSet uses the straight-line attribution method for all awards with graded vesting features and service conditions only. Under this method, the amount of compensation expense that is recognized on any date is at least equal to the vested portion of the award on that date. For all stock-based awards with performance conditions, the graded vesting attribution method is used by the Company to determine the monthly stock-based compensation expense over the applicable vesting periods.</w:t>
      </w:r>
    </w:p>
    <w:p>
      <w:pPr>
        <w:spacing w:after="0" w:line="140" w:lineRule="exact"/>
        <w:rPr>
          <w:sz w:val="20"/>
          <w:szCs w:val="20"/>
          <w:color w:val="auto"/>
        </w:rPr>
      </w:pPr>
    </w:p>
    <w:p>
      <w:pPr>
        <w:jc w:val="both"/>
        <w:ind w:right="160"/>
        <w:spacing w:after="0" w:line="319" w:lineRule="auto"/>
        <w:rPr>
          <w:sz w:val="20"/>
          <w:szCs w:val="20"/>
          <w:color w:val="auto"/>
        </w:rPr>
      </w:pPr>
      <w:r>
        <w:rPr>
          <w:rFonts w:ascii="Arial" w:cs="Arial" w:eastAsia="Arial" w:hAnsi="Arial"/>
          <w:sz w:val="14"/>
          <w:szCs w:val="14"/>
          <w:color w:val="auto"/>
        </w:rPr>
        <w:t>As stock-based compensation expense recognized is based on awards ultimately expected to vest, it has been reduced for estimated forfeitures. Forfeitures are estimated at the time of grant and revised, if necessary, in subsequent periods if actual forfeitures differ from those estimates. Forfeitures are estimated based primarily on historical experience. Windfall tax benefits, defined as tax deductions that exceed recorded stock-based compensation, are classified as cash inflows from financing activities.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Performance-based stock options require management to make assumptions regarding the likelihood of achieving Company performance targets on a quarterly basis. The number of performance-based options that vest will be predicated on the Company achieving certain performance levels. A change in the financial performance levels the Company achieves could result in changes to FactSet’s current estimate of the vesting percentage and related stock-based compensation.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Treasury Stock</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accounts for repurchased common stock under the cost method and includes such treasury stock as a component of its stockholders’ equity. The Company accounts for the formal retirement of treasury stock by deducting its par value from common stock, reducing additional paid-in capital (“APIC”) by the average amount recorded in APIC when the stock was originally issued and any remaining excess of cost deducted from retained earnings.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Leases</w:t>
      </w:r>
    </w:p>
    <w:p>
      <w:pPr>
        <w:spacing w:after="0" w:line="200"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The Company conducts all of its operations in leased facilities which have minimum lease obligations under non-cancelable operating leases. Certain of these leases contain rent escalations based on specified percentages. Most of the leases contain renewal options and require payments for taxes, insurance and maintenance. Rent expense is charged to operations as incurred except for escalating rents, which are charged to operations on a straight-line basis over the life of the lease. Lease incentives, relating to allowances provided by landlords, are amortized over the term of the lease as a reduction of rent expense. Costs associated with acquiring a subtenant, including broker commissions and tenant allowances, are amortized over the sublease term as a reduction of sublease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Combinations</w:t>
      </w:r>
    </w:p>
    <w:p>
      <w:pPr>
        <w:spacing w:after="0" w:line="20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Company records acquisitions using the purchase method of accounting. All of the assets acquired, liabilities assumed, contractual contingencies and contingent consideration are recognized at their fair value on the acquisition date.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 excess of the fair value of purchase consideration over the fair values of these identifiable assets and liabilities is recorded as goodwill. Acquisition-related expenses and restructuring costs are recognized separately from the business combination and are expensed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Concentrations of Risk</w:t>
      </w:r>
    </w:p>
    <w:p>
      <w:pPr>
        <w:spacing w:after="0" w:line="20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Cash and cash equivalents are maintained with several financial institutions. Deposits held with banks may exceed the amount of insurance provided on such deposits. Generally,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New Accounting Standards or Updates Recently Adopted</w:t>
      </w:r>
    </w:p>
    <w:p>
      <w:pPr>
        <w:spacing w:after="0" w:line="200" w:lineRule="exact"/>
        <w:rPr>
          <w:sz w:val="20"/>
          <w:szCs w:val="20"/>
          <w:color w:val="auto"/>
        </w:rPr>
      </w:pPr>
    </w:p>
    <w:p>
      <w:pPr>
        <w:ind w:right="40"/>
        <w:spacing w:after="0" w:line="351" w:lineRule="auto"/>
        <w:rPr>
          <w:sz w:val="20"/>
          <w:szCs w:val="20"/>
          <w:color w:val="auto"/>
        </w:rPr>
      </w:pPr>
      <w:r>
        <w:rPr>
          <w:rFonts w:ascii="Arial" w:cs="Arial" w:eastAsia="Arial" w:hAnsi="Arial"/>
          <w:sz w:val="14"/>
          <w:szCs w:val="14"/>
          <w:color w:val="auto"/>
        </w:rPr>
        <w:t>As of the beginning of fiscal 2018, FactSet implemented all applicable new accounting standards and updates issued by the Financial Accounting Standards Board (“FASB”) that were in effect. There were no new standards or updates adopted during the last three fiscal years that had a material impact on the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Classification of Deferred Taxes</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November 2015, to simplify the presentation of deferred taxes on the balance sheet. This accounting standard update required an entity to present all deferred tax assets and deferred tax liabilities as non-current on the balance sheet. Under the previous guidance, entities were required to separately present deferred taxes as current or non-current. Netting deferred tax assets and deferred tax liabilities by tax jurisdiction is still required under the new guidance. This accounting standard update is a change to the balance sheet presentation only. The changes have been applied prospectively as permitted by the standard and prior periods have not been restated.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Payments</w:t>
      </w:r>
    </w:p>
    <w:p>
      <w:pPr>
        <w:spacing w:after="0" w:line="204"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During the first quarter of fiscal 2018, FactSet adopted the accounting standard update issued by the FASB in March 2016, which simplifies several aspects of the accounting for employee share-based payment transactions, including the accounting for income taxes, forfeitures and statutory tax withholding requirements, as well as classification in the statement of cash flows. This accounting standard update increases the volatility within the Company’s provision for income taxes, as all excess tax benefits or deficiencies related to share-based payments that were previously reported within equity will now be recognized in the consolidated statement of income. The adoption of this standard resulted in the recognition of $9.5 million of excess tax benefits to FactSet’s provision for income taxes during fiscal 2018. In addition, this standard changed the classification of excess tax benefits presented in the Company’s consolidated statements of cash flows from a financing activity to an operating activity, which was applied on a prospective basis as permitted by the standard. Prior periods were not restated. Share-based payment expense continues to reflect estimated forfeitures of share-based payment awards. The remaining provisions of this standard did not have a material impact on the Company’s consolidated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Income Taxes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During the third quarter of fiscal 2018, FactSet adopted the accounting standard update issued by the FASB in March 2018, which provides guidance related to income tax accounting implications under the Tax Cuts and Jobs Act (“TCJA”) enacted on December 22, 2017, effective January 1, 2018. Areas of clarification under the update are the measurement period timeframe, changes in subsequent reporting periods, and reporting requirements as they relate to the TCJA. Due to the complexity of the TCJA, the standard update allows companies to record provisional amounts, or reasonable estimates of the tax effects of the TCJA during a measurement period not to exceed one year from the enactment date. As a result of the TCJA, FactSet recorded a one-time transition tax expense of $23.2 million and a $2.3 million tax expense related to the remeasurement of the net U.S. deferred tax position. The Company will continue to analyze the TCJA and related accounting guidance and interpretation in order to finalize any impacts within the one-year measurement period from the TCJA enactment date.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Recent Accounting Standards or Updates Not Yet Effective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04"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revenues and cash flows related to contracts with clients.</w:t>
      </w:r>
    </w:p>
    <w:p>
      <w:pPr>
        <w:spacing w:after="0" w:line="135"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will adopt the new standard using the modified retrospective method at the beginning of its first quarter of fiscal 2019.</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FactSet’s implementation efforts include the identification of revenue within the scope of the standard and an evaluation of contract revenue under the new guidance.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an assessment of the qualitative and quantitative impacts of pricing changes during the contractual term and fulfillment costs was made.</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Services and products offered by FactSet mostly result in the customer simultaneously receiving and consuming the benefits. Thus, FactSet will be required to record revenue for its contracts using the over-time revenue recognition model which is comparable with how revenue is recognized today. The Company anticipates the new standard will impact the Company's accounting for certain fulfillment costs, which include up-front costs to allow for the delivery of services and products that are expected to be recovered. Under the new standard, such up-front costs would be recognized as an asset and amortized consistent with the associated revenue for providing the services. Currently, these costs are expensed as incurred. The Company does not expect the adoption of the new revenue recognition standard to result in a material change to its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Recognition and Measurement of Financial Assets and Financial Liabilities</w:t>
      </w:r>
    </w:p>
    <w:p>
      <w:pPr>
        <w:spacing w:after="0" w:line="204"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In January 2016, the FASB issued an accounting standard update to amend its current guidance on the classification and measurement of certain financial instruments. The accounting standard update significantly revises an entity’s accounting related to the presentation of certain fair value changes for financial liabilities measured at fair value. This guidance also amends certain disclosure requirements associated with the fair value of financial instruments. This guidance will be effective for FactSet beginning in the first quarter of fiscal 2019. The Company is currently evaluating the impact of this accounting standard update on its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04"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including the transition method, but does expect the adoption to have a material impact to its balance sheet. However, it does not expect the adoption to have a material impact on the statements of income, comprehensive income or cash flows. See Note 19 for information regarding our undiscounted future lease commitments.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Cash Flow Simplification</w:t>
      </w:r>
    </w:p>
    <w:p>
      <w:pPr>
        <w:spacing w:after="0" w:line="20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August 2016, the FASB issued an accounting standard update which simplifies how certain transactions are classified in the statement of cash flows. This includes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This accounting standard update will be effective for FactSet beginning in the first quarter of fiscal 2019. The Company is currently evaluating the impact of this accounting standard update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 on Intra-Entity Transfers of Assets</w:t>
      </w:r>
    </w:p>
    <w:p>
      <w:pPr>
        <w:spacing w:after="0" w:line="204"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 October 2016, the FASB issued an accounting standard update, which removes the prohibition against the immediate recognition of the current and deferred income tax effects of intra-entity transfers of assets other than inventory. The guidance is intended to reduce diversity in practice related to the tax consequences of certain types of intra-entity asset transfers, particularly those involving intellectual property. This accounting standard update will be effective for FactSet beginning in the first quarter of fiscal 2019. The Company is currently evaluating the impact of this accounting standard update on its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 Test</w:t>
      </w:r>
    </w:p>
    <w:p>
      <w:pPr>
        <w:spacing w:after="0" w:line="204" w:lineRule="exact"/>
        <w:rPr>
          <w:sz w:val="20"/>
          <w:szCs w:val="20"/>
          <w:color w:val="auto"/>
        </w:rPr>
      </w:pPr>
    </w:p>
    <w:p>
      <w:pPr>
        <w:jc w:val="both"/>
        <w:ind w:right="100"/>
        <w:spacing w:after="0" w:line="282" w:lineRule="auto"/>
        <w:rPr>
          <w:sz w:val="20"/>
          <w:szCs w:val="20"/>
          <w:color w:val="auto"/>
        </w:rPr>
      </w:pPr>
      <w:r>
        <w:rPr>
          <w:rFonts w:ascii="Arial" w:cs="Arial" w:eastAsia="Arial" w:hAnsi="Arial"/>
          <w:sz w:val="15"/>
          <w:szCs w:val="15"/>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FactSet beginning in the first quarter of fiscal 2021, with early adoption permitted for any impairment tests performed after January 1, 2017 and is not expected to have a material impact on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Hedge Accounting Simplification</w:t>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August 2017, the FASB issued an accounting standard update to reduce the complexity of and simplify the application of hedging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FactSet beginning in the first quarter of fiscal 2020, with early adoption permitted. The Company is currently evaluating the impact of this accounting standard update but is not expected to have a material impact on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Payments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May 2017, the FASB issued an accounting standard update, which amends the scope of modification accounting for share-based payment arrangements. The guidance focuses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 of Certain Tax Effects from Accumulated Other Comprehensive Income</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February 2018, the FASB issued an accounting standard update, which allows companies to reclassify certain stranded income tax effects resulting from the enactment of the Tax Cuts and Jobs Act (the "TCJA") from accumulated other comprehensive income to retained earnings.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Implementation Costs in a Cloud Computing Arrangement</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August 2018, the FASB issued an accounting standard update related to a client’s accounting for implementation costs incurred in a cloud computing arrangement that is a service contract. This guidance aligns the requirements for capitalizing implementation costs in a cloud computing service contract with the guidance for capitalizing implementation costs to develop or obtain internal-use software. Capitalized implementation costs will be expensed over the term of the arrangement. This accounting standard update will be effective for FactSet beginning in the first quarter of fiscal 2021, with early adoption permitted. The Company is currently evaluating the impact of this accounting standard update on its consolidated financial statements.</w:t>
      </w:r>
    </w:p>
    <w:p>
      <w:pPr>
        <w:spacing w:after="0" w:line="168" w:lineRule="exact"/>
        <w:rPr>
          <w:sz w:val="20"/>
          <w:szCs w:val="20"/>
          <w:color w:val="auto"/>
        </w:rPr>
      </w:pPr>
    </w:p>
    <w:p>
      <w:pPr>
        <w:ind w:right="540"/>
        <w:spacing w:after="0" w:line="277" w:lineRule="auto"/>
        <w:rPr>
          <w:sz w:val="20"/>
          <w:szCs w:val="20"/>
          <w:color w:val="auto"/>
        </w:rPr>
      </w:pPr>
      <w:r>
        <w:rPr>
          <w:rFonts w:ascii="Arial" w:cs="Arial" w:eastAsia="Arial" w:hAnsi="Arial"/>
          <w:sz w:val="16"/>
          <w:szCs w:val="16"/>
          <w:color w:val="auto"/>
        </w:rPr>
        <w:t>No other new accounting pronouncements issued or effective as of August 31, 2018, have had or are expected to have an impact on the Company’s consolidated financial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4. FAIR VALUE MEASURES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Fair Value Hierarchy</w:t>
      </w:r>
    </w:p>
    <w:p>
      <w:pPr>
        <w:spacing w:after="0" w:line="20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applies to assets or liabilities for which there are quoted prices in active markets for identical assets or liabilities. These Level 1 assets and liabilities include FactSet’s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money market funds that are classified as cash equivalents.</w:t>
      </w:r>
    </w:p>
    <w:p>
      <w:pPr>
        <w:spacing w:after="0" w:line="152"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applies to assets or liabilities for which there are inputs other than quoted prices that are observable for the asset or liability such as quoted prices for similar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and derivative instruments are classified as Level 2.</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applies to assets or liabilities for which there are unobservable inputs to the valuation methodology that are significant to the measurement of the fair value of the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liabilities. There were no Level 3 assets or liabilities held by FactSet as of August 31, 2018 or 2017.</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(a) Assets and Liabilities Measured at Fair Value on a Recurring Basis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following tables shows by level within the fair value hierarchy the Company’s assets and liabilities that are measured at fair value on a recurring basis at August 31, 2018 and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60" w:type="dxa"/>
            <w:vAlign w:val="bottom"/>
            <w:gridSpan w:val="8"/>
          </w:tcPr>
          <w:p>
            <w:pPr>
              <w:ind w:left="20"/>
              <w:spacing w:after="0"/>
              <w:rPr>
                <w:sz w:val="20"/>
                <w:szCs w:val="20"/>
                <w:color w:val="auto"/>
              </w:rPr>
            </w:pPr>
            <w:r>
              <w:rPr>
                <w:rFonts w:ascii="Arial" w:cs="Arial" w:eastAsia="Arial" w:hAnsi="Arial"/>
                <w:sz w:val="16"/>
                <w:szCs w:val="16"/>
                <w:color w:val="auto"/>
                <w:w w:val="90"/>
              </w:rPr>
              <w:t>Fair Value Measurements at August 31, 2018</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80" w:type="dxa"/>
            <w:vAlign w:val="bottom"/>
            <w:gridSpan w:val="4"/>
          </w:tcPr>
          <w:p>
            <w:pPr>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960" w:type="dxa"/>
            <w:vAlign w:val="bottom"/>
          </w:tcPr>
          <w:p>
            <w:pPr>
              <w:jc w:val="right"/>
              <w:ind w:right="260"/>
              <w:spacing w:after="0"/>
              <w:rPr>
                <w:sz w:val="20"/>
                <w:szCs w:val="20"/>
                <w:color w:val="auto"/>
              </w:rPr>
            </w:pPr>
            <w:r>
              <w:rPr>
                <w:rFonts w:ascii="Arial" w:cs="Arial" w:eastAsia="Arial" w:hAnsi="Arial"/>
                <w:sz w:val="16"/>
                <w:szCs w:val="16"/>
                <w:color w:val="auto"/>
              </w:rPr>
              <w:t>Level 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Level 3</w:t>
            </w:r>
          </w:p>
        </w:tc>
        <w:tc>
          <w:tcPr>
            <w:tcW w:w="24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color w:val="auto"/>
                <w:w w:val="79"/>
              </w:rPr>
              <w:t>Assets</w:t>
            </w:r>
          </w:p>
        </w:tc>
        <w:tc>
          <w:tcPr>
            <w:tcW w:w="566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tcPr>
          <w:p>
            <w:pPr>
              <w:spacing w:after="0" w:line="228" w:lineRule="exact"/>
              <w:rPr>
                <w:sz w:val="20"/>
                <w:szCs w:val="20"/>
                <w:color w:val="auto"/>
              </w:rPr>
            </w:pPr>
            <w:r>
              <w:rPr>
                <w:rFonts w:ascii="Arial" w:cs="Arial" w:eastAsia="Arial" w:hAnsi="Arial"/>
                <w:sz w:val="16"/>
                <w:szCs w:val="16"/>
                <w:color w:val="auto"/>
              </w:rPr>
              <w:t>Corporate money market funds</w:t>
            </w:r>
            <w:r>
              <w:rPr>
                <w:rFonts w:ascii="Arial" w:cs="Arial" w:eastAsia="Arial" w:hAnsi="Arial"/>
                <w:sz w:val="26"/>
                <w:szCs w:val="26"/>
                <w:color w:val="auto"/>
                <w:vertAlign w:val="superscript"/>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shd w:val="clear" w:color="auto" w:fill="CCEEFF"/>
          </w:tcPr>
          <w:p>
            <w:pPr>
              <w:spacing w:after="0" w:line="228" w:lineRule="exact"/>
              <w:rPr>
                <w:sz w:val="20"/>
                <w:szCs w:val="20"/>
                <w:color w:val="auto"/>
              </w:rPr>
            </w:pPr>
            <w:r>
              <w:rPr>
                <w:rFonts w:ascii="Arial" w:cs="Arial" w:eastAsia="Arial" w:hAnsi="Arial"/>
                <w:sz w:val="16"/>
                <w:szCs w:val="16"/>
                <w:color w:val="auto"/>
              </w:rPr>
              <w:t>Mutual Funds</w:t>
            </w:r>
            <w:r>
              <w:rPr>
                <w:rFonts w:ascii="Arial" w:cs="Arial" w:eastAsia="Arial" w:hAnsi="Arial"/>
                <w:sz w:val="26"/>
                <w:szCs w:val="26"/>
                <w:color w:val="auto"/>
                <w:vertAlign w:val="superscript"/>
              </w:rPr>
              <w:t>(2)</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tcPr>
          <w:p>
            <w:pPr>
              <w:spacing w:after="0" w:line="228" w:lineRule="exact"/>
              <w:rPr>
                <w:sz w:val="20"/>
                <w:szCs w:val="20"/>
                <w:color w:val="auto"/>
              </w:rPr>
            </w:pPr>
            <w:r>
              <w:rPr>
                <w:rFonts w:ascii="Arial" w:cs="Arial" w:eastAsia="Arial" w:hAnsi="Arial"/>
                <w:sz w:val="16"/>
                <w:szCs w:val="16"/>
                <w:color w:val="auto"/>
              </w:rPr>
              <w:t>Certificates of deposit</w:t>
            </w:r>
            <w:r>
              <w:rPr>
                <w:rFonts w:ascii="Arial" w:cs="Arial" w:eastAsia="Arial" w:hAnsi="Arial"/>
                <w:sz w:val="26"/>
                <w:szCs w:val="26"/>
                <w:color w:val="auto"/>
                <w:vertAlign w:val="superscript"/>
              </w:rPr>
              <w:t>(3)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10,591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Derivative instruments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i w:val="1"/>
                <w:iCs w:val="1"/>
                <w:color w:val="auto"/>
              </w:rPr>
              <w:t>Total assets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29,349</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29,424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060" w:type="dxa"/>
            <w:vAlign w:val="bottom"/>
            <w:gridSpan w:val="3"/>
          </w:tcPr>
          <w:p>
            <w:pPr>
              <w:spacing w:after="0" w:line="156" w:lineRule="exact"/>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gridSpan w:val="3"/>
            <w:shd w:val="clear" w:color="auto" w:fill="CCEEFF"/>
          </w:tcPr>
          <w:p>
            <w:pPr>
              <w:spacing w:after="0" w:line="232" w:lineRule="exact"/>
              <w:rPr>
                <w:sz w:val="20"/>
                <w:szCs w:val="20"/>
                <w:color w:val="auto"/>
              </w:rPr>
            </w:pPr>
            <w:r>
              <w:rPr>
                <w:rFonts w:ascii="Arial" w:cs="Arial" w:eastAsia="Arial" w:hAnsi="Arial"/>
                <w:sz w:val="16"/>
                <w:szCs w:val="16"/>
                <w:color w:val="auto"/>
              </w:rPr>
              <w:t>Derivative instruments</w:t>
            </w:r>
            <w:r>
              <w:rPr>
                <w:rFonts w:ascii="Arial" w:cs="Arial" w:eastAsia="Arial" w:hAnsi="Arial"/>
                <w:sz w:val="26"/>
                <w:szCs w:val="26"/>
                <w:color w:val="auto"/>
                <w:vertAlign w:val="superscript"/>
              </w:rPr>
              <w:t>(4)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i w:val="1"/>
                <w:iCs w:val="1"/>
                <w:color w:val="auto"/>
              </w:rPr>
              <w:t>Total liabilities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4,036</w:t>
            </w:r>
          </w:p>
        </w:tc>
        <w:tc>
          <w:tcPr>
            <w:tcW w:w="12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60" w:type="dxa"/>
            <w:vAlign w:val="bottom"/>
            <w:gridSpan w:val="8"/>
          </w:tcPr>
          <w:p>
            <w:pPr>
              <w:ind w:left="20"/>
              <w:spacing w:after="0"/>
              <w:rPr>
                <w:sz w:val="20"/>
                <w:szCs w:val="20"/>
                <w:color w:val="auto"/>
              </w:rPr>
            </w:pPr>
            <w:r>
              <w:rPr>
                <w:rFonts w:ascii="Arial" w:cs="Arial" w:eastAsia="Arial" w:hAnsi="Arial"/>
                <w:sz w:val="16"/>
                <w:szCs w:val="16"/>
                <w:color w:val="auto"/>
                <w:w w:val="90"/>
              </w:rPr>
              <w:t>Fair Value Measurements at August 31, 2017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080" w:type="dxa"/>
            <w:vAlign w:val="bottom"/>
            <w:gridSpan w:val="4"/>
          </w:tcPr>
          <w:p>
            <w:pPr>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960" w:type="dxa"/>
            <w:vAlign w:val="bottom"/>
          </w:tcPr>
          <w:p>
            <w:pPr>
              <w:jc w:val="right"/>
              <w:ind w:right="260"/>
              <w:spacing w:after="0"/>
              <w:rPr>
                <w:sz w:val="20"/>
                <w:szCs w:val="20"/>
                <w:color w:val="auto"/>
              </w:rPr>
            </w:pPr>
            <w:r>
              <w:rPr>
                <w:rFonts w:ascii="Arial" w:cs="Arial" w:eastAsia="Arial" w:hAnsi="Arial"/>
                <w:sz w:val="16"/>
                <w:szCs w:val="16"/>
                <w:color w:val="auto"/>
              </w:rPr>
              <w:t>Level 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Level 3</w:t>
            </w:r>
          </w:p>
        </w:tc>
        <w:tc>
          <w:tcPr>
            <w:tcW w:w="240" w:type="dxa"/>
            <w:vAlign w:val="bottom"/>
          </w:tcPr>
          <w:p>
            <w:pPr>
              <w:spacing w:after="0"/>
              <w:rPr>
                <w:sz w:val="17"/>
                <w:szCs w:val="17"/>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color w:val="auto"/>
                <w:w w:val="79"/>
              </w:rPr>
              <w:t>Assets</w:t>
            </w:r>
          </w:p>
        </w:tc>
        <w:tc>
          <w:tcPr>
            <w:tcW w:w="566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tcPr>
          <w:p>
            <w:pPr>
              <w:spacing w:after="0" w:line="228" w:lineRule="exact"/>
              <w:rPr>
                <w:sz w:val="20"/>
                <w:szCs w:val="20"/>
                <w:color w:val="auto"/>
              </w:rPr>
            </w:pPr>
            <w:r>
              <w:rPr>
                <w:rFonts w:ascii="Arial" w:cs="Arial" w:eastAsia="Arial" w:hAnsi="Arial"/>
                <w:sz w:val="16"/>
                <w:szCs w:val="16"/>
                <w:color w:val="auto"/>
              </w:rPr>
              <w:t>Corporate money market funds</w:t>
            </w:r>
            <w:r>
              <w:rPr>
                <w:rFonts w:ascii="Arial" w:cs="Arial" w:eastAsia="Arial" w:hAnsi="Arial"/>
                <w:sz w:val="26"/>
                <w:szCs w:val="26"/>
                <w:color w:val="auto"/>
                <w:vertAlign w:val="superscript"/>
              </w:rPr>
              <w:t>(1)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26,677</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26,677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shd w:val="clear" w:color="auto" w:fill="CCEEFF"/>
          </w:tcPr>
          <w:p>
            <w:pPr>
              <w:spacing w:after="0" w:line="228" w:lineRule="exact"/>
              <w:rPr>
                <w:sz w:val="20"/>
                <w:szCs w:val="20"/>
                <w:color w:val="auto"/>
              </w:rPr>
            </w:pPr>
            <w:r>
              <w:rPr>
                <w:rFonts w:ascii="Arial" w:cs="Arial" w:eastAsia="Arial" w:hAnsi="Arial"/>
                <w:sz w:val="16"/>
                <w:szCs w:val="16"/>
                <w:color w:val="auto"/>
              </w:rPr>
              <w:t>Mutual Funds</w:t>
            </w:r>
            <w:r>
              <w:rPr>
                <w:rFonts w:ascii="Arial" w:cs="Arial" w:eastAsia="Arial" w:hAnsi="Arial"/>
                <w:sz w:val="26"/>
                <w:szCs w:val="26"/>
                <w:color w:val="auto"/>
                <w:vertAlign w:val="superscript"/>
              </w:rPr>
              <w:t>(2)</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gridSpan w:val="3"/>
          </w:tcPr>
          <w:p>
            <w:pPr>
              <w:spacing w:after="0" w:line="228" w:lineRule="exact"/>
              <w:rPr>
                <w:sz w:val="20"/>
                <w:szCs w:val="20"/>
                <w:color w:val="auto"/>
              </w:rPr>
            </w:pPr>
            <w:r>
              <w:rPr>
                <w:rFonts w:ascii="Arial" w:cs="Arial" w:eastAsia="Arial" w:hAnsi="Arial"/>
                <w:sz w:val="16"/>
                <w:szCs w:val="16"/>
                <w:color w:val="auto"/>
              </w:rPr>
              <w:t>Certificates of deposit</w:t>
            </w:r>
            <w:r>
              <w:rPr>
                <w:rFonts w:ascii="Arial" w:cs="Arial" w:eastAsia="Arial" w:hAnsi="Arial"/>
                <w:sz w:val="26"/>
                <w:szCs w:val="26"/>
                <w:color w:val="auto"/>
                <w:vertAlign w:val="superscript"/>
              </w:rPr>
              <w:t>(3)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14,080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Derivative instruments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i w:val="1"/>
                <w:iCs w:val="1"/>
                <w:color w:val="auto"/>
              </w:rPr>
              <w:t>Total assets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26,677</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38,586</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65,263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060" w:type="dxa"/>
            <w:vAlign w:val="bottom"/>
            <w:gridSpan w:val="3"/>
          </w:tcPr>
          <w:p>
            <w:pPr>
              <w:spacing w:after="0" w:line="156" w:lineRule="exact"/>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gridSpan w:val="3"/>
            <w:shd w:val="clear" w:color="auto" w:fill="CCEEFF"/>
          </w:tcPr>
          <w:p>
            <w:pPr>
              <w:spacing w:after="0" w:line="232" w:lineRule="exact"/>
              <w:rPr>
                <w:sz w:val="20"/>
                <w:szCs w:val="20"/>
                <w:color w:val="auto"/>
              </w:rPr>
            </w:pPr>
            <w:r>
              <w:rPr>
                <w:rFonts w:ascii="Arial" w:cs="Arial" w:eastAsia="Arial" w:hAnsi="Arial"/>
                <w:sz w:val="16"/>
                <w:szCs w:val="16"/>
                <w:color w:val="auto"/>
              </w:rPr>
              <w:t>Derivative instruments</w:t>
            </w:r>
            <w:r>
              <w:rPr>
                <w:rFonts w:ascii="Arial" w:cs="Arial" w:eastAsia="Arial" w:hAnsi="Arial"/>
                <w:sz w:val="26"/>
                <w:szCs w:val="26"/>
                <w:color w:val="auto"/>
                <w:vertAlign w:val="superscript"/>
              </w:rPr>
              <w:t>(4)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60" w:type="dxa"/>
            <w:vAlign w:val="bottom"/>
            <w:gridSpan w:val="2"/>
          </w:tcPr>
          <w:p>
            <w:pPr>
              <w:ind w:left="160"/>
              <w:spacing w:after="0"/>
              <w:rPr>
                <w:sz w:val="20"/>
                <w:szCs w:val="20"/>
                <w:color w:val="auto"/>
              </w:rPr>
            </w:pPr>
            <w:r>
              <w:rPr>
                <w:rFonts w:ascii="Arial" w:cs="Arial" w:eastAsia="Arial" w:hAnsi="Arial"/>
                <w:sz w:val="16"/>
                <w:szCs w:val="16"/>
                <w:i w:val="1"/>
                <w:iCs w:val="1"/>
                <w:color w:val="auto"/>
              </w:rPr>
              <w:t>Total liabilities measured at fair value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right="160" w:hanging="280"/>
        <w:spacing w:after="0" w:line="231" w:lineRule="auto"/>
        <w:tabs>
          <w:tab w:leader="none" w:pos="420"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and included in Cash and cash equivalents within the Consolidated Balance Sheets.</w:t>
      </w:r>
    </w:p>
    <w:p>
      <w:pPr>
        <w:spacing w:after="0" w:line="50" w:lineRule="exact"/>
        <w:rPr>
          <w:rFonts w:ascii="Arial" w:cs="Arial" w:eastAsia="Arial" w:hAnsi="Arial"/>
          <w:sz w:val="21"/>
          <w:szCs w:val="21"/>
          <w:i w:val="1"/>
          <w:iCs w:val="1"/>
          <w:color w:val="auto"/>
          <w:vertAlign w:val="superscript"/>
        </w:rPr>
      </w:pPr>
    </w:p>
    <w:p>
      <w:pPr>
        <w:ind w:left="420" w:right="20" w:hanging="280"/>
        <w:spacing w:after="0" w:line="231" w:lineRule="auto"/>
        <w:tabs>
          <w:tab w:leader="none" w:pos="420"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50" w:lineRule="exact"/>
        <w:rPr>
          <w:rFonts w:ascii="Arial" w:cs="Arial" w:eastAsia="Arial" w:hAnsi="Arial"/>
          <w:sz w:val="21"/>
          <w:szCs w:val="21"/>
          <w:i w:val="1"/>
          <w:iCs w:val="1"/>
          <w:color w:val="auto"/>
          <w:vertAlign w:val="superscript"/>
        </w:rPr>
      </w:pPr>
    </w:p>
    <w:p>
      <w:pPr>
        <w:ind w:left="420" w:right="40" w:hanging="280"/>
        <w:spacing w:after="0" w:line="236" w:lineRule="auto"/>
        <w:tabs>
          <w:tab w:leader="none" w:pos="420" w:val="left"/>
        </w:tabs>
        <w:numPr>
          <w:ilvl w:val="0"/>
          <w:numId w:val="17"/>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The Company’s certificates of deposit held for investment are not debt securities and are classified as Level 2. These certificates of deposit have original maturities greater than three months, but less than one year and, as such, are classified as Investments (short-term) within the Consolidated Balance Sheets.</w:t>
      </w:r>
    </w:p>
    <w:p>
      <w:pPr>
        <w:spacing w:after="0" w:line="48" w:lineRule="exact"/>
        <w:rPr>
          <w:rFonts w:ascii="Arial" w:cs="Arial" w:eastAsia="Arial" w:hAnsi="Arial"/>
          <w:sz w:val="20"/>
          <w:szCs w:val="20"/>
          <w:i w:val="1"/>
          <w:iCs w:val="1"/>
          <w:color w:val="auto"/>
          <w:vertAlign w:val="superscript"/>
        </w:rPr>
      </w:pPr>
    </w:p>
    <w:p>
      <w:pPr>
        <w:ind w:left="420" w:right="240" w:hanging="280"/>
        <w:spacing w:after="0" w:line="265" w:lineRule="auto"/>
        <w:tabs>
          <w:tab w:leader="none" w:pos="42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Company utilizes the income approach to measure fair value for its derivative instruments (foreign exchange forward contracts). The income approach uses pricing models that rely on market observable inputs such as spot, forward and interest rates, as well as credit default swap spreads and therefore are classified as Level 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have any transfers between Level 1 and Level 2 fair value measurements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Assets and Liabilities Measured at Fair Value on a Non-Recurring Basis</w:t>
      </w:r>
    </w:p>
    <w:p>
      <w:pPr>
        <w:spacing w:after="0" w:line="204"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 and discounted cash flow projections. An impairment charge is recorded when the cost exceeds its fair value, based upon the results of such valuations. During fiscal 2018 and 2017, no fair value adjustments or material fair value measurements were required for the Company’s non-financial assets or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Assets and Liabilities Measured at Fair Value for Disclosure Purposes only</w:t>
      </w:r>
    </w:p>
    <w:p>
      <w:pPr>
        <w:spacing w:after="0" w:line="20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As of August 31, 2018, and 2017, the fair value of the Company’s long-term debt was $575.0 million, which approximated its carrying amount given its floating interest rate basis. The fair value of the Company’s long-term debt was determined based on quoted market prices for debt with a similar maturity, and thus categorized as Level 2 in the fair value hierarchy.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2" w:right="219" w:bottom="1440" w:gutter="0" w:footer="0" w:header="0"/>
        </w:sectPr>
      </w:pPr>
    </w:p>
    <w:bookmarkStart w:id="64" w:name="page65"/>
    <w:bookmarkEnd w:id="64"/>
    <w:p>
      <w:pPr>
        <w:ind w:left="4" w:right="9200" w:hanging="4"/>
        <w:spacing w:after="0" w:line="534" w:lineRule="auto"/>
        <w:tabs>
          <w:tab w:leader="none" w:pos="164"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DERIVATIVE INSTRUMENTS Cash Flow Hedges</w:t>
      </w:r>
    </w:p>
    <w:p>
      <w:pPr>
        <w:spacing w:after="0" w:line="1" w:lineRule="exact"/>
        <w:rPr>
          <w:sz w:val="20"/>
          <w:szCs w:val="20"/>
          <w:color w:val="auto"/>
        </w:rPr>
      </w:pPr>
    </w:p>
    <w:p>
      <w:pPr>
        <w:ind w:left="4" w:right="60"/>
        <w:spacing w:after="0" w:line="273" w:lineRule="auto"/>
        <w:rPr>
          <w:sz w:val="20"/>
          <w:szCs w:val="20"/>
          <w:color w:val="auto"/>
        </w:rPr>
      </w:pPr>
      <w:r>
        <w:rPr>
          <w:rFonts w:ascii="Arial" w:cs="Arial" w:eastAsia="Arial" w:hAnsi="Arial"/>
          <w:sz w:val="15"/>
          <w:szCs w:val="15"/>
          <w:color w:val="auto"/>
        </w:rPr>
        <w:t>FactSet conducts business outside the U.S. in several currencies including the British Pound Sterling, Euro, Indian Rupee, Japanese Yen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AOCL and subsequently reclassified into operating expenses when the hedged exposure affects earnings. There was no discontinuance of cash flow hedges during fiscal 2018 or 2017, and as such, no corresponding gains or losses related to changes in the value of the Company’s contracts were reclassified into earnings prior to settlement.</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color w:val="auto"/>
        </w:rPr>
        <w:t>As of August 31, 2018, FactSet maintained the following foreign currency forward contracts to hedge its exposures:</w:t>
      </w:r>
    </w:p>
    <w:p>
      <w:pPr>
        <w:spacing w:after="0" w:line="200" w:lineRule="exact"/>
        <w:rPr>
          <w:sz w:val="20"/>
          <w:szCs w:val="20"/>
          <w:color w:val="auto"/>
        </w:rPr>
      </w:pPr>
    </w:p>
    <w:p>
      <w:pPr>
        <w:ind w:left="584" w:hanging="296"/>
        <w:spacing w:after="0"/>
        <w:tabs>
          <w:tab w:leader="none" w:pos="584" w:val="left"/>
        </w:tabs>
        <w:numPr>
          <w:ilvl w:val="0"/>
          <w:numId w:val="1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Philippine Peso </w:t>
      </w:r>
      <w:r>
        <w:rPr>
          <w:rFonts w:ascii="Arial" w:cs="Arial" w:eastAsia="Arial" w:hAnsi="Arial"/>
          <w:sz w:val="15"/>
          <w:szCs w:val="15"/>
          <w:color w:val="auto"/>
        </w:rPr>
        <w:t>– foreign currency forward contracts to hedge approximately 75% of its Philippine Peso exposure through the fourth quarter of fiscal 2020.</w:t>
      </w:r>
    </w:p>
    <w:p>
      <w:pPr>
        <w:spacing w:after="0" w:line="211" w:lineRule="exact"/>
        <w:rPr>
          <w:rFonts w:ascii="Arial" w:cs="Arial" w:eastAsia="Arial" w:hAnsi="Arial"/>
          <w:sz w:val="15"/>
          <w:szCs w:val="15"/>
          <w:i w:val="1"/>
          <w:iCs w:val="1"/>
          <w:color w:val="auto"/>
        </w:rPr>
      </w:pPr>
    </w:p>
    <w:p>
      <w:pPr>
        <w:ind w:left="584" w:right="360" w:hanging="296"/>
        <w:spacing w:after="0" w:line="277" w:lineRule="auto"/>
        <w:tabs>
          <w:tab w:leader="none" w:pos="584"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Indian Rupee </w:t>
      </w:r>
      <w:r>
        <w:rPr>
          <w:rFonts w:ascii="Arial" w:cs="Arial" w:eastAsia="Arial" w:hAnsi="Arial"/>
          <w:sz w:val="16"/>
          <w:szCs w:val="16"/>
          <w:color w:val="auto"/>
        </w:rPr>
        <w:t>– foreign currency forward contracts to hedge approximately 75% of its Indian Rupee exposure through the third quarter of fiscal 2019 and 50%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from the fourth quarter of fiscal 2019 through the end of the second quarter of fiscal 2020.</w:t>
      </w:r>
    </w:p>
    <w:p>
      <w:pPr>
        <w:spacing w:after="0" w:line="151" w:lineRule="exact"/>
        <w:rPr>
          <w:rFonts w:ascii="Arial" w:cs="Arial" w:eastAsia="Arial" w:hAnsi="Arial"/>
          <w:sz w:val="16"/>
          <w:szCs w:val="16"/>
          <w:i w:val="1"/>
          <w:iCs w:val="1"/>
          <w:color w:val="auto"/>
        </w:rPr>
      </w:pPr>
    </w:p>
    <w:p>
      <w:pPr>
        <w:ind w:left="584" w:hanging="296"/>
        <w:spacing w:after="0"/>
        <w:tabs>
          <w:tab w:leader="none" w:pos="584"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Euro </w:t>
      </w:r>
      <w:r>
        <w:rPr>
          <w:rFonts w:ascii="Arial" w:cs="Arial" w:eastAsia="Arial" w:hAnsi="Arial"/>
          <w:sz w:val="16"/>
          <w:szCs w:val="16"/>
          <w:color w:val="auto"/>
        </w:rPr>
        <w:t>– foreign currency forward contracts to hedge approximately 50% of its Euro exposure through the third quarter of fiscal 2019.</w:t>
      </w:r>
    </w:p>
    <w:p>
      <w:pPr>
        <w:spacing w:after="0" w:line="200" w:lineRule="exact"/>
        <w:rPr>
          <w:rFonts w:ascii="Arial" w:cs="Arial" w:eastAsia="Arial" w:hAnsi="Arial"/>
          <w:sz w:val="16"/>
          <w:szCs w:val="16"/>
          <w:i w:val="1"/>
          <w:iCs w:val="1"/>
          <w:color w:val="auto"/>
        </w:rPr>
      </w:pPr>
    </w:p>
    <w:p>
      <w:pPr>
        <w:ind w:left="4" w:right="120" w:firstLine="284"/>
        <w:spacing w:after="0" w:line="501" w:lineRule="auto"/>
        <w:tabs>
          <w:tab w:leader="none" w:pos="581"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British Pound Sterling </w:t>
      </w:r>
      <w:r>
        <w:rPr>
          <w:rFonts w:ascii="Arial" w:cs="Arial" w:eastAsia="Arial" w:hAnsi="Arial"/>
          <w:sz w:val="16"/>
          <w:szCs w:val="16"/>
          <w:color w:val="auto"/>
        </w:rPr>
        <w:t>– foreign currency forward contracts to hedge approximately 50% of its British Pound Sterling exposure through the third quarter of fiscal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is a summary of all hedging positions and corresponding fair values:</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6080" w:type="dxa"/>
            <w:vAlign w:val="bottom"/>
            <w:gridSpan w:val="2"/>
            <w:vMerge w:val="restart"/>
          </w:tcPr>
          <w:p>
            <w:pPr>
              <w:spacing w:after="0"/>
              <w:rPr>
                <w:sz w:val="20"/>
                <w:szCs w:val="20"/>
                <w:color w:val="auto"/>
              </w:rPr>
            </w:pPr>
            <w:r>
              <w:rPr>
                <w:rFonts w:ascii="Arial" w:cs="Arial" w:eastAsia="Arial" w:hAnsi="Arial"/>
                <w:sz w:val="16"/>
                <w:szCs w:val="16"/>
                <w:color w:val="auto"/>
              </w:rPr>
              <w:t>Currency Hedged</w:t>
            </w: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Gross Notional Value</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Fair Value (Liability) Asset</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80" w:type="dxa"/>
            <w:vAlign w:val="bottom"/>
            <w:gridSpan w:val="2"/>
          </w:tcPr>
          <w:p>
            <w:pPr>
              <w:spacing w:after="0"/>
              <w:rPr>
                <w:sz w:val="20"/>
                <w:szCs w:val="20"/>
                <w:color w:val="auto"/>
              </w:rPr>
            </w:pPr>
            <w:r>
              <w:rPr>
                <w:rFonts w:ascii="Arial" w:cs="Arial" w:eastAsia="Arial" w:hAnsi="Arial"/>
                <w:sz w:val="16"/>
                <w:szCs w:val="16"/>
                <w:i w:val="1"/>
                <w:iCs w:val="1"/>
                <w:color w:val="auto"/>
              </w:rPr>
              <w:t>(in thousands, in U.S. dollars)</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w w:val="92"/>
              </w:rPr>
              <w:t>August 31, 2018</w:t>
            </w:r>
          </w:p>
        </w:tc>
        <w:tc>
          <w:tcPr>
            <w:tcW w:w="120" w:type="dxa"/>
            <w:vAlign w:val="bottom"/>
          </w:tcPr>
          <w:p>
            <w:pPr>
              <w:spacing w:after="0"/>
              <w:rPr>
                <w:sz w:val="17"/>
                <w:szCs w:val="17"/>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6"/>
                <w:szCs w:val="16"/>
                <w:color w:val="auto"/>
                <w:w w:val="94"/>
              </w:rPr>
              <w:t>August 31, 2017</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w w:val="92"/>
              </w:rPr>
              <w:t>August 31, 2018</w:t>
            </w:r>
          </w:p>
        </w:tc>
        <w:tc>
          <w:tcPr>
            <w:tcW w:w="8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w w:val="92"/>
              </w:rPr>
              <w:t>August 31,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Philippine Peso</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(1,230)</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Indian Rupee</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50,780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51,000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(1,490)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w w:val="84"/>
              </w:rPr>
              <w:t>6,142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Euro</w:t>
            </w:r>
          </w:p>
        </w:tc>
        <w:tc>
          <w:tcPr>
            <w:tcW w:w="3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26,312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British Pound Sterling</w:t>
            </w:r>
          </w:p>
        </w:tc>
        <w:tc>
          <w:tcPr>
            <w:tcW w:w="3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18,995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(723)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Total</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148,087</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(3,946)</w:t>
            </w:r>
          </w:p>
        </w:tc>
        <w:tc>
          <w:tcPr>
            <w:tcW w:w="8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4"/>
              </w:rPr>
              <w:t>6,142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 w:right="300"/>
        <w:spacing w:after="0" w:line="259" w:lineRule="auto"/>
        <w:rPr>
          <w:sz w:val="20"/>
          <w:szCs w:val="20"/>
          <w:color w:val="auto"/>
        </w:rPr>
      </w:pPr>
      <w:r>
        <w:rPr>
          <w:rFonts w:ascii="Arial" w:cs="Arial" w:eastAsia="Arial" w:hAnsi="Arial"/>
          <w:sz w:val="16"/>
          <w:szCs w:val="16"/>
          <w:color w:val="auto"/>
        </w:rPr>
        <w:t>As of August 31, 2018, the gross notional value of foreign currency forward contracts to purchase Philippine Pesos with U.S. dollars was PHP 2.8 billion. The gross notional value of foreign currency forward contracts to purchase Indian Rupees with U.S. dollars was Rs. 3.6 billion. The gross notional value of foreign currency forward contracts to purchase Euros with U.S. dollars was € 22.0 million. The gross notional value of foreign currency forward contracts to purchase British Pound Sterling with U.S. dollars was £14.0 million.</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color w:val="auto"/>
        </w:rPr>
        <w:t>Counterparty Credit Risk</w:t>
      </w:r>
    </w:p>
    <w:p>
      <w:pPr>
        <w:spacing w:after="0" w:line="200" w:lineRule="exact"/>
        <w:rPr>
          <w:sz w:val="20"/>
          <w:szCs w:val="20"/>
          <w:color w:val="auto"/>
        </w:rPr>
      </w:pPr>
    </w:p>
    <w:p>
      <w:pPr>
        <w:ind w:left="4" w:right="60"/>
        <w:spacing w:after="0" w:line="299" w:lineRule="auto"/>
        <w:rPr>
          <w:sz w:val="20"/>
          <w:szCs w:val="20"/>
          <w:color w:val="auto"/>
        </w:rPr>
      </w:pPr>
      <w:r>
        <w:rPr>
          <w:rFonts w:ascii="Arial" w:cs="Arial" w:eastAsia="Arial" w:hAnsi="Arial"/>
          <w:sz w:val="14"/>
          <w:szCs w:val="14"/>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968"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5"/>
        </w:trPr>
        <w:tc>
          <w:tcPr>
            <w:tcW w:w="3660" w:type="dxa"/>
            <w:vAlign w:val="bottom"/>
            <w:gridSpan w:val="2"/>
          </w:tcPr>
          <w:p>
            <w:pPr>
              <w:spacing w:after="0"/>
              <w:rPr>
                <w:sz w:val="20"/>
                <w:szCs w:val="20"/>
                <w:color w:val="auto"/>
              </w:rPr>
            </w:pPr>
            <w:r>
              <w:rPr>
                <w:rFonts w:ascii="Arial" w:cs="Arial" w:eastAsia="Arial" w:hAnsi="Arial"/>
                <w:sz w:val="16"/>
                <w:szCs w:val="16"/>
                <w:color w:val="auto"/>
              </w:rPr>
              <w:t>Fair Value of Derivative Instruments</w:t>
            </w:r>
          </w:p>
        </w:tc>
        <w:tc>
          <w:tcPr>
            <w:tcW w:w="4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4"/>
        </w:trPr>
        <w:tc>
          <w:tcPr>
            <w:tcW w:w="9260" w:type="dxa"/>
            <w:vAlign w:val="bottom"/>
            <w:gridSpan w:val="4"/>
          </w:tcPr>
          <w:p>
            <w:pPr>
              <w:spacing w:after="0"/>
              <w:rPr>
                <w:sz w:val="20"/>
                <w:szCs w:val="20"/>
                <w:color w:val="auto"/>
              </w:rPr>
            </w:pPr>
            <w:r>
              <w:rPr>
                <w:rFonts w:ascii="Arial" w:cs="Arial" w:eastAsia="Arial" w:hAnsi="Arial"/>
                <w:sz w:val="16"/>
                <w:szCs w:val="16"/>
                <w:color w:val="auto"/>
                <w:w w:val="94"/>
              </w:rPr>
              <w:t>The following tables provide a summary of the fair value amounts of derivative instruments and gains and losses on derivative instruments: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3660" w:type="dxa"/>
            <w:vAlign w:val="bottom"/>
            <w:gridSpan w:val="2"/>
          </w:tcPr>
          <w:p>
            <w:pPr>
              <w:spacing w:after="0"/>
              <w:rPr>
                <w:sz w:val="20"/>
                <w:szCs w:val="20"/>
                <w:color w:val="auto"/>
              </w:rPr>
            </w:pPr>
            <w:r>
              <w:rPr>
                <w:rFonts w:ascii="Arial" w:cs="Arial" w:eastAsia="Arial" w:hAnsi="Arial"/>
                <w:sz w:val="16"/>
                <w:szCs w:val="16"/>
                <w:color w:val="auto"/>
              </w:rPr>
              <w:t>Designation of Derivatives</w:t>
            </w:r>
          </w:p>
        </w:tc>
        <w:tc>
          <w:tcPr>
            <w:tcW w:w="4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August 31,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August 31,</w:t>
            </w:r>
          </w:p>
        </w:tc>
      </w:tr>
      <w:tr>
        <w:trPr>
          <w:trHeight w:val="205"/>
        </w:trPr>
        <w:tc>
          <w:tcPr>
            <w:tcW w:w="366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4120" w:type="dxa"/>
            <w:vAlign w:val="bottom"/>
          </w:tcPr>
          <w:p>
            <w:pPr>
              <w:ind w:left="680"/>
              <w:spacing w:after="0"/>
              <w:rPr>
                <w:sz w:val="20"/>
                <w:szCs w:val="20"/>
                <w:color w:val="auto"/>
              </w:rPr>
            </w:pPr>
            <w:r>
              <w:rPr>
                <w:rFonts w:ascii="Arial" w:cs="Arial" w:eastAsia="Arial" w:hAnsi="Arial"/>
                <w:sz w:val="16"/>
                <w:szCs w:val="16"/>
                <w:color w:val="auto"/>
              </w:rPr>
              <w:t>Balance Sheet Location</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2018</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0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Derivatives designated as hedging instruments</w:t>
            </w:r>
          </w:p>
        </w:tc>
        <w:tc>
          <w:tcPr>
            <w:tcW w:w="41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Assets: Foreign Currency Forward Contracts</w:t>
            </w:r>
          </w:p>
        </w:tc>
        <w:tc>
          <w:tcPr>
            <w:tcW w:w="14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20" w:type="dxa"/>
            <w:vAlign w:val="bottom"/>
          </w:tcPr>
          <w:p>
            <w:pPr>
              <w:ind w:left="820"/>
              <w:spacing w:after="0"/>
              <w:rPr>
                <w:sz w:val="20"/>
                <w:szCs w:val="20"/>
                <w:color w:val="auto"/>
              </w:rPr>
            </w:pPr>
            <w:r>
              <w:rPr>
                <w:rFonts w:ascii="Arial" w:cs="Arial" w:eastAsia="Arial" w:hAnsi="Arial"/>
                <w:sz w:val="16"/>
                <w:szCs w:val="16"/>
                <w:color w:val="auto"/>
              </w:rPr>
              <w:t>Prepaid expenses and other current assets</w:t>
            </w:r>
          </w:p>
        </w:tc>
        <w:tc>
          <w:tcPr>
            <w:tcW w:w="1480" w:type="dxa"/>
            <w:vAlign w:val="bottom"/>
          </w:tcPr>
          <w:p>
            <w:pPr>
              <w:jc w:val="right"/>
              <w:ind w:right="9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3,796</w:t>
            </w: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41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Other assets</w:t>
            </w:r>
          </w:p>
        </w:tc>
        <w:tc>
          <w:tcPr>
            <w:tcW w:w="1480" w:type="dxa"/>
            <w:vAlign w:val="bottom"/>
            <w:shd w:val="clear" w:color="auto" w:fill="CCEEFF"/>
          </w:tcPr>
          <w:p>
            <w:pPr>
              <w:jc w:val="right"/>
              <w:ind w:right="9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2,346</w:t>
            </w: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4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Liabilities: Foreign Currency Forward Contracts</w:t>
            </w:r>
          </w:p>
        </w:tc>
        <w:tc>
          <w:tcPr>
            <w:tcW w:w="1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20" w:type="dxa"/>
            <w:vAlign w:val="bottom"/>
          </w:tcPr>
          <w:p>
            <w:pPr>
              <w:ind w:left="820"/>
              <w:spacing w:after="0"/>
              <w:rPr>
                <w:sz w:val="20"/>
                <w:szCs w:val="20"/>
                <w:color w:val="auto"/>
              </w:rPr>
            </w:pPr>
            <w:r>
              <w:rPr>
                <w:rFonts w:ascii="Arial" w:cs="Arial" w:eastAsia="Arial" w:hAnsi="Arial"/>
                <w:sz w:val="16"/>
                <w:szCs w:val="16"/>
                <w:color w:val="auto"/>
              </w:rPr>
              <w:t>Accounts payable and accrued expenses</w:t>
            </w:r>
          </w:p>
        </w:tc>
        <w:tc>
          <w:tcPr>
            <w:tcW w:w="1480" w:type="dxa"/>
            <w:vAlign w:val="bottom"/>
          </w:tcPr>
          <w:p>
            <w:pPr>
              <w:jc w:val="right"/>
              <w:ind w:right="9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w w:val="89"/>
              </w:rPr>
              <w:t>1,731</w:t>
            </w:r>
          </w:p>
        </w:tc>
        <w:tc>
          <w:tcPr>
            <w:tcW w:w="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41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Deferred rent and other non-current liabilities</w:t>
            </w:r>
          </w:p>
        </w:tc>
        <w:tc>
          <w:tcPr>
            <w:tcW w:w="1480" w:type="dxa"/>
            <w:vAlign w:val="bottom"/>
            <w:shd w:val="clear" w:color="auto" w:fill="CCEEFF"/>
          </w:tcPr>
          <w:p>
            <w:pPr>
              <w:jc w:val="right"/>
              <w:ind w:right="9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2,305</w:t>
            </w:r>
          </w:p>
        </w:tc>
        <w:tc>
          <w:tcPr>
            <w:tcW w:w="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All derivatives were designated as hedging instruments as of August 31, 2018 and 2017,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Derivatives in Cash Flow Hedging Relationships</w:t>
      </w:r>
    </w:p>
    <w:p>
      <w:pPr>
        <w:spacing w:after="0" w:line="200" w:lineRule="exact"/>
        <w:rPr>
          <w:sz w:val="20"/>
          <w:szCs w:val="20"/>
          <w:color w:val="auto"/>
        </w:rPr>
      </w:pPr>
    </w:p>
    <w:p>
      <w:pPr>
        <w:jc w:val="both"/>
        <w:ind w:right="60"/>
        <w:spacing w:after="0" w:line="277" w:lineRule="auto"/>
        <w:rPr>
          <w:sz w:val="20"/>
          <w:szCs w:val="20"/>
          <w:color w:val="auto"/>
        </w:rPr>
      </w:pPr>
      <w:r>
        <w:rPr>
          <w:rFonts w:ascii="Arial" w:cs="Arial" w:eastAsia="Arial" w:hAnsi="Arial"/>
          <w:sz w:val="16"/>
          <w:szCs w:val="16"/>
          <w:color w:val="auto"/>
        </w:rPr>
        <w:t>The following table provides the pre-tax effect of derivative instruments in cash flow hedging relationships for the each of the three fiscal years ended August 31, 2018, 2017 and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center"/>
              <w:ind w:left="260"/>
              <w:spacing w:after="0"/>
              <w:rPr>
                <w:sz w:val="20"/>
                <w:szCs w:val="20"/>
                <w:color w:val="auto"/>
              </w:rPr>
            </w:pPr>
            <w:r>
              <w:rPr>
                <w:rFonts w:ascii="Arial" w:cs="Arial" w:eastAsia="Arial" w:hAnsi="Arial"/>
                <w:sz w:val="16"/>
                <w:szCs w:val="16"/>
                <w:color w:val="auto"/>
                <w:w w:val="90"/>
              </w:rPr>
              <w:t>(Loss) Gain Recognized</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20"/>
              <w:spacing w:after="0"/>
              <w:rPr>
                <w:sz w:val="20"/>
                <w:szCs w:val="20"/>
                <w:color w:val="auto"/>
              </w:rPr>
            </w:pPr>
            <w:r>
              <w:rPr>
                <w:rFonts w:ascii="Arial" w:cs="Arial" w:eastAsia="Arial" w:hAnsi="Arial"/>
                <w:sz w:val="16"/>
                <w:szCs w:val="16"/>
                <w:color w:val="auto"/>
                <w:w w:val="92"/>
              </w:rPr>
              <w:t>Location of Gain</w:t>
            </w:r>
          </w:p>
        </w:tc>
        <w:tc>
          <w:tcPr>
            <w:tcW w:w="320" w:type="dxa"/>
            <w:vAlign w:val="bottom"/>
          </w:tcPr>
          <w:p>
            <w:pPr>
              <w:spacing w:after="0"/>
              <w:rPr>
                <w:sz w:val="16"/>
                <w:szCs w:val="16"/>
                <w:color w:val="auto"/>
              </w:rPr>
            </w:pPr>
          </w:p>
        </w:tc>
        <w:tc>
          <w:tcPr>
            <w:tcW w:w="2280" w:type="dxa"/>
            <w:vAlign w:val="bottom"/>
            <w:gridSpan w:val="4"/>
          </w:tcPr>
          <w:p>
            <w:pPr>
              <w:jc w:val="center"/>
              <w:ind w:left="140"/>
              <w:spacing w:after="0"/>
              <w:rPr>
                <w:sz w:val="20"/>
                <w:szCs w:val="20"/>
                <w:color w:val="auto"/>
              </w:rPr>
            </w:pPr>
            <w:r>
              <w:rPr>
                <w:rFonts w:ascii="Arial" w:cs="Arial" w:eastAsia="Arial" w:hAnsi="Arial"/>
                <w:sz w:val="16"/>
                <w:szCs w:val="16"/>
                <w:color w:val="auto"/>
                <w:w w:val="91"/>
              </w:rPr>
              <w:t>Gain (Loss) Reclassified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center"/>
              <w:ind w:left="240"/>
              <w:spacing w:after="0"/>
              <w:rPr>
                <w:sz w:val="20"/>
                <w:szCs w:val="20"/>
                <w:color w:val="auto"/>
              </w:rPr>
            </w:pPr>
            <w:r>
              <w:rPr>
                <w:rFonts w:ascii="Arial" w:cs="Arial" w:eastAsia="Arial" w:hAnsi="Arial"/>
                <w:sz w:val="16"/>
                <w:szCs w:val="16"/>
                <w:color w:val="auto"/>
                <w:w w:val="94"/>
              </w:rPr>
              <w:t>in AOCL on Derivatives</w:t>
            </w: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20"/>
              <w:spacing w:after="0"/>
              <w:rPr>
                <w:sz w:val="20"/>
                <w:szCs w:val="20"/>
                <w:color w:val="auto"/>
              </w:rPr>
            </w:pPr>
            <w:r>
              <w:rPr>
                <w:rFonts w:ascii="Arial" w:cs="Arial" w:eastAsia="Arial" w:hAnsi="Arial"/>
                <w:sz w:val="16"/>
                <w:szCs w:val="16"/>
                <w:color w:val="auto"/>
                <w:w w:val="91"/>
              </w:rPr>
              <w:t>(Loss) Reclassified</w:t>
            </w:r>
          </w:p>
        </w:tc>
        <w:tc>
          <w:tcPr>
            <w:tcW w:w="320" w:type="dxa"/>
            <w:vAlign w:val="bottom"/>
          </w:tcPr>
          <w:p>
            <w:pPr>
              <w:spacing w:after="0"/>
              <w:rPr>
                <w:sz w:val="16"/>
                <w:szCs w:val="16"/>
                <w:color w:val="auto"/>
              </w:rPr>
            </w:pPr>
          </w:p>
        </w:tc>
        <w:tc>
          <w:tcPr>
            <w:tcW w:w="2280" w:type="dxa"/>
            <w:vAlign w:val="bottom"/>
            <w:gridSpan w:val="4"/>
          </w:tcPr>
          <w:p>
            <w:pPr>
              <w:jc w:val="center"/>
              <w:ind w:left="160"/>
              <w:spacing w:after="0"/>
              <w:rPr>
                <w:sz w:val="20"/>
                <w:szCs w:val="20"/>
                <w:color w:val="auto"/>
              </w:rPr>
            </w:pPr>
            <w:r>
              <w:rPr>
                <w:rFonts w:ascii="Arial" w:cs="Arial" w:eastAsia="Arial" w:hAnsi="Arial"/>
                <w:sz w:val="16"/>
                <w:szCs w:val="16"/>
                <w:color w:val="auto"/>
                <w:w w:val="95"/>
              </w:rPr>
              <w:t>from AOCL into Income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(Effective Portion)</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center"/>
              <w:ind w:right="120"/>
              <w:spacing w:after="0"/>
              <w:rPr>
                <w:sz w:val="20"/>
                <w:szCs w:val="20"/>
                <w:color w:val="auto"/>
              </w:rPr>
            </w:pPr>
            <w:r>
              <w:rPr>
                <w:rFonts w:ascii="Arial" w:cs="Arial" w:eastAsia="Arial" w:hAnsi="Arial"/>
                <w:sz w:val="16"/>
                <w:szCs w:val="16"/>
                <w:color w:val="auto"/>
                <w:w w:val="99"/>
              </w:rPr>
              <w:t>from AOCL</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4"/>
              </w:rPr>
              <w:t>(Effective Portion)</w:t>
            </w: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980" w:type="dxa"/>
            <w:vAlign w:val="bottom"/>
            <w:gridSpan w:val="2"/>
          </w:tcPr>
          <w:p>
            <w:pPr>
              <w:spacing w:after="0" w:line="171" w:lineRule="exact"/>
              <w:rPr>
                <w:sz w:val="20"/>
                <w:szCs w:val="20"/>
                <w:color w:val="auto"/>
              </w:rPr>
            </w:pPr>
            <w:r>
              <w:rPr>
                <w:rFonts w:ascii="Arial" w:cs="Arial" w:eastAsia="Arial" w:hAnsi="Arial"/>
                <w:sz w:val="16"/>
                <w:szCs w:val="16"/>
                <w:color w:val="auto"/>
              </w:rPr>
              <w:t>Derivatives in Cash Flow Hedging</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20"/>
              <w:spacing w:after="0" w:line="171" w:lineRule="exact"/>
              <w:rPr>
                <w:sz w:val="20"/>
                <w:szCs w:val="20"/>
                <w:color w:val="auto"/>
              </w:rPr>
            </w:pPr>
            <w:r>
              <w:rPr>
                <w:rFonts w:ascii="Arial" w:cs="Arial" w:eastAsia="Arial" w:hAnsi="Arial"/>
                <w:sz w:val="16"/>
                <w:szCs w:val="16"/>
                <w:color w:val="auto"/>
                <w:w w:val="91"/>
              </w:rPr>
              <w:t>into Income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80" w:type="dxa"/>
            <w:vAlign w:val="bottom"/>
            <w:gridSpan w:val="2"/>
          </w:tcPr>
          <w:p>
            <w:pPr>
              <w:spacing w:after="0"/>
              <w:rPr>
                <w:sz w:val="20"/>
                <w:szCs w:val="20"/>
                <w:color w:val="auto"/>
              </w:rPr>
            </w:pPr>
            <w:r>
              <w:rPr>
                <w:rFonts w:ascii="Arial" w:cs="Arial" w:eastAsia="Arial" w:hAnsi="Arial"/>
                <w:sz w:val="16"/>
                <w:szCs w:val="16"/>
                <w:color w:val="auto"/>
              </w:rPr>
              <w:t>Relationships</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17"/>
                <w:szCs w:val="17"/>
                <w:color w:val="auto"/>
              </w:rPr>
            </w:pPr>
          </w:p>
        </w:tc>
        <w:tc>
          <w:tcPr>
            <w:tcW w:w="780" w:type="dxa"/>
            <w:vAlign w:val="bottom"/>
          </w:tcPr>
          <w:p>
            <w:pPr>
              <w:jc w:val="right"/>
              <w:ind w:right="100"/>
              <w:spacing w:after="0"/>
              <w:rPr>
                <w:sz w:val="20"/>
                <w:szCs w:val="20"/>
                <w:color w:val="auto"/>
              </w:rPr>
            </w:pPr>
            <w:r>
              <w:rPr>
                <w:rFonts w:ascii="Arial" w:cs="Arial" w:eastAsia="Arial" w:hAnsi="Arial"/>
                <w:sz w:val="16"/>
                <w:szCs w:val="16"/>
                <w:color w:val="auto"/>
              </w:rPr>
              <w:t>2017</w:t>
            </w:r>
          </w:p>
        </w:tc>
        <w:tc>
          <w:tcPr>
            <w:tcW w:w="3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2016</w:t>
            </w:r>
          </w:p>
        </w:tc>
        <w:tc>
          <w:tcPr>
            <w:tcW w:w="1720" w:type="dxa"/>
            <w:vAlign w:val="bottom"/>
          </w:tcPr>
          <w:p>
            <w:pPr>
              <w:jc w:val="center"/>
              <w:ind w:right="120"/>
              <w:spacing w:after="0"/>
              <w:rPr>
                <w:sz w:val="20"/>
                <w:szCs w:val="20"/>
                <w:color w:val="auto"/>
              </w:rPr>
            </w:pPr>
            <w:r>
              <w:rPr>
                <w:rFonts w:ascii="Arial" w:cs="Arial" w:eastAsia="Arial" w:hAnsi="Arial"/>
                <w:sz w:val="16"/>
                <w:szCs w:val="16"/>
                <w:color w:val="auto"/>
                <w:w w:val="94"/>
              </w:rPr>
              <w:t>(Effective Portion)</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2017</w:t>
            </w:r>
          </w:p>
        </w:tc>
        <w:tc>
          <w:tcPr>
            <w:tcW w:w="4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forward contracts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c>
          <w:tcPr>
            <w:tcW w:w="50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5,183</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(1,806)</w:t>
            </w:r>
          </w:p>
        </w:tc>
        <w:tc>
          <w:tcPr>
            <w:tcW w:w="1720" w:type="dxa"/>
            <w:vAlign w:val="bottom"/>
            <w:shd w:val="clear" w:color="auto" w:fill="CCEEFF"/>
          </w:tcPr>
          <w:p>
            <w:pPr>
              <w:jc w:val="center"/>
              <w:ind w:right="120"/>
              <w:spacing w:after="0"/>
              <w:rPr>
                <w:sz w:val="20"/>
                <w:szCs w:val="20"/>
                <w:color w:val="auto"/>
              </w:rPr>
            </w:pPr>
            <w:r>
              <w:rPr>
                <w:rFonts w:ascii="Arial" w:cs="Arial" w:eastAsia="Arial" w:hAnsi="Arial"/>
                <w:sz w:val="16"/>
                <w:szCs w:val="16"/>
                <w:color w:val="auto"/>
                <w:w w:val="98"/>
              </w:rPr>
              <w:t>SG&amp;A</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4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(2,883)</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No amount of ineffectiveness was recorded in the Consolidated Statements of Income for these designated cash flow hedges and all components of each derivative’s gain or loss was included in the assessment of hedge effectiveness. As of August 31, 2018, FactSet estimates that $1.6 million of net derivative losses related to its cash flow hedges included in AOCL will be reclassified into earnings within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Offsetting of Derivative Instruments</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FactSet’s master netting and other similar arrangements with its respective counterparties allow for net settlement under certain conditions. As of August 31, 2018 and 2017, there were no net settlements recorded on Consolidated Balance Sheets.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6. OTHER COMPREHENSIVE (LOSS) INCOME AND ACCUMULATED OTHER COMPREHENSIVE LOSS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other comprehensive (loss) income during the fiscal years ended August 31, 2018, 2017 and 2016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August 31,</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6"/>
                <w:szCs w:val="16"/>
                <w:color w:val="auto"/>
              </w:rPr>
              <w:t>August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4"/>
          </w:tcPr>
          <w:p>
            <w:pPr>
              <w:jc w:val="center"/>
              <w:ind w:left="260"/>
              <w:spacing w:after="0"/>
              <w:rPr>
                <w:sz w:val="20"/>
                <w:szCs w:val="20"/>
                <w:color w:val="auto"/>
              </w:rPr>
            </w:pPr>
            <w:r>
              <w:rPr>
                <w:rFonts w:ascii="Arial" w:cs="Arial" w:eastAsia="Arial" w:hAnsi="Arial"/>
                <w:sz w:val="16"/>
                <w:szCs w:val="16"/>
                <w:color w:val="auto"/>
                <w:w w:val="91"/>
              </w:rPr>
              <w:t>August 31,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6"/>
                <w:szCs w:val="16"/>
                <w:color w:val="auto"/>
              </w:rPr>
              <w:t>2018</w:t>
            </w: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color w:val="auto"/>
              </w:rPr>
              <w:t>2017</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color w:val="auto"/>
              </w:rPr>
              <w:t>2016</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Pre-tax</w:t>
            </w:r>
          </w:p>
        </w:tc>
        <w:tc>
          <w:tcPr>
            <w:tcW w:w="24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Pre-tax</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80"/>
              <w:spacing w:after="0"/>
              <w:rPr>
                <w:sz w:val="20"/>
                <w:szCs w:val="20"/>
                <w:color w:val="auto"/>
              </w:rPr>
            </w:pPr>
            <w:r>
              <w:rPr>
                <w:rFonts w:ascii="Arial" w:cs="Arial" w:eastAsia="Arial" w:hAnsi="Arial"/>
                <w:sz w:val="16"/>
                <w:szCs w:val="16"/>
                <w:color w:val="auto"/>
                <w:w w:val="90"/>
              </w:rPr>
              <w:t>Net of tax</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Pre-tax</w:t>
            </w:r>
          </w:p>
        </w:tc>
        <w:tc>
          <w:tcPr>
            <w:tcW w:w="1200" w:type="dxa"/>
            <w:vAlign w:val="bottom"/>
            <w:gridSpan w:val="3"/>
          </w:tcPr>
          <w:p>
            <w:pPr>
              <w:ind w:left="80"/>
              <w:spacing w:after="0"/>
              <w:rPr>
                <w:sz w:val="20"/>
                <w:szCs w:val="20"/>
                <w:color w:val="auto"/>
              </w:rPr>
            </w:pPr>
            <w:r>
              <w:rPr>
                <w:rFonts w:ascii="Arial" w:cs="Arial" w:eastAsia="Arial" w:hAnsi="Arial"/>
                <w:sz w:val="16"/>
                <w:szCs w:val="16"/>
                <w:color w:val="auto"/>
              </w:rPr>
              <w:t>Net of tax</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(9,431)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28,816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(23,644)</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(23,644)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00" w:type="dxa"/>
            <w:vAlign w:val="bottom"/>
          </w:tcPr>
          <w:p>
            <w:pPr>
              <w:spacing w:after="0" w:line="181" w:lineRule="exact"/>
              <w:rPr>
                <w:sz w:val="20"/>
                <w:szCs w:val="20"/>
                <w:color w:val="auto"/>
              </w:rPr>
            </w:pPr>
            <w:r>
              <w:rPr>
                <w:rFonts w:ascii="Arial" w:cs="Arial" w:eastAsia="Arial" w:hAnsi="Arial"/>
                <w:sz w:val="16"/>
                <w:szCs w:val="16"/>
                <w:color w:val="auto"/>
              </w:rPr>
              <w:t>Realized (gain) loss on cash flow hedges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00" w:type="dxa"/>
            <w:vAlign w:val="bottom"/>
          </w:tcPr>
          <w:p>
            <w:pPr>
              <w:ind w:left="120"/>
              <w:spacing w:after="0" w:line="238" w:lineRule="exact"/>
              <w:rPr>
                <w:sz w:val="20"/>
                <w:szCs w:val="20"/>
                <w:color w:val="auto"/>
              </w:rPr>
            </w:pPr>
            <w:r>
              <w:rPr>
                <w:rFonts w:ascii="Arial" w:cs="Arial" w:eastAsia="Arial" w:hAnsi="Arial"/>
                <w:sz w:val="16"/>
                <w:szCs w:val="16"/>
                <w:color w:val="auto"/>
              </w:rPr>
              <w:t xml:space="preserve">reclassified to earnings </w:t>
            </w:r>
            <w:r>
              <w:rPr>
                <w:rFonts w:ascii="Arial" w:cs="Arial" w:eastAsia="Arial" w:hAnsi="Arial"/>
                <w:sz w:val="26"/>
                <w:szCs w:val="26"/>
                <w:color w:val="auto"/>
                <w:vertAlign w:val="superscript"/>
              </w:rPr>
              <w:t>(1)</w:t>
            </w:r>
          </w:p>
        </w:tc>
        <w:tc>
          <w:tcPr>
            <w:tcW w:w="3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(3,106)</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2,883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Unrealized (loss) gain on cash flow hedges</w:t>
            </w:r>
          </w:p>
        </w:tc>
        <w:tc>
          <w:tcPr>
            <w:tcW w:w="3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(7,700)</w:t>
            </w: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(5,160)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5,183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(1,806)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recognized in AOCL</w:t>
            </w:r>
          </w:p>
        </w:tc>
        <w:tc>
          <w:tcPr>
            <w:tcW w:w="38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6"/>
                <w:szCs w:val="16"/>
                <w:i w:val="1"/>
                <w:iCs w:val="1"/>
                <w:color w:val="auto"/>
              </w:rPr>
              <w:t>Other comprehensive income (loss)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(20,237)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(16,719)</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36,882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33,833</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(24,999)</w:t>
            </w: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(24,501)</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0" w:type="dxa"/>
            <w:vAlign w:val="bottom"/>
          </w:tcPr>
          <w:p>
            <w:pPr>
              <w:spacing w:after="0"/>
              <w:rPr>
                <w:sz w:val="24"/>
                <w:szCs w:val="24"/>
                <w:color w:val="auto"/>
              </w:rPr>
            </w:pPr>
          </w:p>
        </w:tc>
        <w:tc>
          <w:tcPr>
            <w:tcW w:w="5020" w:type="dxa"/>
            <w:vAlign w:val="bottom"/>
          </w:tcPr>
          <w:p>
            <w:pPr>
              <w:ind w:left="120"/>
              <w:spacing w:after="0"/>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16"/>
                <w:szCs w:val="16"/>
                <w:i w:val="1"/>
                <w:iCs w:val="1"/>
                <w:color w:val="auto"/>
              </w:rPr>
              <w:t xml:space="preserve">  Reclassified to Selling, General and Administrative Expenses</w:t>
            </w: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40" w:type="dxa"/>
            <w:vAlign w:val="bottom"/>
            <w:gridSpan w:val="2"/>
          </w:tcPr>
          <w:p>
            <w:pPr>
              <w:spacing w:after="0"/>
              <w:rPr>
                <w:sz w:val="20"/>
                <w:szCs w:val="20"/>
                <w:color w:val="auto"/>
              </w:rPr>
            </w:pPr>
            <w:r>
              <w:rPr>
                <w:rFonts w:ascii="Arial" w:cs="Arial" w:eastAsia="Arial" w:hAnsi="Arial"/>
                <w:sz w:val="16"/>
                <w:szCs w:val="16"/>
                <w:color w:val="auto"/>
              </w:rPr>
              <w:t>The components of AOCL are as follows:</w:t>
            </w:r>
          </w:p>
        </w:tc>
        <w:tc>
          <w:tcPr>
            <w:tcW w:w="3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31,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August 31,</w:t>
            </w:r>
          </w:p>
        </w:tc>
        <w:tc>
          <w:tcPr>
            <w:tcW w:w="0" w:type="dxa"/>
            <w:vAlign w:val="bottom"/>
          </w:tcPr>
          <w:p>
            <w:pPr>
              <w:spacing w:after="0"/>
              <w:rPr>
                <w:sz w:val="1"/>
                <w:szCs w:val="1"/>
                <w:color w:val="auto"/>
              </w:rPr>
            </w:pPr>
          </w:p>
        </w:tc>
      </w:tr>
      <w:tr>
        <w:trPr>
          <w:trHeight w:val="205"/>
        </w:trPr>
        <w:tc>
          <w:tcPr>
            <w:tcW w:w="504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3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Accumulated unrealized (gain) losses on cash flow hedges, net of tax</w:t>
            </w:r>
          </w:p>
        </w:tc>
        <w:tc>
          <w:tcPr>
            <w:tcW w:w="3520" w:type="dxa"/>
            <w:vAlign w:val="bottom"/>
            <w:gridSpan w:val="2"/>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(3,486)</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Accumulated foreign currency translation adjustments</w:t>
            </w:r>
          </w:p>
        </w:tc>
        <w:tc>
          <w:tcPr>
            <w:tcW w:w="3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(47,953)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(38,522)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Total accumulated other comprehensive loss</w:t>
            </w:r>
          </w:p>
        </w:tc>
        <w:tc>
          <w:tcPr>
            <w:tcW w:w="30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(51,439)</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(34,720)</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080" w:type="dxa"/>
            <w:vAlign w:val="bottom"/>
          </w:tcPr>
          <w:p>
            <w:pPr>
              <w:jc w:val="right"/>
              <w:ind w:right="2240"/>
              <w:spacing w:after="0"/>
              <w:rPr>
                <w:sz w:val="20"/>
                <w:szCs w:val="20"/>
                <w:color w:val="auto"/>
              </w:rPr>
            </w:pPr>
            <w:r>
              <w:rPr>
                <w:rFonts w:ascii="Arial" w:cs="Arial" w:eastAsia="Arial" w:hAnsi="Arial"/>
                <w:sz w:val="16"/>
                <w:szCs w:val="16"/>
                <w:color w:val="auto"/>
              </w:rPr>
              <w:t>66</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5" w:right="219" w:bottom="1440" w:gutter="0" w:footer="0" w:header="0"/>
        </w:sectPr>
      </w:pPr>
    </w:p>
    <w:bookmarkStart w:id="66" w:name="page67"/>
    <w:bookmarkEnd w:id="66"/>
    <w:p>
      <w:pPr>
        <w:ind w:left="4"/>
        <w:spacing w:after="0"/>
        <w:rPr>
          <w:sz w:val="20"/>
          <w:szCs w:val="20"/>
          <w:color w:val="auto"/>
        </w:rPr>
      </w:pPr>
      <w:r>
        <w:rPr>
          <w:rFonts w:ascii="Arial" w:cs="Arial" w:eastAsia="Arial" w:hAnsi="Arial"/>
          <w:sz w:val="16"/>
          <w:szCs w:val="16"/>
          <w:color w:val="auto"/>
        </w:rPr>
        <w:t>7. SEGMENT INFORMATION</w:t>
      </w:r>
    </w:p>
    <w:p>
      <w:pPr>
        <w:spacing w:after="0" w:line="200" w:lineRule="exact"/>
        <w:rPr>
          <w:sz w:val="20"/>
          <w:szCs w:val="20"/>
          <w:color w:val="auto"/>
        </w:rPr>
      </w:pPr>
    </w:p>
    <w:p>
      <w:pPr>
        <w:ind w:left="4" w:right="80"/>
        <w:spacing w:after="0" w:line="295" w:lineRule="auto"/>
        <w:rPr>
          <w:sz w:val="20"/>
          <w:szCs w:val="20"/>
          <w:color w:val="auto"/>
        </w:rPr>
      </w:pPr>
      <w:r>
        <w:rPr>
          <w:rFonts w:ascii="Arial" w:cs="Arial" w:eastAsia="Arial" w:hAnsi="Arial"/>
          <w:sz w:val="14"/>
          <w:szCs w:val="14"/>
          <w:color w:val="auto"/>
        </w:rPr>
        <w:t>Operating segments are defined as (i) components of an enterprise that engage in business activities from which they may earn revenue and incur expense, (ii) with operating results are regularly reviewed by the enterprise’s chief operating decision maker to make decisions about resources to be allocated to the segment and assess its performance, and</w:t>
      </w:r>
    </w:p>
    <w:p>
      <w:pPr>
        <w:spacing w:after="0" w:line="1" w:lineRule="exact"/>
        <w:rPr>
          <w:sz w:val="20"/>
          <w:szCs w:val="20"/>
          <w:color w:val="auto"/>
        </w:rPr>
      </w:pPr>
    </w:p>
    <w:p>
      <w:pPr>
        <w:ind w:left="4" w:right="140" w:hanging="4"/>
        <w:spacing w:after="0" w:line="276" w:lineRule="auto"/>
        <w:tabs>
          <w:tab w:leader="none" w:pos="284"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which discrete financial information is available. Executive management, along with the CEO, constitute FactSet’s chief operating decision making group (“CODMG”). Executive management consists of certain executives who directly report to the CEO, consisting of the Chief Financial Officer, Chief Technology and Product Officer, Global Head of Sales and Client Solutions, General Counsel, Chief Human Resources Officer and Head of Analytics &amp; Trading. The CODMG reviews financial information at the operating segment level and is responsible for making decisions about resources allocated amongst the operating segments based on actual results.</w:t>
      </w:r>
    </w:p>
    <w:p>
      <w:pPr>
        <w:spacing w:after="0" w:line="155" w:lineRule="exact"/>
        <w:rPr>
          <w:sz w:val="20"/>
          <w:szCs w:val="20"/>
          <w:color w:val="auto"/>
        </w:rPr>
      </w:pPr>
    </w:p>
    <w:p>
      <w:pPr>
        <w:ind w:left="4" w:right="40"/>
        <w:spacing w:after="0" w:line="278" w:lineRule="auto"/>
        <w:rPr>
          <w:sz w:val="20"/>
          <w:szCs w:val="20"/>
          <w:color w:val="auto"/>
        </w:rPr>
      </w:pPr>
      <w:r>
        <w:rPr>
          <w:rFonts w:ascii="Arial" w:cs="Arial" w:eastAsia="Arial" w:hAnsi="Arial"/>
          <w:sz w:val="15"/>
          <w:szCs w:val="15"/>
          <w:color w:val="auto"/>
        </w:rPr>
        <w:t>FactSet’s operating segments are aligned with how the Company, including its CODMG, manages the business and the demographic markets in which FactSet serves. The Company’s internal financial reporting structure is based on three segments; the U.S., Europe and Asia Pacific. FactSet believes this alignment helps it better manage the business and view the markets the Company serves, which are centered on providing integrated global financial and economic information. The primary functional groups within the U.S., Europe and Asia Pacific segments include sales, consulting, data collection, product development and software engineering, which provide global financial and economic information to investment managers, investment banks and other financial services professionals.</w:t>
      </w:r>
    </w:p>
    <w:p>
      <w:pPr>
        <w:spacing w:after="0" w:line="154" w:lineRule="exact"/>
        <w:rPr>
          <w:sz w:val="20"/>
          <w:szCs w:val="20"/>
          <w:color w:val="auto"/>
        </w:rPr>
      </w:pPr>
    </w:p>
    <w:p>
      <w:pPr>
        <w:ind w:left="4" w:right="200"/>
        <w:spacing w:after="0" w:line="259" w:lineRule="auto"/>
        <w:rPr>
          <w:sz w:val="20"/>
          <w:szCs w:val="20"/>
          <w:color w:val="auto"/>
        </w:rPr>
      </w:pPr>
      <w:r>
        <w:rPr>
          <w:rFonts w:ascii="Arial" w:cs="Arial" w:eastAsia="Arial" w:hAnsi="Arial"/>
          <w:sz w:val="16"/>
          <w:szCs w:val="16"/>
          <w:color w:val="auto"/>
        </w:rPr>
        <w:t>The U.S. segment services investment professionals including financial institutions throughout the Americas. The European and Asia Pacific segments service investment professionals located throughout Europe and Asia Pacific, respectively. Segment revenues reflect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67" w:lineRule="exact"/>
        <w:rPr>
          <w:sz w:val="20"/>
          <w:szCs w:val="20"/>
          <w:color w:val="auto"/>
        </w:rPr>
      </w:pPr>
    </w:p>
    <w:p>
      <w:pPr>
        <w:ind w:left="4" w:right="60"/>
        <w:spacing w:after="0" w:line="259" w:lineRule="auto"/>
        <w:rPr>
          <w:sz w:val="20"/>
          <w:szCs w:val="20"/>
          <w:color w:val="auto"/>
        </w:rPr>
      </w:pPr>
      <w:r>
        <w:rPr>
          <w:rFonts w:ascii="Arial" w:cs="Arial" w:eastAsia="Arial" w:hAnsi="Arial"/>
          <w:sz w:val="16"/>
          <w:szCs w:val="16"/>
          <w:color w:val="auto"/>
        </w:rPr>
        <w:t>Expenditures associated with the Company’s data centers, third-party data costs and corporate headquarters charges are recorded by the U.S. segment and are not allocated to the other segments. The content collection centers located in India and the Philippines benefit all the Company’s operating segments and thus the expenses incurred at these locations are allocated to each segment based on a percentage of revenues. Of the total $701.8 million of goodwill reported by the Company at August 31, 2018, 54% was recorded in the U.S. segment, 45% in the European segment and the remaining 1% in the Asia Pacific segment.</w:t>
      </w:r>
    </w:p>
    <w:p>
      <w:pPr>
        <w:spacing w:after="0" w:line="167" w:lineRule="exact"/>
        <w:rPr>
          <w:sz w:val="20"/>
          <w:szCs w:val="20"/>
          <w:color w:val="auto"/>
        </w:rPr>
      </w:pPr>
    </w:p>
    <w:p>
      <w:pPr>
        <w:ind w:left="4" w:right="440"/>
        <w:spacing w:after="0" w:line="277" w:lineRule="auto"/>
        <w:rPr>
          <w:sz w:val="20"/>
          <w:szCs w:val="20"/>
          <w:color w:val="auto"/>
        </w:rPr>
      </w:pPr>
      <w:r>
        <w:rPr>
          <w:rFonts w:ascii="Arial" w:cs="Arial" w:eastAsia="Arial" w:hAnsi="Arial"/>
          <w:sz w:val="16"/>
          <w:szCs w:val="16"/>
          <w:color w:val="auto"/>
        </w:rPr>
        <w:t>The following reflects the results of operations of the segments consistent with the Company’s management system. These results are used, in part, by management, both in evaluating the performance of, and in allocating resources to, each of the segments.</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7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780" w:type="dxa"/>
            <w:vAlign w:val="bottom"/>
            <w:gridSpan w:val="2"/>
          </w:tcPr>
          <w:p>
            <w:pPr>
              <w:spacing w:after="0"/>
              <w:rPr>
                <w:sz w:val="20"/>
                <w:szCs w:val="20"/>
                <w:color w:val="auto"/>
              </w:rPr>
            </w:pPr>
            <w:r>
              <w:rPr>
                <w:rFonts w:ascii="Arial" w:cs="Arial" w:eastAsia="Arial" w:hAnsi="Arial"/>
                <w:sz w:val="16"/>
                <w:szCs w:val="16"/>
                <w:color w:val="auto"/>
              </w:rPr>
              <w:t>Year Ended August 31, 2018</w:t>
            </w:r>
          </w:p>
        </w:tc>
        <w:tc>
          <w:tcPr>
            <w:tcW w:w="266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U.S.</w:t>
            </w:r>
          </w:p>
        </w:tc>
        <w:tc>
          <w:tcPr>
            <w:tcW w:w="48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Asia Pacific</w:t>
            </w:r>
          </w:p>
        </w:tc>
        <w:tc>
          <w:tcPr>
            <w:tcW w:w="4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clients</w:t>
            </w:r>
          </w:p>
        </w:tc>
        <w:tc>
          <w:tcPr>
            <w:tcW w:w="26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841,908</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387,589</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120,648</w:t>
            </w: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1,350,145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Segment operating profit</w:t>
            </w:r>
          </w:p>
        </w:tc>
        <w:tc>
          <w:tcPr>
            <w:tcW w:w="2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148,095</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148,977</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69,132</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366,204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724,259</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585,497</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109,692</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1,419,448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37,453</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15,710</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4,122</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57,285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26,014</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4,857</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645</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Capital expenditures</w:t>
            </w:r>
          </w:p>
        </w:tc>
        <w:tc>
          <w:tcPr>
            <w:tcW w:w="26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20,358</w:t>
            </w:r>
          </w:p>
        </w:tc>
        <w:tc>
          <w:tcPr>
            <w:tcW w:w="48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3,140</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10,022</w:t>
            </w:r>
          </w:p>
        </w:tc>
        <w:tc>
          <w:tcPr>
            <w:tcW w:w="4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33,520</w:t>
            </w:r>
          </w:p>
        </w:tc>
        <w:tc>
          <w:tcPr>
            <w:tcW w:w="0" w:type="dxa"/>
            <w:vAlign w:val="bottom"/>
          </w:tcPr>
          <w:p>
            <w:pPr>
              <w:spacing w:after="0"/>
              <w:rPr>
                <w:sz w:val="1"/>
                <w:szCs w:val="1"/>
                <w:color w:val="auto"/>
              </w:rPr>
            </w:pPr>
          </w:p>
        </w:tc>
      </w:tr>
      <w:tr>
        <w:trPr>
          <w:trHeight w:val="408"/>
        </w:trPr>
        <w:tc>
          <w:tcPr>
            <w:tcW w:w="3780" w:type="dxa"/>
            <w:vAlign w:val="bottom"/>
            <w:gridSpan w:val="2"/>
          </w:tcPr>
          <w:p>
            <w:pPr>
              <w:spacing w:after="0"/>
              <w:rPr>
                <w:sz w:val="20"/>
                <w:szCs w:val="20"/>
                <w:color w:val="auto"/>
              </w:rPr>
            </w:pPr>
            <w:r>
              <w:rPr>
                <w:rFonts w:ascii="Arial" w:cs="Arial" w:eastAsia="Arial" w:hAnsi="Arial"/>
                <w:sz w:val="16"/>
                <w:szCs w:val="16"/>
                <w:color w:val="auto"/>
              </w:rPr>
              <w:t>Year Ended August 31, 2017</w:t>
            </w:r>
          </w:p>
        </w:tc>
        <w:tc>
          <w:tcPr>
            <w:tcW w:w="266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U.S.</w:t>
            </w:r>
          </w:p>
        </w:tc>
        <w:tc>
          <w:tcPr>
            <w:tcW w:w="48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Asia Pacific</w:t>
            </w:r>
          </w:p>
        </w:tc>
        <w:tc>
          <w:tcPr>
            <w:tcW w:w="4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clients</w:t>
            </w:r>
          </w:p>
        </w:tc>
        <w:tc>
          <w:tcPr>
            <w:tcW w:w="266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784,146</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330,332</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106,701</w:t>
            </w: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1,221,179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Segment operating profit</w:t>
            </w:r>
          </w:p>
        </w:tc>
        <w:tc>
          <w:tcPr>
            <w:tcW w:w="2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137,104</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153,676</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61,355</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352,135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703,941</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609,368</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100,006</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1,413,315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35,244</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9,837</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3,213</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48,294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30,247</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3,320</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616</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34,183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color w:val="auto"/>
              </w:rPr>
              <w:t>Capital expenditures</w:t>
            </w:r>
          </w:p>
        </w:tc>
        <w:tc>
          <w:tcPr>
            <w:tcW w:w="26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29,561</w:t>
            </w:r>
          </w:p>
        </w:tc>
        <w:tc>
          <w:tcPr>
            <w:tcW w:w="48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2,385</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4,916</w:t>
            </w:r>
          </w:p>
        </w:tc>
        <w:tc>
          <w:tcPr>
            <w:tcW w:w="4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36,862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60" w:type="dxa"/>
            <w:vAlign w:val="bottom"/>
          </w:tcPr>
          <w:p>
            <w:pPr>
              <w:jc w:val="right"/>
              <w:ind w:right="560"/>
              <w:spacing w:after="0"/>
              <w:rPr>
                <w:sz w:val="20"/>
                <w:szCs w:val="20"/>
                <w:color w:val="auto"/>
              </w:rPr>
            </w:pPr>
            <w:r>
              <w:rPr>
                <w:rFonts w:ascii="Arial" w:cs="Arial" w:eastAsia="Arial" w:hAnsi="Arial"/>
                <w:sz w:val="16"/>
                <w:szCs w:val="16"/>
                <w:color w:val="auto"/>
              </w:rPr>
              <w:t>67</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968" w:right="219" w:bottom="1440" w:gutter="0" w:footer="0" w:header="0"/>
        </w:sectPr>
      </w:pPr>
    </w:p>
    <w:bookmarkStart w:id="67" w:name="page68"/>
    <w:bookmarkEnd w:id="67"/>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4000" w:type="dxa"/>
            <w:vAlign w:val="bottom"/>
            <w:gridSpan w:val="2"/>
          </w:tcPr>
          <w:p>
            <w:pPr>
              <w:spacing w:after="0"/>
              <w:rPr>
                <w:sz w:val="20"/>
                <w:szCs w:val="20"/>
                <w:color w:val="auto"/>
              </w:rPr>
            </w:pPr>
            <w:r>
              <w:rPr>
                <w:rFonts w:ascii="Arial" w:cs="Arial" w:eastAsia="Arial" w:hAnsi="Arial"/>
                <w:sz w:val="16"/>
                <w:szCs w:val="16"/>
                <w:color w:val="auto"/>
              </w:rPr>
              <w:t>Year Ended August 31, 2016</w:t>
            </w:r>
          </w:p>
        </w:tc>
        <w:tc>
          <w:tcPr>
            <w:tcW w:w="24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U.S.</w:t>
            </w:r>
          </w:p>
        </w:tc>
        <w:tc>
          <w:tcPr>
            <w:tcW w:w="48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Europe</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Asia Pacific</w:t>
            </w:r>
          </w:p>
        </w:tc>
        <w:tc>
          <w:tcPr>
            <w:tcW w:w="4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clients</w:t>
            </w:r>
          </w:p>
        </w:tc>
        <w:tc>
          <w:tcPr>
            <w:tcW w:w="2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755,492</w:t>
            </w:r>
          </w:p>
        </w:tc>
        <w:tc>
          <w:tcPr>
            <w:tcW w:w="4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277,682</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93,918</w:t>
            </w: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1,127,092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Segment operating profit</w:t>
            </w:r>
          </w:p>
        </w:tc>
        <w:tc>
          <w:tcPr>
            <w:tcW w:w="244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165,251</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131,410</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53,015</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349,676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654,796</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279,864</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84,501</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1,019,161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4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31,529</w:t>
            </w:r>
          </w:p>
        </w:tc>
        <w:tc>
          <w:tcPr>
            <w:tcW w:w="480" w:type="dxa"/>
            <w:vAlign w:val="bottom"/>
          </w:tcPr>
          <w:p>
            <w:pPr>
              <w:spacing w:after="0"/>
              <w:rPr>
                <w:sz w:val="16"/>
                <w:szCs w:val="16"/>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4,220</w:t>
            </w:r>
          </w:p>
        </w:tc>
        <w:tc>
          <w:tcPr>
            <w:tcW w:w="3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2,303</w:t>
            </w: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38,052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25,776</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3,459</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558</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Capital expenditures</w:t>
            </w:r>
          </w:p>
        </w:tc>
        <w:tc>
          <w:tcPr>
            <w:tcW w:w="244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38,631</w:t>
            </w:r>
          </w:p>
        </w:tc>
        <w:tc>
          <w:tcPr>
            <w:tcW w:w="48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4,092</w:t>
            </w: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5,017</w:t>
            </w:r>
          </w:p>
        </w:tc>
        <w:tc>
          <w:tcPr>
            <w:tcW w:w="4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47,740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GEOGRAPHIC INFORMATION </w:t>
      </w:r>
      <w:r>
        <w:rPr>
          <w:rFonts w:ascii="Arial" w:cs="Arial" w:eastAsia="Arial" w:hAnsi="Arial"/>
          <w:sz w:val="16"/>
          <w:szCs w:val="16"/>
          <w:color w:val="auto"/>
        </w:rPr>
        <w:t>- The following table sets forth information for those countries that are 10% or more of revenues: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w w:val="93"/>
              </w:rPr>
              <w:t>Years ended August 31,</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2016</w:t>
            </w:r>
          </w:p>
        </w:tc>
      </w:tr>
      <w:tr>
        <w:trPr>
          <w:trHeight w:val="220"/>
        </w:trPr>
        <w:tc>
          <w:tcPr>
            <w:tcW w:w="20" w:type="dxa"/>
            <w:vAlign w:val="bottom"/>
          </w:tcPr>
          <w:p>
            <w:pPr>
              <w:spacing w:after="0"/>
              <w:rPr>
                <w:sz w:val="19"/>
                <w:szCs w:val="19"/>
                <w:color w:val="auto"/>
              </w:rPr>
            </w:pPr>
          </w:p>
        </w:tc>
        <w:tc>
          <w:tcPr>
            <w:tcW w:w="6400" w:type="dxa"/>
            <w:vAlign w:val="bottom"/>
            <w:tcBorders>
              <w:top w:val="single" w:sz="8" w:color="auto"/>
            </w:tcBorders>
            <w:shd w:val="clear" w:color="auto" w:fill="CCEEFF"/>
          </w:tcPr>
          <w:p>
            <w:pPr>
              <w:spacing w:after="0" w:line="220" w:lineRule="exact"/>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25"/>
                <w:szCs w:val="25"/>
                <w:color w:val="auto"/>
                <w:vertAlign w:val="superscript"/>
              </w:rPr>
              <w:t>(1)</w:t>
            </w:r>
          </w:p>
        </w:tc>
        <w:tc>
          <w:tcPr>
            <w:tcW w:w="4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United States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841,908</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784,146</w:t>
            </w:r>
          </w:p>
        </w:tc>
        <w:tc>
          <w:tcPr>
            <w:tcW w:w="6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755,492</w:t>
            </w: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4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332,006</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163,732</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154,902</w:t>
            </w: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All other European countries</w:t>
            </w:r>
          </w:p>
        </w:tc>
        <w:tc>
          <w:tcPr>
            <w:tcW w:w="46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55,583</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166,600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122,780</w:t>
            </w: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120,648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106,701</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93,918</w:t>
            </w: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Pr>
          <w:p>
            <w:pPr>
              <w:ind w:left="120"/>
              <w:spacing w:after="0"/>
              <w:rPr>
                <w:sz w:val="20"/>
                <w:szCs w:val="20"/>
                <w:color w:val="auto"/>
              </w:rPr>
            </w:pPr>
            <w:r>
              <w:rPr>
                <w:rFonts w:ascii="Arial" w:cs="Arial" w:eastAsia="Arial" w:hAnsi="Arial"/>
                <w:sz w:val="16"/>
                <w:szCs w:val="16"/>
                <w:i w:val="1"/>
                <w:iCs w:val="1"/>
                <w:color w:val="auto"/>
              </w:rPr>
              <w:t>Total revenues</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1,350,145</w:t>
            </w:r>
          </w:p>
        </w:tc>
        <w:tc>
          <w:tcPr>
            <w:tcW w:w="80" w:type="dxa"/>
            <w:vAlign w:val="bottom"/>
          </w:tcPr>
          <w:p>
            <w:pPr>
              <w:spacing w:after="0"/>
              <w:rPr>
                <w:sz w:val="17"/>
                <w:szCs w:val="17"/>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1,221,179</w:t>
            </w:r>
          </w:p>
        </w:tc>
        <w:tc>
          <w:tcPr>
            <w:tcW w:w="66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1,127,092</w:t>
            </w:r>
          </w:p>
        </w:tc>
      </w:tr>
    </w:tbl>
    <w:p>
      <w:pPr>
        <w:spacing w:after="0" w:line="130" w:lineRule="exact"/>
        <w:rPr>
          <w:sz w:val="20"/>
          <w:szCs w:val="20"/>
          <w:color w:val="auto"/>
        </w:rPr>
      </w:pPr>
    </w:p>
    <w:p>
      <w:pPr>
        <w:ind w:left="424" w:hanging="280"/>
        <w:spacing w:after="0"/>
        <w:tabs>
          <w:tab w:leader="none" w:pos="424"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Revenues are attributed to countries based on the location of the client.</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The following table sets forth long-lived assets by geographic area:</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4"/>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At August 31,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2016</w:t>
            </w:r>
          </w:p>
        </w:tc>
      </w:tr>
      <w:tr>
        <w:trPr>
          <w:trHeight w:val="220"/>
        </w:trPr>
        <w:tc>
          <w:tcPr>
            <w:tcW w:w="20" w:type="dxa"/>
            <w:vAlign w:val="bottom"/>
          </w:tcPr>
          <w:p>
            <w:pPr>
              <w:spacing w:after="0"/>
              <w:rPr>
                <w:sz w:val="19"/>
                <w:szCs w:val="19"/>
                <w:color w:val="auto"/>
              </w:rPr>
            </w:pPr>
          </w:p>
        </w:tc>
        <w:tc>
          <w:tcPr>
            <w:tcW w:w="6400" w:type="dxa"/>
            <w:vAlign w:val="bottom"/>
            <w:tcBorders>
              <w:top w:val="single" w:sz="8" w:color="auto"/>
            </w:tcBorders>
            <w:shd w:val="clear" w:color="auto" w:fill="CCEEFF"/>
          </w:tcPr>
          <w:p>
            <w:pPr>
              <w:spacing w:after="0" w:line="220" w:lineRule="exact"/>
              <w:rPr>
                <w:sz w:val="20"/>
                <w:szCs w:val="20"/>
                <w:color w:val="auto"/>
              </w:rPr>
            </w:pPr>
            <w:r>
              <w:rPr>
                <w:rFonts w:ascii="Arial" w:cs="Arial" w:eastAsia="Arial" w:hAnsi="Arial"/>
                <w:sz w:val="16"/>
                <w:szCs w:val="16"/>
                <w:b w:val="1"/>
                <w:bCs w:val="1"/>
                <w:i w:val="1"/>
                <w:iCs w:val="1"/>
                <w:color w:val="auto"/>
              </w:rPr>
              <w:t>Long-lived Assets</w:t>
            </w:r>
            <w:r>
              <w:rPr>
                <w:rFonts w:ascii="Arial" w:cs="Arial" w:eastAsia="Arial" w:hAnsi="Arial"/>
                <w:sz w:val="25"/>
                <w:szCs w:val="25"/>
                <w:color w:val="auto"/>
                <w:vertAlign w:val="superscript"/>
              </w:rPr>
              <w:t>(1)</w:t>
            </w: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United States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74,792</w:t>
            </w:r>
          </w:p>
        </w:tc>
        <w:tc>
          <w:tcPr>
            <w:tcW w:w="2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79,299</w:t>
            </w:r>
          </w:p>
        </w:tc>
        <w:tc>
          <w:tcPr>
            <w:tcW w:w="660" w:type="dxa"/>
            <w:vAlign w:val="bottom"/>
            <w:gridSpan w:val="2"/>
          </w:tcPr>
          <w:p>
            <w:pPr>
              <w:jc w:val="right"/>
              <w:ind w:right="405"/>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70,646</w:t>
            </w: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United Kingdom</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5,772</w:t>
            </w: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All other European countries</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5,774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1,018</w:t>
            </w: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7,186</w:t>
            </w: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i w:val="1"/>
                <w:iCs w:val="1"/>
                <w:color w:val="auto"/>
              </w:rPr>
              <w:t>Total long-lived assets</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100,545</w:t>
            </w:r>
          </w:p>
        </w:tc>
        <w:tc>
          <w:tcPr>
            <w:tcW w:w="2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100,454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84,622</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24" w:right="180" w:hanging="280"/>
        <w:spacing w:after="0" w:line="223" w:lineRule="auto"/>
        <w:tabs>
          <w:tab w:leader="none" w:pos="424" w:val="left"/>
        </w:tabs>
        <w:numPr>
          <w:ilvl w:val="1"/>
          <w:numId w:val="2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Long-lived assets consist of property, equipment and leasehold improvements, net of accumulated depreciation and amortization and exclude goodwill, intangible assets, deferred taxes and other assets.</w:t>
      </w:r>
    </w:p>
    <w:p>
      <w:pPr>
        <w:spacing w:after="0" w:line="397" w:lineRule="exact"/>
        <w:rPr>
          <w:rFonts w:ascii="Arial" w:cs="Arial" w:eastAsia="Arial" w:hAnsi="Arial"/>
          <w:sz w:val="21"/>
          <w:szCs w:val="21"/>
          <w:i w:val="1"/>
          <w:iCs w:val="1"/>
          <w:color w:val="auto"/>
          <w:vertAlign w:val="superscript"/>
        </w:rPr>
      </w:pPr>
    </w:p>
    <w:p>
      <w:pPr>
        <w:ind w:left="164" w:hanging="164"/>
        <w:spacing w:after="0"/>
        <w:tabs>
          <w:tab w:leader="none" w:pos="1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BUSINESS COMBINATIONS</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BISAM</w:t>
      </w:r>
    </w:p>
    <w:p>
      <w:pPr>
        <w:spacing w:after="0" w:line="200" w:lineRule="exact"/>
        <w:rPr>
          <w:sz w:val="20"/>
          <w:szCs w:val="20"/>
          <w:color w:val="auto"/>
        </w:rPr>
      </w:pPr>
    </w:p>
    <w:p>
      <w:pPr>
        <w:ind w:left="4" w:right="20"/>
        <w:spacing w:after="0" w:line="276" w:lineRule="auto"/>
        <w:rPr>
          <w:sz w:val="20"/>
          <w:szCs w:val="20"/>
          <w:color w:val="auto"/>
        </w:rPr>
      </w:pPr>
      <w:r>
        <w:rPr>
          <w:rFonts w:ascii="Arial" w:cs="Arial" w:eastAsia="Arial" w:hAnsi="Arial"/>
          <w:sz w:val="15"/>
          <w:szCs w:val="15"/>
          <w:color w:val="auto"/>
        </w:rPr>
        <w:t>On March 17, 2017, FactSet acquired BI-SAM Technologies (“BISAM”) for a total purchase price of $217.6 million. BISAM is a global provider of portfolio performance and attribution, multi-asset risk, GIPS composites management and reporting. BISAM’s product offerings include B-One, BISAM’s cross-asset solution, which will serve as a complement to both FactSet’s portfolio analytics suite and client reporting solutions, and Cognity, which enhances FactSet’s risk analysis for derivatives and quantitative portfolio construction. These factors contributed to a purchase price in excess of fair value of BISAM’s net tangible and intangible assets, leading to the recognition of goodwill. At the time of acquisition, BISAM employed over 160 employees based primarily in its New York, Boston, Paris, London and Sofia offices. Total transaction costs of $3.2 million were recorded within Selling, General and Administrative (“SG&amp;A”) expenses in the Consolidated Statements of Income during fiscal 2017.</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48" w:right="219" w:bottom="1440" w:gutter="0" w:footer="0" w:header="0"/>
        </w:sectPr>
      </w:pPr>
    </w:p>
    <w:bookmarkStart w:id="68" w:name="page69"/>
    <w:bookmarkEnd w:id="68"/>
    <w:p>
      <w:pPr>
        <w:ind w:right="140"/>
        <w:spacing w:after="0" w:line="277" w:lineRule="auto"/>
        <w:rPr>
          <w:sz w:val="20"/>
          <w:szCs w:val="20"/>
          <w:color w:val="auto"/>
        </w:rPr>
      </w:pPr>
      <w:r>
        <w:rPr>
          <w:rFonts w:ascii="Arial" w:cs="Arial" w:eastAsia="Arial" w:hAnsi="Arial"/>
          <w:sz w:val="16"/>
          <w:szCs w:val="16"/>
          <w:color w:val="auto"/>
        </w:rPr>
        <w:t>The total purchase price was allocated to BISAM’s net tangible and intangible assets based upon their estimated fair value as of the date of acquisition. Based upon the purchase price and the valuation, the allocation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8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58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Tangible assets acquired</w:t>
            </w:r>
          </w:p>
        </w:tc>
        <w:tc>
          <w:tcPr>
            <w:tcW w:w="4500" w:type="dxa"/>
            <w:vAlign w:val="bottom"/>
            <w:gridSpan w:val="2"/>
            <w:shd w:val="clear" w:color="auto" w:fill="CCEEFF"/>
          </w:tcPr>
          <w:p>
            <w:pPr>
              <w:jc w:val="right"/>
              <w:ind w:right="365"/>
              <w:spacing w:after="0" w:line="165"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line="165" w:lineRule="exact"/>
              <w:rPr>
                <w:sz w:val="20"/>
                <w:szCs w:val="20"/>
                <w:color w:val="auto"/>
              </w:rPr>
            </w:pPr>
            <w:r>
              <w:rPr>
                <w:rFonts w:ascii="Arial" w:cs="Arial" w:eastAsia="Arial" w:hAnsi="Arial"/>
                <w:sz w:val="16"/>
                <w:szCs w:val="16"/>
                <w:color w:val="auto"/>
              </w:rPr>
              <w:t>27,583</w:t>
            </w:r>
          </w:p>
        </w:tc>
      </w:tr>
      <w:tr>
        <w:trPr>
          <w:trHeight w:val="192"/>
        </w:trPr>
        <w:tc>
          <w:tcPr>
            <w:tcW w:w="586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Software technology</w:t>
            </w:r>
          </w:p>
        </w:tc>
        <w:tc>
          <w:tcPr>
            <w:tcW w:w="3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18,261</w:t>
            </w:r>
          </w:p>
        </w:tc>
      </w:tr>
      <w:tr>
        <w:trPr>
          <w:trHeight w:val="192"/>
        </w:trPr>
        <w:tc>
          <w:tcPr>
            <w:tcW w:w="5860" w:type="dxa"/>
            <w:vAlign w:val="bottom"/>
          </w:tcPr>
          <w:p>
            <w:pPr>
              <w:ind w:left="420"/>
              <w:spacing w:after="0"/>
              <w:rPr>
                <w:sz w:val="20"/>
                <w:szCs w:val="20"/>
                <w:color w:val="auto"/>
              </w:rPr>
            </w:pPr>
            <w:r>
              <w:rPr>
                <w:rFonts w:ascii="Arial" w:cs="Arial" w:eastAsia="Arial" w:hAnsi="Arial"/>
                <w:sz w:val="16"/>
                <w:szCs w:val="16"/>
                <w:color w:val="auto"/>
              </w:rPr>
              <w:t>Client relationships</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37,597</w:t>
            </w:r>
          </w:p>
        </w:tc>
      </w:tr>
      <w:tr>
        <w:trPr>
          <w:trHeight w:val="192"/>
        </w:trPr>
        <w:tc>
          <w:tcPr>
            <w:tcW w:w="58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Trade name</w:t>
            </w:r>
          </w:p>
        </w:tc>
        <w:tc>
          <w:tcPr>
            <w:tcW w:w="3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741</w:t>
            </w:r>
          </w:p>
        </w:tc>
      </w:tr>
      <w:tr>
        <w:trPr>
          <w:trHeight w:val="192"/>
        </w:trPr>
        <w:tc>
          <w:tcPr>
            <w:tcW w:w="5860" w:type="dxa"/>
            <w:vAlign w:val="bottom"/>
          </w:tcPr>
          <w:p>
            <w:pPr>
              <w:spacing w:after="0"/>
              <w:rPr>
                <w:sz w:val="20"/>
                <w:szCs w:val="20"/>
                <w:color w:val="auto"/>
              </w:rPr>
            </w:pPr>
            <w:r>
              <w:rPr>
                <w:rFonts w:ascii="Arial" w:cs="Arial" w:eastAsia="Arial" w:hAnsi="Arial"/>
                <w:sz w:val="16"/>
                <w:szCs w:val="16"/>
                <w:color w:val="auto"/>
              </w:rPr>
              <w:t>Goodwill</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173,898</w:t>
            </w:r>
          </w:p>
        </w:tc>
      </w:tr>
      <w:tr>
        <w:trPr>
          <w:trHeight w:val="20"/>
        </w:trPr>
        <w:tc>
          <w:tcPr>
            <w:tcW w:w="5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5860" w:type="dxa"/>
            <w:vAlign w:val="bottom"/>
            <w:shd w:val="clear" w:color="auto" w:fill="CCEEFF"/>
          </w:tcPr>
          <w:p>
            <w:pPr>
              <w:ind w:left="420"/>
              <w:spacing w:after="0"/>
              <w:rPr>
                <w:sz w:val="20"/>
                <w:szCs w:val="20"/>
                <w:color w:val="auto"/>
              </w:rPr>
            </w:pPr>
            <w:r>
              <w:rPr>
                <w:rFonts w:ascii="Arial" w:cs="Arial" w:eastAsia="Arial" w:hAnsi="Arial"/>
                <w:sz w:val="16"/>
                <w:szCs w:val="16"/>
                <w:i w:val="1"/>
                <w:iCs w:val="1"/>
                <w:color w:val="auto"/>
              </w:rPr>
              <w:t>Total assets acquired</w:t>
            </w:r>
          </w:p>
        </w:tc>
        <w:tc>
          <w:tcPr>
            <w:tcW w:w="3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258,080</w:t>
            </w:r>
          </w:p>
        </w:tc>
      </w:tr>
      <w:tr>
        <w:trPr>
          <w:trHeight w:val="192"/>
        </w:trPr>
        <w:tc>
          <w:tcPr>
            <w:tcW w:w="5860" w:type="dxa"/>
            <w:vAlign w:val="bottom"/>
          </w:tcPr>
          <w:p>
            <w:pPr>
              <w:spacing w:after="0"/>
              <w:rPr>
                <w:sz w:val="20"/>
                <w:szCs w:val="20"/>
                <w:color w:val="auto"/>
              </w:rPr>
            </w:pPr>
            <w:r>
              <w:rPr>
                <w:rFonts w:ascii="Arial" w:cs="Arial" w:eastAsia="Arial" w:hAnsi="Arial"/>
                <w:sz w:val="16"/>
                <w:szCs w:val="16"/>
                <w:color w:val="auto"/>
              </w:rPr>
              <w:t>Liabilities assumed</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(40,443)</w:t>
            </w:r>
          </w:p>
        </w:tc>
      </w:tr>
      <w:tr>
        <w:trPr>
          <w:trHeight w:val="20"/>
        </w:trPr>
        <w:tc>
          <w:tcPr>
            <w:tcW w:w="5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5860" w:type="dxa"/>
            <w:vAlign w:val="bottom"/>
            <w:shd w:val="clear" w:color="auto" w:fill="CCEEFF"/>
          </w:tcPr>
          <w:p>
            <w:pPr>
              <w:ind w:left="420"/>
              <w:spacing w:after="0"/>
              <w:rPr>
                <w:sz w:val="20"/>
                <w:szCs w:val="20"/>
                <w:color w:val="auto"/>
              </w:rPr>
            </w:pPr>
            <w:r>
              <w:rPr>
                <w:rFonts w:ascii="Arial" w:cs="Arial" w:eastAsia="Arial" w:hAnsi="Arial"/>
                <w:sz w:val="16"/>
                <w:szCs w:val="16"/>
                <w:i w:val="1"/>
                <w:iCs w:val="1"/>
                <w:color w:val="auto"/>
              </w:rPr>
              <w:t>Net assets acquired</w:t>
            </w:r>
          </w:p>
        </w:tc>
        <w:tc>
          <w:tcPr>
            <w:tcW w:w="39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217,637</w:t>
            </w:r>
          </w:p>
        </w:tc>
      </w:tr>
    </w:tbl>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Intangible assets of $56.6 million have been allocated to amortizable intangible assets consisting of client relationships, amortized over 16 years using an accelerated amortization method; software technology, amortized over five years using a straight-line amortization method; and a trade name, amortized over four years using a straight-line amortization method.</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Goodwill totaling $173.9 million represents the excess of the purchase price over the fair value of the net tangible and intangible assets acquired. Goodwill generated from the BISAM acquisition is included in the US and European segments and is not deductible for income tax purposes. The results of operations of BISAM have been included in the Company’s Consolidated Statements of Income since the completion of the acquisition on March 17, 2017. Pro forma information has not been presented because the effect of the BISAM acquisition is not material to the Company’s consolidated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Vermilion</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On November 8, 2016, FactSet acquired Vermilion Holdings Limited (“Vermilion”) for a total purchase price of $67.9 million. Vermilion is a global provider of client reporting and communications software and services to the financial services industry. Client reporting is a growing area of the market as regulatory requirements rise and with the acquisition of Vermilion and its Vermilion Reporting Suite (“VRS”), FactSet now offers a workflow around all elements of the client reporting process, which it expects will expand as investors grow increasingly sophisticated. This factor contributed to a purchase price in excess of fair value of Vermilion’s net tangible and intangible assets, leading to the recognition of goodwill. At the time of acquisition, Vermilion employed 59 individuals in its London, Boston and Singapore offices. Total transaction costs related to the acquisition were $0.7 million in fiscal 2017 and recorded within SG&amp;A expenses in the Consolidated Statements of Income during fiscal 2017.</w:t>
      </w:r>
    </w:p>
    <w:p>
      <w:pPr>
        <w:spacing w:after="0" w:line="155" w:lineRule="exact"/>
        <w:rPr>
          <w:sz w:val="20"/>
          <w:szCs w:val="20"/>
          <w:color w:val="auto"/>
        </w:rPr>
      </w:pPr>
    </w:p>
    <w:p>
      <w:pPr>
        <w:ind w:right="620"/>
        <w:spacing w:after="0" w:line="277" w:lineRule="auto"/>
        <w:rPr>
          <w:sz w:val="20"/>
          <w:szCs w:val="20"/>
          <w:color w:val="auto"/>
        </w:rPr>
      </w:pPr>
      <w:r>
        <w:rPr>
          <w:rFonts w:ascii="Arial" w:cs="Arial" w:eastAsia="Arial" w:hAnsi="Arial"/>
          <w:sz w:val="16"/>
          <w:szCs w:val="16"/>
          <w:color w:val="auto"/>
        </w:rPr>
        <w:t>The total purchase price was allocated to Vermilion’s net tangible and intangible assets based upon their estimated fair value as of the date of acquisition. Based upon the purchase price and the valuation, the allocation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59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Tangible assets acquired</w:t>
            </w:r>
          </w:p>
        </w:tc>
        <w:tc>
          <w:tcPr>
            <w:tcW w:w="4440" w:type="dxa"/>
            <w:vAlign w:val="bottom"/>
            <w:gridSpan w:val="2"/>
            <w:shd w:val="clear" w:color="auto" w:fill="CCEEFF"/>
          </w:tcPr>
          <w:p>
            <w:pPr>
              <w:jc w:val="right"/>
              <w:ind w:right="405"/>
              <w:spacing w:after="0" w:line="165"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line="165" w:lineRule="exact"/>
              <w:rPr>
                <w:sz w:val="20"/>
                <w:szCs w:val="20"/>
                <w:color w:val="auto"/>
              </w:rPr>
            </w:pPr>
            <w:r>
              <w:rPr>
                <w:rFonts w:ascii="Arial" w:cs="Arial" w:eastAsia="Arial" w:hAnsi="Arial"/>
                <w:sz w:val="16"/>
                <w:szCs w:val="16"/>
                <w:color w:val="auto"/>
              </w:rPr>
              <w:t>7,916</w:t>
            </w:r>
          </w:p>
        </w:tc>
      </w:tr>
      <w:tr>
        <w:trPr>
          <w:trHeight w:val="192"/>
        </w:trPr>
        <w:tc>
          <w:tcPr>
            <w:tcW w:w="596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3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Software technology</w:t>
            </w:r>
          </w:p>
        </w:tc>
        <w:tc>
          <w:tcPr>
            <w:tcW w:w="3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10,916</w:t>
            </w:r>
          </w:p>
        </w:tc>
      </w:tr>
      <w:tr>
        <w:trPr>
          <w:trHeight w:val="192"/>
        </w:trPr>
        <w:tc>
          <w:tcPr>
            <w:tcW w:w="5960" w:type="dxa"/>
            <w:vAlign w:val="bottom"/>
          </w:tcPr>
          <w:p>
            <w:pPr>
              <w:ind w:left="420"/>
              <w:spacing w:after="0"/>
              <w:rPr>
                <w:sz w:val="20"/>
                <w:szCs w:val="20"/>
                <w:color w:val="auto"/>
              </w:rPr>
            </w:pPr>
            <w:r>
              <w:rPr>
                <w:rFonts w:ascii="Arial" w:cs="Arial" w:eastAsia="Arial" w:hAnsi="Arial"/>
                <w:sz w:val="16"/>
                <w:szCs w:val="16"/>
                <w:color w:val="auto"/>
              </w:rPr>
              <w:t>Client relationships</w:t>
            </w:r>
          </w:p>
        </w:tc>
        <w:tc>
          <w:tcPr>
            <w:tcW w:w="3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5,954</w:t>
            </w:r>
          </w:p>
        </w:tc>
      </w:tr>
      <w:tr>
        <w:trPr>
          <w:trHeight w:val="192"/>
        </w:trPr>
        <w:tc>
          <w:tcPr>
            <w:tcW w:w="5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Non-compete agreements</w:t>
            </w:r>
          </w:p>
        </w:tc>
        <w:tc>
          <w:tcPr>
            <w:tcW w:w="3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806</w:t>
            </w:r>
          </w:p>
        </w:tc>
      </w:tr>
      <w:tr>
        <w:trPr>
          <w:trHeight w:val="192"/>
        </w:trPr>
        <w:tc>
          <w:tcPr>
            <w:tcW w:w="5960" w:type="dxa"/>
            <w:vAlign w:val="bottom"/>
          </w:tcPr>
          <w:p>
            <w:pPr>
              <w:ind w:left="420"/>
              <w:spacing w:after="0"/>
              <w:rPr>
                <w:sz w:val="20"/>
                <w:szCs w:val="20"/>
                <w:color w:val="auto"/>
              </w:rPr>
            </w:pPr>
            <w:r>
              <w:rPr>
                <w:rFonts w:ascii="Arial" w:cs="Arial" w:eastAsia="Arial" w:hAnsi="Arial"/>
                <w:sz w:val="16"/>
                <w:szCs w:val="16"/>
                <w:color w:val="auto"/>
              </w:rPr>
              <w:t>Trade name</w:t>
            </w:r>
          </w:p>
        </w:tc>
        <w:tc>
          <w:tcPr>
            <w:tcW w:w="3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571</w:t>
            </w:r>
          </w:p>
        </w:tc>
      </w:tr>
      <w:tr>
        <w:trPr>
          <w:trHeight w:val="192"/>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51,157</w:t>
            </w:r>
          </w:p>
        </w:tc>
      </w:tr>
      <w:tr>
        <w:trPr>
          <w:trHeight w:val="20"/>
        </w:trPr>
        <w:tc>
          <w:tcPr>
            <w:tcW w:w="596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60" w:type="dxa"/>
            <w:vAlign w:val="bottom"/>
          </w:tcPr>
          <w:p>
            <w:pPr>
              <w:ind w:left="420"/>
              <w:spacing w:after="0"/>
              <w:rPr>
                <w:sz w:val="20"/>
                <w:szCs w:val="20"/>
                <w:color w:val="auto"/>
              </w:rPr>
            </w:pPr>
            <w:r>
              <w:rPr>
                <w:rFonts w:ascii="Arial" w:cs="Arial" w:eastAsia="Arial" w:hAnsi="Arial"/>
                <w:sz w:val="16"/>
                <w:szCs w:val="16"/>
                <w:i w:val="1"/>
                <w:iCs w:val="1"/>
                <w:color w:val="auto"/>
              </w:rPr>
              <w:t>Total assets acquired</w:t>
            </w:r>
          </w:p>
        </w:tc>
        <w:tc>
          <w:tcPr>
            <w:tcW w:w="3880" w:type="dxa"/>
            <w:vAlign w:val="bottom"/>
          </w:tcPr>
          <w:p>
            <w:pPr>
              <w:spacing w:after="0"/>
              <w:rPr>
                <w:sz w:val="16"/>
                <w:szCs w:val="16"/>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77,320</w:t>
            </w:r>
          </w:p>
        </w:tc>
      </w:tr>
      <w:tr>
        <w:trPr>
          <w:trHeight w:val="192"/>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Liabilities assumed</w:t>
            </w:r>
          </w:p>
        </w:tc>
        <w:tc>
          <w:tcPr>
            <w:tcW w:w="3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(9,434)</w:t>
            </w:r>
          </w:p>
        </w:tc>
      </w:tr>
      <w:tr>
        <w:trPr>
          <w:trHeight w:val="20"/>
        </w:trPr>
        <w:tc>
          <w:tcPr>
            <w:tcW w:w="596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ind w:left="420"/>
              <w:spacing w:after="0"/>
              <w:rPr>
                <w:sz w:val="20"/>
                <w:szCs w:val="20"/>
                <w:color w:val="auto"/>
              </w:rPr>
            </w:pPr>
            <w:r>
              <w:rPr>
                <w:rFonts w:ascii="Arial" w:cs="Arial" w:eastAsia="Arial" w:hAnsi="Arial"/>
                <w:sz w:val="16"/>
                <w:szCs w:val="16"/>
                <w:i w:val="1"/>
                <w:iCs w:val="1"/>
                <w:color w:val="auto"/>
              </w:rPr>
              <w:t>Net assets acquired</w:t>
            </w:r>
          </w:p>
        </w:tc>
        <w:tc>
          <w:tcPr>
            <w:tcW w:w="3880" w:type="dxa"/>
            <w:vAlign w:val="bottom"/>
          </w:tcPr>
          <w:p>
            <w:pPr>
              <w:spacing w:after="0"/>
              <w:rPr>
                <w:sz w:val="17"/>
                <w:szCs w:val="17"/>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67,886</w:t>
            </w:r>
          </w:p>
        </w:tc>
      </w:tr>
    </w:tbl>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Intangible assets of $18.2 million have been allocated to amortizable intangible assets consisting of client relationships, amortized over 15 years using an accelerated amortization method; software technology, amortized over six years using a straight-line amortization method; non-compete agreements, amortized over three years using a straight-line amortization method; and a trade name, amortized over four years using a straight-line amortization method.</w:t>
      </w:r>
    </w:p>
    <w:p>
      <w:pPr>
        <w:spacing w:after="0" w:line="1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Goodwill totaling $51.2 million represents the excess of the purchase price over the fair value of the net tangible and intangible assets acquired. Goodwill generated from the Vermilion acquisition is included in the European segment and is not deductible for income tax purposes. The results of operations of Vermilion have been included in the Company’s Consolidated Statements of Income since the completion of the acquisition on November 8, 2016. Pro forma information has not been presented because the effect of the Vermilion acquisition is not material to the Company’s consolidated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Portware LLC</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October 16, 2015, FactSet acquired Portware LLC (“Portware”) for a total purchase price of $263.6 million. At the time of acquisition, Portware employed 166 individuals in its New York, London, Hong Kong, and Hyderabad, India offices. Portware is a global provider of multi-asset trade automation solutions for mega and large asset managers. With the acquisition of Portware, FactSet now offers a platform that it expects will increase value to global asset managers by expanding its capabilities to include multi-asset trade automation. This factor contributed to a purchase price in excess of fair value of Portware’s net tangible and intangible assets, leading to the recognition of goodwill. Total transaction costs related to the acquisition were $0.7 million for the year ended August 31, 2016. These transaction expenses were recorded within SG&amp;A expenses in the Consolidated Statements of Income.</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total purchase price was allocated to Portware’s net tangible and intangible assets based upon their estimated fair value as of the date of acquisition. Based upon the purchase price and the valuation, the allocation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9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59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Tangible assets acquired</w:t>
            </w:r>
          </w:p>
        </w:tc>
        <w:tc>
          <w:tcPr>
            <w:tcW w:w="4400" w:type="dxa"/>
            <w:vAlign w:val="bottom"/>
            <w:gridSpan w:val="2"/>
            <w:shd w:val="clear" w:color="auto" w:fill="CCEEFF"/>
          </w:tcPr>
          <w:p>
            <w:pPr>
              <w:jc w:val="right"/>
              <w:ind w:right="365"/>
              <w:spacing w:after="0" w:line="165"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line="165" w:lineRule="exact"/>
              <w:rPr>
                <w:sz w:val="20"/>
                <w:szCs w:val="20"/>
                <w:color w:val="auto"/>
              </w:rPr>
            </w:pPr>
            <w:r>
              <w:rPr>
                <w:rFonts w:ascii="Arial" w:cs="Arial" w:eastAsia="Arial" w:hAnsi="Arial"/>
                <w:sz w:val="16"/>
                <w:szCs w:val="16"/>
                <w:color w:val="auto"/>
              </w:rPr>
              <w:t>9,656</w:t>
            </w:r>
          </w:p>
        </w:tc>
      </w:tr>
      <w:tr>
        <w:trPr>
          <w:trHeight w:val="192"/>
        </w:trPr>
        <w:tc>
          <w:tcPr>
            <w:tcW w:w="596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Software technology</w:t>
            </w:r>
          </w:p>
        </w:tc>
        <w:tc>
          <w:tcPr>
            <w:tcW w:w="3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43,000</w:t>
            </w:r>
          </w:p>
        </w:tc>
      </w:tr>
      <w:tr>
        <w:trPr>
          <w:trHeight w:val="192"/>
        </w:trPr>
        <w:tc>
          <w:tcPr>
            <w:tcW w:w="5960" w:type="dxa"/>
            <w:vAlign w:val="bottom"/>
          </w:tcPr>
          <w:p>
            <w:pPr>
              <w:ind w:left="420"/>
              <w:spacing w:after="0"/>
              <w:rPr>
                <w:sz w:val="20"/>
                <w:szCs w:val="20"/>
                <w:color w:val="auto"/>
              </w:rPr>
            </w:pPr>
            <w:r>
              <w:rPr>
                <w:rFonts w:ascii="Arial" w:cs="Arial" w:eastAsia="Arial" w:hAnsi="Arial"/>
                <w:sz w:val="16"/>
                <w:szCs w:val="16"/>
                <w:color w:val="auto"/>
              </w:rPr>
              <w:t>Client relationships</w:t>
            </w:r>
          </w:p>
        </w:tc>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27,000</w:t>
            </w:r>
          </w:p>
        </w:tc>
      </w:tr>
      <w:tr>
        <w:trPr>
          <w:trHeight w:val="192"/>
        </w:trPr>
        <w:tc>
          <w:tcPr>
            <w:tcW w:w="59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Non-compete agreements</w:t>
            </w:r>
          </w:p>
        </w:tc>
        <w:tc>
          <w:tcPr>
            <w:tcW w:w="3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3,500</w:t>
            </w:r>
          </w:p>
        </w:tc>
      </w:tr>
      <w:tr>
        <w:trPr>
          <w:trHeight w:val="192"/>
        </w:trPr>
        <w:tc>
          <w:tcPr>
            <w:tcW w:w="5960" w:type="dxa"/>
            <w:vAlign w:val="bottom"/>
          </w:tcPr>
          <w:p>
            <w:pPr>
              <w:spacing w:after="0"/>
              <w:rPr>
                <w:sz w:val="20"/>
                <w:szCs w:val="20"/>
                <w:color w:val="auto"/>
              </w:rPr>
            </w:pPr>
            <w:r>
              <w:rPr>
                <w:rFonts w:ascii="Arial" w:cs="Arial" w:eastAsia="Arial" w:hAnsi="Arial"/>
                <w:sz w:val="16"/>
                <w:szCs w:val="16"/>
                <w:color w:val="auto"/>
              </w:rPr>
              <w:t>Trade name</w:t>
            </w:r>
          </w:p>
        </w:tc>
        <w:tc>
          <w:tcPr>
            <w:tcW w:w="3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2,000</w:t>
            </w:r>
          </w:p>
        </w:tc>
      </w:tr>
      <w:tr>
        <w:trPr>
          <w:trHeight w:val="192"/>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187,378</w:t>
            </w:r>
          </w:p>
        </w:tc>
      </w:tr>
      <w:tr>
        <w:trPr>
          <w:trHeight w:val="20"/>
        </w:trPr>
        <w:tc>
          <w:tcPr>
            <w:tcW w:w="596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60" w:type="dxa"/>
            <w:vAlign w:val="bottom"/>
          </w:tcPr>
          <w:p>
            <w:pPr>
              <w:ind w:left="420"/>
              <w:spacing w:after="0"/>
              <w:rPr>
                <w:sz w:val="20"/>
                <w:szCs w:val="20"/>
                <w:color w:val="auto"/>
              </w:rPr>
            </w:pPr>
            <w:r>
              <w:rPr>
                <w:rFonts w:ascii="Arial" w:cs="Arial" w:eastAsia="Arial" w:hAnsi="Arial"/>
                <w:sz w:val="16"/>
                <w:szCs w:val="16"/>
                <w:i w:val="1"/>
                <w:iCs w:val="1"/>
                <w:color w:val="auto"/>
              </w:rPr>
              <w:t>Total assets acquired</w:t>
            </w:r>
          </w:p>
        </w:tc>
        <w:tc>
          <w:tcPr>
            <w:tcW w:w="3880" w:type="dxa"/>
            <w:vAlign w:val="bottom"/>
          </w:tcPr>
          <w:p>
            <w:pPr>
              <w:spacing w:after="0"/>
              <w:rPr>
                <w:sz w:val="16"/>
                <w:szCs w:val="16"/>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272,534</w:t>
            </w:r>
          </w:p>
        </w:tc>
      </w:tr>
      <w:tr>
        <w:trPr>
          <w:trHeight w:val="192"/>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Liabilities assumed</w:t>
            </w:r>
          </w:p>
        </w:tc>
        <w:tc>
          <w:tcPr>
            <w:tcW w:w="3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(8,951)</w:t>
            </w:r>
          </w:p>
        </w:tc>
      </w:tr>
      <w:tr>
        <w:trPr>
          <w:trHeight w:val="20"/>
        </w:trPr>
        <w:tc>
          <w:tcPr>
            <w:tcW w:w="596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ind w:left="420"/>
              <w:spacing w:after="0"/>
              <w:rPr>
                <w:sz w:val="20"/>
                <w:szCs w:val="20"/>
                <w:color w:val="auto"/>
              </w:rPr>
            </w:pPr>
            <w:r>
              <w:rPr>
                <w:rFonts w:ascii="Arial" w:cs="Arial" w:eastAsia="Arial" w:hAnsi="Arial"/>
                <w:sz w:val="16"/>
                <w:szCs w:val="16"/>
                <w:i w:val="1"/>
                <w:iCs w:val="1"/>
                <w:color w:val="auto"/>
              </w:rPr>
              <w:t>Net assets acquired</w:t>
            </w:r>
          </w:p>
        </w:tc>
        <w:tc>
          <w:tcPr>
            <w:tcW w:w="3880" w:type="dxa"/>
            <w:vAlign w:val="bottom"/>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263,583</w:t>
            </w:r>
          </w:p>
        </w:tc>
      </w:tr>
    </w:tbl>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Intangible assets of $75.5 million have been allocated to amortizable intangible assets consisting of client relationships, amortized over 16 years using an accelerated amortization method; software technology, amortized over eight years using a straight-line amortization method; non-compete agreements, amortized over seven years using a straight-line amortization method; and a trade name, amortized over five years using a straight-line amortization method.</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Goodwill totaling $187.4 million represents the excess of the purchase price over the fair value of the net tangible and intangible assets acquired and is included in the U.S. segment. Approximately 77% of the total goodwill generated from the Portware acquisition is deductible for income tax purposes. The results of operations of Portware have been included in the Company’s Consolidated Statements of Income since the completion of the acquisition on October 16, 2015. Pro forma information has not been presented because the effect of the Portware acquisition is not material to the Company’s consolidated financial results.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9. DISPOSITIONS</w:t>
      </w:r>
    </w:p>
    <w:p>
      <w:pPr>
        <w:spacing w:after="0" w:line="200"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color w:val="auto"/>
        </w:rPr>
        <w:t xml:space="preserve">During the third quarter of fiscal 2016, the Company entered into a definitive stock purchase agreement (the “Purchase Agreement”) pursuant to which the Company agreed to sell its market research business, consisting of Market Metrics LLC and Matrix-Data Limited (collectively “Market Metrics” or the “disposal group”) and associated assets (the “Transaction”). On July 1, 2016, FactSet completed the Transaction and received $165.0 million in cash, less estimated working capital and certain adjustments set forth in the Purchase Agreement, including a $9.7 million bonus adjustment amount. The Company recognized a pre-tax gain on the sale of $112.5 million in fourth quarter of fiscal 2016, which is recorded within </w:t>
      </w:r>
      <w:r>
        <w:rPr>
          <w:rFonts w:ascii="Arial" w:cs="Arial" w:eastAsia="Arial" w:hAnsi="Arial"/>
          <w:sz w:val="14"/>
          <w:szCs w:val="14"/>
          <w:i w:val="1"/>
          <w:iCs w:val="1"/>
          <w:color w:val="auto"/>
        </w:rPr>
        <w:t>other (expense) income</w:t>
      </w:r>
      <w:r>
        <w:rPr>
          <w:rFonts w:ascii="Arial" w:cs="Arial" w:eastAsia="Arial" w:hAnsi="Arial"/>
          <w:sz w:val="14"/>
          <w:szCs w:val="14"/>
          <w:color w:val="auto"/>
        </w:rPr>
        <w:t xml:space="preserve"> in the Consolidated Statements of Income. In the second quarter of fiscal 2017, the Company finalized the working capital adjustment and recognized a pre-tax loss of $1.2 million within </w:t>
      </w:r>
      <w:r>
        <w:rPr>
          <w:rFonts w:ascii="Arial" w:cs="Arial" w:eastAsia="Arial" w:hAnsi="Arial"/>
          <w:sz w:val="14"/>
          <w:szCs w:val="14"/>
          <w:i w:val="1"/>
          <w:iCs w:val="1"/>
          <w:color w:val="auto"/>
        </w:rPr>
        <w:t>other (expense) income</w:t>
      </w:r>
      <w:r>
        <w:rPr>
          <w:rFonts w:ascii="Arial" w:cs="Arial" w:eastAsia="Arial" w:hAnsi="Arial"/>
          <w:sz w:val="14"/>
          <w:szCs w:val="14"/>
          <w:color w:val="auto"/>
        </w:rPr>
        <w:t xml:space="preserve"> in the Consolidated Statements of Income.</w:t>
      </w:r>
    </w:p>
    <w:p>
      <w:pPr>
        <w:spacing w:after="0" w:line="14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Company assessed the Transaction and the disposal group and determined that the sale does not represent a strategic shift in its business that has a major effect on its consolidated results of operations, financial position or cash flows. Accordingly, the disposal group is not presented in the consolidated financial statements as a discontinued operation. The results of the disposal group through the date the Transaction closed are reported within the U.S. segment (for Market Metrics LLC) and the European segment (for Matrix-Data Limited).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5"/>
        </w:trPr>
        <w:tc>
          <w:tcPr>
            <w:tcW w:w="6080" w:type="dxa"/>
            <w:vAlign w:val="bottom"/>
            <w:gridSpan w:val="2"/>
          </w:tcPr>
          <w:p>
            <w:pPr>
              <w:spacing w:after="0"/>
              <w:rPr>
                <w:sz w:val="20"/>
                <w:szCs w:val="20"/>
                <w:color w:val="auto"/>
              </w:rPr>
            </w:pPr>
            <w:r>
              <w:rPr>
                <w:rFonts w:ascii="Arial" w:cs="Arial" w:eastAsia="Arial" w:hAnsi="Arial"/>
                <w:sz w:val="16"/>
                <w:szCs w:val="16"/>
                <w:color w:val="auto"/>
              </w:rPr>
              <w:t>10. GOODWILL</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7760" w:type="dxa"/>
            <w:vAlign w:val="bottom"/>
            <w:gridSpan w:val="7"/>
          </w:tcPr>
          <w:p>
            <w:pPr>
              <w:spacing w:after="0"/>
              <w:rPr>
                <w:sz w:val="20"/>
                <w:szCs w:val="20"/>
                <w:color w:val="auto"/>
              </w:rPr>
            </w:pPr>
            <w:r>
              <w:rPr>
                <w:rFonts w:ascii="Arial" w:cs="Arial" w:eastAsia="Arial" w:hAnsi="Arial"/>
                <w:sz w:val="16"/>
                <w:szCs w:val="16"/>
                <w:color w:val="auto"/>
                <w:w w:val="91"/>
              </w:rPr>
              <w:t>Changes in the carrying amount of goodwill by segment for fiscal years ended August 31, 2018 and 2017 are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0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24"/>
                <w:szCs w:val="2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color w:val="auto"/>
              </w:rPr>
              <w:t>U.S.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w w:val="96"/>
              </w:rPr>
              <w:t>Europe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w w:val="96"/>
              </w:rPr>
              <w:t>Asia Pacific</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367,480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82,280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452,915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Acquisitions and other adjustments</w:t>
            </w:r>
          </w:p>
        </w:tc>
        <w:tc>
          <w:tcPr>
            <w:tcW w:w="2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19,355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216,047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235,402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translations</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19,432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Balance at August 31, 2017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386,835</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317,759</w:t>
            </w:r>
          </w:p>
        </w:tc>
        <w:tc>
          <w:tcPr>
            <w:tcW w:w="140" w:type="dxa"/>
            <w:vAlign w:val="bottom"/>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2,966</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707,560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 and other adjustments</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Foreign currency translations</w:t>
            </w:r>
          </w:p>
        </w:tc>
        <w:tc>
          <w:tcPr>
            <w:tcW w:w="2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(3,503)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386,195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312,694</w:t>
            </w:r>
          </w:p>
        </w:tc>
        <w:tc>
          <w:tcPr>
            <w:tcW w:w="1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701,833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80"/>
        <w:spacing w:after="0" w:line="297" w:lineRule="auto"/>
        <w:rPr>
          <w:sz w:val="20"/>
          <w:szCs w:val="20"/>
          <w:color w:val="auto"/>
        </w:rPr>
      </w:pPr>
      <w:r>
        <w:rPr>
          <w:rFonts w:ascii="Arial" w:cs="Arial" w:eastAsia="Arial" w:hAnsi="Arial"/>
          <w:sz w:val="14"/>
          <w:szCs w:val="14"/>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2018, consistent with the timing of previous years. It was determined that there was no impairment, with the fair value of each of the Company’s reporting units significantly exceeding carrying value. During fiscal 2017 the Company acquired goodwill of $235.4 million representing the excess of the purchase price over the fair value of the net tangible and intangible assets from acquisitions completed in fiscal 2017.</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11. INTANGIBLE ASSETS</w:t>
      </w:r>
    </w:p>
    <w:p>
      <w:pPr>
        <w:spacing w:after="0" w:line="200"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the Company’s acquired intangible assets at August 31, 2018 was 11.5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fiscal years 2018, 2017 and 2016. Amortizable intangible assets are tested for impairment, if indicators are present, based on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2017, $93.2 million of intangible assets were acquired with a weighted average useful life of 11.5 years.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amounts and accumulated amortization totals related to the Company’s identifiable intangible assets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Gross Carrying</w:t>
            </w:r>
          </w:p>
        </w:tc>
        <w:tc>
          <w:tcPr>
            <w:tcW w:w="16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6"/>
                <w:szCs w:val="16"/>
                <w:color w:val="auto"/>
              </w:rPr>
              <w:t>Net Carrying</w:t>
            </w: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6"/>
                <w:szCs w:val="16"/>
                <w:color w:val="auto"/>
              </w:rPr>
              <w:t xml:space="preserve">At August 31, 2018 </w:t>
            </w:r>
            <w:r>
              <w:rPr>
                <w:rFonts w:ascii="Arial" w:cs="Arial" w:eastAsia="Arial" w:hAnsi="Arial"/>
                <w:sz w:val="16"/>
                <w:szCs w:val="16"/>
                <w:i w:val="1"/>
                <w:iCs w:val="1"/>
                <w:color w:val="auto"/>
              </w:rPr>
              <w:t>(in thousands)</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Amount</w:t>
            </w:r>
          </w:p>
        </w:tc>
        <w:tc>
          <w:tcPr>
            <w:tcW w:w="16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Data content</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33,992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Client relationships</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98,882</w:t>
            </w:r>
          </w:p>
        </w:tc>
        <w:tc>
          <w:tcPr>
            <w:tcW w:w="16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29,387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69,495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Software technology</w:t>
            </w:r>
          </w:p>
        </w:tc>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106,505</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62,274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Non-compete agreements</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4,840</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Trade names</w:t>
            </w:r>
          </w:p>
        </w:tc>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Pr>
          <w:p>
            <w:pPr>
              <w:ind w:left="400"/>
              <w:spacing w:after="0"/>
              <w:rPr>
                <w:sz w:val="20"/>
                <w:szCs w:val="20"/>
                <w:color w:val="auto"/>
              </w:rPr>
            </w:pPr>
            <w:r>
              <w:rPr>
                <w:rFonts w:ascii="Arial" w:cs="Arial" w:eastAsia="Arial" w:hAnsi="Arial"/>
                <w:sz w:val="16"/>
                <w:szCs w:val="16"/>
                <w:i w:val="1"/>
                <w:iCs w:val="1"/>
                <w:color w:val="auto"/>
              </w:rPr>
              <w:t>Total</w:t>
            </w:r>
          </w:p>
        </w:tc>
        <w:tc>
          <w:tcPr>
            <w:tcW w:w="2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248,289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99,354</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148,935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Gross Carrying</w:t>
            </w:r>
          </w:p>
        </w:tc>
        <w:tc>
          <w:tcPr>
            <w:tcW w:w="1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color w:val="auto"/>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gridSpan w:val="2"/>
          </w:tcPr>
          <w:p>
            <w:pPr>
              <w:spacing w:after="0"/>
              <w:rPr>
                <w:sz w:val="20"/>
                <w:szCs w:val="20"/>
                <w:color w:val="auto"/>
              </w:rPr>
            </w:pPr>
            <w:r>
              <w:rPr>
                <w:rFonts w:ascii="Arial" w:cs="Arial" w:eastAsia="Arial" w:hAnsi="Arial"/>
                <w:sz w:val="16"/>
                <w:szCs w:val="16"/>
                <w:color w:val="auto"/>
              </w:rPr>
              <w:t xml:space="preserve">At August 31, 2017 </w:t>
            </w:r>
            <w:r>
              <w:rPr>
                <w:rFonts w:ascii="Arial" w:cs="Arial" w:eastAsia="Arial" w:hAnsi="Arial"/>
                <w:sz w:val="16"/>
                <w:szCs w:val="16"/>
                <w:i w:val="1"/>
                <w:iCs w:val="1"/>
                <w:color w:val="auto"/>
              </w:rPr>
              <w:t>(in thousands)</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Amount</w:t>
            </w:r>
          </w:p>
        </w:tc>
        <w:tc>
          <w:tcPr>
            <w:tcW w:w="16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Data content</w:t>
            </w:r>
          </w:p>
        </w:tc>
        <w:tc>
          <w:tcPr>
            <w:tcW w:w="2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18,899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15,217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Client relationships</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99,779</w:t>
            </w:r>
          </w:p>
        </w:tc>
        <w:tc>
          <w:tcPr>
            <w:tcW w:w="160" w:type="dxa"/>
            <w:vAlign w:val="bottom"/>
          </w:tcPr>
          <w:p>
            <w:pPr>
              <w:spacing w:after="0"/>
              <w:rPr>
                <w:sz w:val="16"/>
                <w:szCs w:val="16"/>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22,339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77,440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Software technology</w:t>
            </w:r>
          </w:p>
        </w:tc>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105,963</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75,074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Non-compete agreements</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4,833</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Trade names</w:t>
            </w:r>
          </w:p>
        </w:tc>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Pr>
          <w:p>
            <w:pPr>
              <w:ind w:left="400"/>
              <w:spacing w:after="0"/>
              <w:rPr>
                <w:sz w:val="20"/>
                <w:szCs w:val="20"/>
                <w:color w:val="auto"/>
              </w:rPr>
            </w:pPr>
            <w:r>
              <w:rPr>
                <w:rFonts w:ascii="Arial" w:cs="Arial" w:eastAsia="Arial" w:hAnsi="Arial"/>
                <w:sz w:val="16"/>
                <w:szCs w:val="16"/>
                <w:i w:val="1"/>
                <w:iCs w:val="1"/>
                <w:color w:val="auto"/>
              </w:rPr>
              <w:t>Total</w:t>
            </w:r>
          </w:p>
        </w:tc>
        <w:tc>
          <w:tcPr>
            <w:tcW w:w="2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248,771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75,228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173,543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00" w:type="dxa"/>
            <w:vAlign w:val="bottom"/>
          </w:tcPr>
          <w:p>
            <w:pPr>
              <w:jc w:val="right"/>
              <w:ind w:right="540"/>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0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68" w:right="219" w:bottom="1440" w:gutter="0" w:footer="0" w:header="0"/>
        </w:sectPr>
      </w:pPr>
    </w:p>
    <w:bookmarkStart w:id="71" w:name="page72"/>
    <w:bookmarkEnd w:id="71"/>
    <w:p>
      <w:pPr>
        <w:ind w:right="180"/>
        <w:spacing w:after="0" w:line="277" w:lineRule="auto"/>
        <w:rPr>
          <w:sz w:val="20"/>
          <w:szCs w:val="20"/>
          <w:color w:val="auto"/>
        </w:rPr>
      </w:pPr>
      <w:r>
        <w:rPr>
          <w:rFonts w:ascii="Arial" w:cs="Arial" w:eastAsia="Arial" w:hAnsi="Arial"/>
          <w:sz w:val="16"/>
          <w:szCs w:val="16"/>
          <w:color w:val="auto"/>
        </w:rPr>
        <w:t>Amortization expense recorded for intangible assets during fiscal years 2018, 2017 and 2016 was $24.7 million, $19.9 million and $14.8 million, respectively. As of August 31, 2018, estimated intangible asset amortization expense for each of the next five years and thereafter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gridSpan w:val="2"/>
          </w:tcPr>
          <w:p>
            <w:pPr>
              <w:spacing w:after="0"/>
              <w:rPr>
                <w:sz w:val="20"/>
                <w:szCs w:val="20"/>
                <w:color w:val="auto"/>
              </w:rPr>
            </w:pPr>
            <w:r>
              <w:rPr>
                <w:rFonts w:ascii="Arial" w:cs="Arial" w:eastAsia="Arial" w:hAnsi="Arial"/>
                <w:sz w:val="16"/>
                <w:szCs w:val="16"/>
                <w:color w:val="auto"/>
              </w:rPr>
              <w:t xml:space="preserve">Fiscal Year </w:t>
            </w:r>
            <w:r>
              <w:rPr>
                <w:rFonts w:ascii="Arial" w:cs="Arial" w:eastAsia="Arial" w:hAnsi="Arial"/>
                <w:sz w:val="16"/>
                <w:szCs w:val="16"/>
                <w:i w:val="1"/>
                <w:iCs w:val="1"/>
                <w:color w:val="auto"/>
              </w:rPr>
              <w:t>(in thousands)</w:t>
            </w: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0" w:type="dxa"/>
            <w:vAlign w:val="bottom"/>
            <w:gridSpan w:val="7"/>
          </w:tcPr>
          <w:p>
            <w:pPr>
              <w:ind w:left="560"/>
              <w:spacing w:after="0"/>
              <w:rPr>
                <w:sz w:val="20"/>
                <w:szCs w:val="20"/>
                <w:color w:val="auto"/>
              </w:rPr>
            </w:pPr>
            <w:r>
              <w:rPr>
                <w:rFonts w:ascii="Arial" w:cs="Arial" w:eastAsia="Arial" w:hAnsi="Arial"/>
                <w:sz w:val="16"/>
                <w:szCs w:val="16"/>
                <w:color w:val="auto"/>
                <w:w w:val="95"/>
              </w:rPr>
              <w:t>Estimated Amortization 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23,940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2020</w:t>
            </w: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23,192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21,284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2022</w:t>
            </w: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18,718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Thereafter</w:t>
            </w: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47,911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2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Total</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148,935</w:t>
            </w:r>
          </w:p>
        </w:tc>
        <w:tc>
          <w:tcPr>
            <w:tcW w:w="0" w:type="dxa"/>
            <w:vAlign w:val="bottom"/>
          </w:tcPr>
          <w:p>
            <w:pPr>
              <w:spacing w:after="0"/>
              <w:rPr>
                <w:sz w:val="1"/>
                <w:szCs w:val="1"/>
                <w:color w:val="auto"/>
              </w:rPr>
            </w:pPr>
          </w:p>
        </w:tc>
      </w:tr>
      <w:tr>
        <w:trPr>
          <w:trHeight w:val="601"/>
        </w:trPr>
        <w:tc>
          <w:tcPr>
            <w:tcW w:w="6440" w:type="dxa"/>
            <w:vAlign w:val="bottom"/>
            <w:gridSpan w:val="2"/>
          </w:tcPr>
          <w:p>
            <w:pPr>
              <w:spacing w:after="0"/>
              <w:rPr>
                <w:sz w:val="20"/>
                <w:szCs w:val="20"/>
                <w:color w:val="auto"/>
              </w:rPr>
            </w:pPr>
            <w:r>
              <w:rPr>
                <w:rFonts w:ascii="Arial" w:cs="Arial" w:eastAsia="Arial" w:hAnsi="Arial"/>
                <w:sz w:val="16"/>
                <w:szCs w:val="16"/>
                <w:color w:val="auto"/>
              </w:rPr>
              <w:t>12. PROPERTY, EQUIPMENT AND LEASEHOLD IMPROVEMENTS</w:t>
            </w: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440" w:type="dxa"/>
            <w:vAlign w:val="bottom"/>
            <w:gridSpan w:val="2"/>
          </w:tcPr>
          <w:p>
            <w:pPr>
              <w:spacing w:after="0"/>
              <w:rPr>
                <w:sz w:val="20"/>
                <w:szCs w:val="20"/>
                <w:color w:val="auto"/>
              </w:rPr>
            </w:pPr>
            <w:r>
              <w:rPr>
                <w:rFonts w:ascii="Arial" w:cs="Arial" w:eastAsia="Arial" w:hAnsi="Arial"/>
                <w:sz w:val="16"/>
                <w:szCs w:val="16"/>
                <w:color w:val="auto"/>
              </w:rPr>
              <w:t>Property, equipment and leasehold improvements consist of the following:</w:t>
            </w: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6"/>
                <w:szCs w:val="16"/>
                <w:color w:val="auto"/>
              </w:rPr>
              <w:t>August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4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200" w:type="dxa"/>
            <w:vAlign w:val="bottom"/>
            <w:gridSpan w:val="2"/>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119,479</w:t>
            </w:r>
          </w:p>
        </w:tc>
        <w:tc>
          <w:tcPr>
            <w:tcW w:w="660" w:type="dxa"/>
            <w:vAlign w:val="bottom"/>
            <w:gridSpan w:val="2"/>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113,760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spacing w:after="0"/>
              <w:rPr>
                <w:sz w:val="20"/>
                <w:szCs w:val="20"/>
                <w:color w:val="auto"/>
              </w:rPr>
            </w:pPr>
            <w:r>
              <w:rPr>
                <w:rFonts w:ascii="Arial" w:cs="Arial" w:eastAsia="Arial" w:hAnsi="Arial"/>
                <w:sz w:val="16"/>
                <w:szCs w:val="16"/>
                <w:color w:val="auto"/>
              </w:rPr>
              <w:t>Computers and related equipment</w:t>
            </w: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181,623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138,195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420" w:type="dxa"/>
            <w:vAlign w:val="bottom"/>
          </w:tcPr>
          <w:p>
            <w:pPr>
              <w:ind w:left="260"/>
              <w:spacing w:after="0"/>
              <w:rPr>
                <w:sz w:val="20"/>
                <w:szCs w:val="20"/>
                <w:color w:val="auto"/>
              </w:rPr>
            </w:pPr>
            <w:r>
              <w:rPr>
                <w:rFonts w:ascii="Arial" w:cs="Arial" w:eastAsia="Arial" w:hAnsi="Arial"/>
                <w:sz w:val="16"/>
                <w:szCs w:val="16"/>
                <w:i w:val="1"/>
                <w:iCs w:val="1"/>
                <w:color w:val="auto"/>
              </w:rPr>
              <w:t>Subtotal</w:t>
            </w:r>
          </w:p>
        </w:tc>
        <w:tc>
          <w:tcPr>
            <w:tcW w:w="1680" w:type="dxa"/>
            <w:vAlign w:val="bottom"/>
          </w:tcPr>
          <w:p>
            <w:pPr>
              <w:spacing w:after="0"/>
              <w:rPr>
                <w:sz w:val="16"/>
                <w:szCs w:val="16"/>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345,801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294,487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(245,256)</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tcPr>
          <w:p>
            <w:pPr>
              <w:ind w:left="560"/>
              <w:spacing w:after="0"/>
              <w:rPr>
                <w:sz w:val="20"/>
                <w:szCs w:val="20"/>
                <w:color w:val="auto"/>
              </w:rPr>
            </w:pPr>
            <w:r>
              <w:rPr>
                <w:rFonts w:ascii="Arial" w:cs="Arial" w:eastAsia="Arial" w:hAnsi="Arial"/>
                <w:sz w:val="16"/>
                <w:szCs w:val="16"/>
                <w:color w:val="auto"/>
              </w:rPr>
              <w:t>Property, equipment and leasehold improvements, net</w:t>
            </w:r>
          </w:p>
        </w:tc>
        <w:tc>
          <w:tcPr>
            <w:tcW w:w="1680" w:type="dxa"/>
            <w:vAlign w:val="bottom"/>
          </w:tcPr>
          <w:p>
            <w:pPr>
              <w:spacing w:after="0"/>
              <w:rPr>
                <w:sz w:val="17"/>
                <w:szCs w:val="17"/>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100,545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100,454</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$32.6 million, $28.0 million and $23.3 million for fiscal years 2018, 2017 and 2016,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13. COMMON STOCK AND EARNINGS PER SHARE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On May 7, 2018, FactSet’s Board of Directors approved a 14.3% increase in the regular quarterly dividend from $0.56 to $0.64 per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Shares of common stock outstanding were as follows: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6"/>
                <w:szCs w:val="16"/>
                <w:color w:val="auto"/>
                <w:w w:val="90"/>
              </w:rPr>
              <w:t>Years ended August 31,</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year (September 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39,023</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40,038</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Common stock issued for employee stock plans</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711</w:t>
            </w:r>
          </w:p>
        </w:tc>
        <w:tc>
          <w:tcPr>
            <w:tcW w:w="1800" w:type="dxa"/>
            <w:vAlign w:val="bottom"/>
            <w:gridSpan w:val="3"/>
          </w:tcPr>
          <w:p>
            <w:pPr>
              <w:jc w:val="right"/>
              <w:ind w:right="200"/>
              <w:spacing w:after="0"/>
              <w:rPr>
                <w:sz w:val="20"/>
                <w:szCs w:val="20"/>
                <w:color w:val="auto"/>
              </w:rPr>
            </w:pPr>
            <w:r>
              <w:rPr>
                <w:rFonts w:ascii="Arial" w:cs="Arial" w:eastAsia="Arial" w:hAnsi="Arial"/>
                <w:sz w:val="16"/>
                <w:szCs w:val="16"/>
                <w:color w:val="auto"/>
              </w:rPr>
              <w:t>693</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shd w:val="clear" w:color="auto" w:fill="CCEEFF"/>
          </w:tcPr>
          <w:p>
            <w:pPr>
              <w:spacing w:after="0" w:line="228" w:lineRule="exact"/>
              <w:rPr>
                <w:sz w:val="20"/>
                <w:szCs w:val="20"/>
                <w:color w:val="auto"/>
              </w:rPr>
            </w:pPr>
            <w:r>
              <w:rPr>
                <w:rFonts w:ascii="Arial" w:cs="Arial" w:eastAsia="Arial" w:hAnsi="Arial"/>
                <w:sz w:val="16"/>
                <w:szCs w:val="16"/>
                <w:color w:val="auto"/>
              </w:rPr>
              <w:t>Repurchase of common stock from employees</w:t>
            </w:r>
            <w:r>
              <w:rPr>
                <w:rFonts w:ascii="Arial" w:cs="Arial" w:eastAsia="Arial" w:hAnsi="Arial"/>
                <w:sz w:val="26"/>
                <w:szCs w:val="26"/>
                <w:color w:val="auto"/>
                <w:vertAlign w:val="superscript"/>
              </w:rPr>
              <w:t>(1)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Repurchase of common stock under the share repurchase program</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(1,534)</w:t>
            </w:r>
          </w:p>
        </w:tc>
        <w:tc>
          <w:tcPr>
            <w:tcW w:w="1800" w:type="dxa"/>
            <w:vAlign w:val="bottom"/>
            <w:gridSpan w:val="3"/>
          </w:tcPr>
          <w:p>
            <w:pPr>
              <w:jc w:val="right"/>
              <w:ind w:right="160"/>
              <w:spacing w:after="0"/>
              <w:rPr>
                <w:sz w:val="20"/>
                <w:szCs w:val="20"/>
                <w:color w:val="auto"/>
              </w:rPr>
            </w:pPr>
            <w:r>
              <w:rPr>
                <w:rFonts w:ascii="Arial" w:cs="Arial" w:eastAsia="Arial" w:hAnsi="Arial"/>
                <w:sz w:val="16"/>
                <w:szCs w:val="16"/>
                <w:color w:val="auto"/>
              </w:rPr>
              <w:t>(1,555)</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 under accelerated share repurchase agreement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6"/>
                <w:szCs w:val="16"/>
                <w:color w:val="auto"/>
              </w:rPr>
              <w:t>Balance, end of year (August 31)</w:t>
            </w:r>
          </w:p>
        </w:tc>
        <w:tc>
          <w:tcPr>
            <w:tcW w:w="1500" w:type="dxa"/>
            <w:vAlign w:val="bottom"/>
          </w:tcPr>
          <w:p>
            <w:pPr>
              <w:jc w:val="right"/>
              <w:spacing w:after="0"/>
              <w:rPr>
                <w:sz w:val="20"/>
                <w:szCs w:val="20"/>
                <w:color w:val="auto"/>
              </w:rPr>
            </w:pPr>
            <w:r>
              <w:rPr>
                <w:rFonts w:ascii="Arial" w:cs="Arial" w:eastAsia="Arial" w:hAnsi="Arial"/>
                <w:sz w:val="16"/>
                <w:szCs w:val="16"/>
                <w:color w:val="auto"/>
              </w:rPr>
              <w:t>38,192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39,023</w:t>
            </w:r>
          </w:p>
        </w:tc>
        <w:tc>
          <w:tcPr>
            <w:tcW w:w="2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40,038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80" w:right="20" w:hanging="296"/>
        <w:spacing w:after="0" w:line="223" w:lineRule="auto"/>
        <w:tabs>
          <w:tab w:leader="none" w:pos="580" w:val="left"/>
        </w:tabs>
        <w:numPr>
          <w:ilvl w:val="0"/>
          <w:numId w:val="2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 fiscal 2018, 2017 and 2016, the Company repurchased 8,070, 49,771 and 27,625 shares, or $1.5 million, $7.8 million and $4.5 million, of common stock, respectively, in settlement of employee tax withholding obligations due upon the vesting of restricted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72" w:name="page73"/>
    <w:bookmarkEnd w:id="72"/>
    <w:p>
      <w:pPr>
        <w:ind w:left="4"/>
        <w:spacing w:after="0"/>
        <w:rPr>
          <w:sz w:val="20"/>
          <w:szCs w:val="20"/>
          <w:color w:val="auto"/>
        </w:rPr>
      </w:pPr>
      <w:r>
        <w:rPr>
          <w:rFonts w:ascii="Arial" w:cs="Arial" w:eastAsia="Arial" w:hAnsi="Arial"/>
          <w:sz w:val="16"/>
          <w:szCs w:val="16"/>
          <w:color w:val="auto"/>
        </w:rPr>
        <w:t>A reconciliation of the weighted average shares outstanding used in the basic and diluted earnings per share (“EPS”) computations is as follows: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Weighted Average</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jc w:val="right"/>
              <w:ind w:right="540"/>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Common Shares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548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1140" w:type="dxa"/>
            <w:vAlign w:val="bottom"/>
          </w:tcPr>
          <w:p>
            <w:pPr>
              <w:spacing w:after="0"/>
              <w:rPr>
                <w:sz w:val="17"/>
                <w:szCs w:val="17"/>
                <w:color w:val="auto"/>
              </w:rPr>
            </w:pPr>
          </w:p>
        </w:tc>
        <w:tc>
          <w:tcPr>
            <w:tcW w:w="1540" w:type="dxa"/>
            <w:vAlign w:val="bottom"/>
          </w:tcPr>
          <w:p>
            <w:pPr>
              <w:jc w:val="right"/>
              <w:ind w:right="520"/>
              <w:spacing w:after="0"/>
              <w:rPr>
                <w:sz w:val="20"/>
                <w:szCs w:val="20"/>
                <w:color w:val="auto"/>
              </w:rPr>
            </w:pPr>
            <w:r>
              <w:rPr>
                <w:rFonts w:ascii="Arial" w:cs="Arial" w:eastAsia="Arial" w:hAnsi="Arial"/>
                <w:sz w:val="16"/>
                <w:szCs w:val="16"/>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(Denominator)</w:t>
            </w:r>
          </w:p>
        </w:tc>
        <w:tc>
          <w:tcPr>
            <w:tcW w:w="200" w:type="dxa"/>
            <w:vAlign w:val="bottom"/>
          </w:tcPr>
          <w:p>
            <w:pPr>
              <w:spacing w:after="0"/>
              <w:rPr>
                <w:sz w:val="17"/>
                <w:szCs w:val="17"/>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Per Share Amount</w:t>
            </w:r>
          </w:p>
        </w:tc>
      </w:tr>
      <w:tr>
        <w:trPr>
          <w:trHeight w:val="184"/>
        </w:trPr>
        <w:tc>
          <w:tcPr>
            <w:tcW w:w="20" w:type="dxa"/>
            <w:vAlign w:val="bottom"/>
          </w:tcPr>
          <w:p>
            <w:pPr>
              <w:spacing w:after="0"/>
              <w:rPr>
                <w:sz w:val="16"/>
                <w:szCs w:val="16"/>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For the year ended August 31, 2018</w:t>
            </w:r>
          </w:p>
        </w:tc>
        <w:tc>
          <w:tcPr>
            <w:tcW w:w="11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Basic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available to common stockholders</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267,085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38,733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6.90</w:t>
            </w: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Diluted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options and restricted stock</w:t>
            </w:r>
          </w:p>
        </w:tc>
        <w:tc>
          <w:tcPr>
            <w:tcW w:w="1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460" w:type="dxa"/>
            <w:vAlign w:val="bottom"/>
          </w:tcPr>
          <w:p>
            <w:pPr>
              <w:ind w:left="120"/>
              <w:spacing w:after="0"/>
              <w:rPr>
                <w:sz w:val="20"/>
                <w:szCs w:val="20"/>
                <w:color w:val="auto"/>
              </w:rPr>
            </w:pPr>
            <w:r>
              <w:rPr>
                <w:rFonts w:ascii="Arial" w:cs="Arial" w:eastAsia="Arial" w:hAnsi="Arial"/>
                <w:sz w:val="16"/>
                <w:szCs w:val="16"/>
                <w:color w:val="auto"/>
              </w:rPr>
              <w:t>Income available to common stockholders plus assumed conversions</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267,085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39,377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6.78</w:t>
            </w:r>
          </w:p>
        </w:tc>
      </w:tr>
      <w:tr>
        <w:trPr>
          <w:trHeight w:val="184"/>
        </w:trPr>
        <w:tc>
          <w:tcPr>
            <w:tcW w:w="20" w:type="dxa"/>
            <w:vAlign w:val="bottom"/>
          </w:tcPr>
          <w:p>
            <w:pPr>
              <w:spacing w:after="0"/>
              <w:rPr>
                <w:sz w:val="16"/>
                <w:szCs w:val="16"/>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For the year ended August 31, 2017</w:t>
            </w:r>
          </w:p>
        </w:tc>
        <w:tc>
          <w:tcPr>
            <w:tcW w:w="11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Basic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available to common stockholders</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258,259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w:t>
            </w: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Diluted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options and restricted stock</w:t>
            </w:r>
          </w:p>
        </w:tc>
        <w:tc>
          <w:tcPr>
            <w:tcW w:w="1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460" w:type="dxa"/>
            <w:vAlign w:val="bottom"/>
          </w:tcPr>
          <w:p>
            <w:pPr>
              <w:ind w:left="120"/>
              <w:spacing w:after="0"/>
              <w:rPr>
                <w:sz w:val="20"/>
                <w:szCs w:val="20"/>
                <w:color w:val="auto"/>
              </w:rPr>
            </w:pPr>
            <w:r>
              <w:rPr>
                <w:rFonts w:ascii="Arial" w:cs="Arial" w:eastAsia="Arial" w:hAnsi="Arial"/>
                <w:sz w:val="16"/>
                <w:szCs w:val="16"/>
                <w:color w:val="auto"/>
              </w:rPr>
              <w:t>Income available to common stockholders plus assumed conversions</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258,259</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39,642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6.51</w:t>
            </w:r>
          </w:p>
        </w:tc>
      </w:tr>
      <w:tr>
        <w:trPr>
          <w:trHeight w:val="184"/>
        </w:trPr>
        <w:tc>
          <w:tcPr>
            <w:tcW w:w="20" w:type="dxa"/>
            <w:vAlign w:val="bottom"/>
          </w:tcPr>
          <w:p>
            <w:pPr>
              <w:spacing w:after="0"/>
              <w:rPr>
                <w:sz w:val="16"/>
                <w:szCs w:val="16"/>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For the year ended August 31, 2016</w:t>
            </w:r>
          </w:p>
        </w:tc>
        <w:tc>
          <w:tcPr>
            <w:tcW w:w="11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Basic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available to common stockholders</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338,815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40,880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w:t>
            </w:r>
          </w:p>
        </w:tc>
      </w:tr>
      <w:tr>
        <w:trPr>
          <w:trHeight w:val="192"/>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Diluted EPS</w:t>
            </w: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options and restricted stock</w:t>
            </w:r>
          </w:p>
        </w:tc>
        <w:tc>
          <w:tcPr>
            <w:tcW w:w="11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460" w:type="dxa"/>
            <w:vAlign w:val="bottom"/>
          </w:tcPr>
          <w:p>
            <w:pPr>
              <w:ind w:left="120"/>
              <w:spacing w:after="0"/>
              <w:rPr>
                <w:sz w:val="20"/>
                <w:szCs w:val="20"/>
                <w:color w:val="auto"/>
              </w:rPr>
            </w:pPr>
            <w:r>
              <w:rPr>
                <w:rFonts w:ascii="Arial" w:cs="Arial" w:eastAsia="Arial" w:hAnsi="Arial"/>
                <w:sz w:val="16"/>
                <w:szCs w:val="16"/>
                <w:color w:val="auto"/>
              </w:rPr>
              <w:t>Income available to common stockholders plus assumed conversions</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338,815</w:t>
            </w:r>
          </w:p>
        </w:tc>
        <w:tc>
          <w:tcPr>
            <w:tcW w:w="1580" w:type="dxa"/>
            <w:vAlign w:val="bottom"/>
            <w:gridSpan w:val="2"/>
          </w:tcPr>
          <w:p>
            <w:pPr>
              <w:jc w:val="right"/>
              <w:ind w:right="100"/>
              <w:spacing w:after="0"/>
              <w:rPr>
                <w:sz w:val="20"/>
                <w:szCs w:val="20"/>
                <w:color w:val="auto"/>
              </w:rPr>
            </w:pPr>
            <w:r>
              <w:rPr>
                <w:rFonts w:ascii="Arial" w:cs="Arial" w:eastAsia="Arial" w:hAnsi="Arial"/>
                <w:sz w:val="16"/>
                <w:szCs w:val="16"/>
                <w:color w:val="auto"/>
              </w:rPr>
              <w:t>41,365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8.19</w:t>
            </w:r>
          </w:p>
        </w:tc>
      </w:tr>
    </w:tbl>
    <w:p>
      <w:pPr>
        <w:spacing w:after="0" w:line="167" w:lineRule="exact"/>
        <w:rPr>
          <w:sz w:val="20"/>
          <w:szCs w:val="20"/>
          <w:color w:val="auto"/>
        </w:rPr>
      </w:pPr>
    </w:p>
    <w:p>
      <w:pPr>
        <w:jc w:val="both"/>
        <w:ind w:left="4" w:right="60"/>
        <w:spacing w:after="0" w:line="264" w:lineRule="auto"/>
        <w:rPr>
          <w:sz w:val="20"/>
          <w:szCs w:val="20"/>
          <w:color w:val="auto"/>
        </w:rPr>
      </w:pPr>
      <w:r>
        <w:rPr>
          <w:rFonts w:ascii="Arial" w:cs="Arial" w:eastAsia="Arial" w:hAnsi="Arial"/>
          <w:sz w:val="16"/>
          <w:szCs w:val="16"/>
          <w:color w:val="auto"/>
        </w:rPr>
        <w:t>Dilutive potential common shares consist of stock options and unvested restricted stock awards. There were no stock options excluded from the Fiscal 2018 calculation of diluted EPS. There were 704,786 and 507,658 stock options excluded from fiscal 2017 and 2016 calculations of diluted EPS, respectively, because their inclusion would have been anti-dilutive.</w:t>
      </w:r>
    </w:p>
    <w:p>
      <w:pPr>
        <w:spacing w:after="0" w:line="162" w:lineRule="exact"/>
        <w:rPr>
          <w:sz w:val="20"/>
          <w:szCs w:val="20"/>
          <w:color w:val="auto"/>
        </w:rPr>
      </w:pPr>
    </w:p>
    <w:p>
      <w:pPr>
        <w:ind w:left="4" w:right="580"/>
        <w:spacing w:after="0" w:line="351" w:lineRule="auto"/>
        <w:rPr>
          <w:sz w:val="20"/>
          <w:szCs w:val="20"/>
          <w:color w:val="auto"/>
        </w:rPr>
      </w:pPr>
      <w:r>
        <w:rPr>
          <w:rFonts w:ascii="Arial" w:cs="Arial" w:eastAsia="Arial" w:hAnsi="Arial"/>
          <w:sz w:val="14"/>
          <w:szCs w:val="14"/>
          <w:color w:val="auto"/>
        </w:rPr>
        <w:t>As of August 31, 2018, 2017 and 2016, the number of performance-based stock options excluded from the calculation of diluted EPS was 249,443, 415,061 and 782,843, respectively. Performance-based stock options are omitted from the calculation of diluted EPS until the performance criteria is considered probable of being achieved.</w:t>
      </w:r>
    </w:p>
    <w:p>
      <w:pPr>
        <w:spacing w:after="0" w:line="322" w:lineRule="exact"/>
        <w:rPr>
          <w:sz w:val="20"/>
          <w:szCs w:val="20"/>
          <w:color w:val="auto"/>
        </w:rPr>
      </w:pPr>
    </w:p>
    <w:p>
      <w:pPr>
        <w:ind w:left="4" w:right="9260" w:hanging="4"/>
        <w:spacing w:after="0" w:line="501" w:lineRule="auto"/>
        <w:tabs>
          <w:tab w:leader="none" w:pos="244"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STOCKHOLDERS’ EQUITY Preferred Stock</w:t>
      </w:r>
    </w:p>
    <w:p>
      <w:pPr>
        <w:spacing w:after="0" w:line="1" w:lineRule="exact"/>
        <w:rPr>
          <w:sz w:val="20"/>
          <w:szCs w:val="20"/>
          <w:color w:val="auto"/>
        </w:rPr>
      </w:pPr>
    </w:p>
    <w:p>
      <w:pPr>
        <w:ind w:left="4" w:right="220"/>
        <w:spacing w:after="0" w:line="259" w:lineRule="auto"/>
        <w:rPr>
          <w:sz w:val="20"/>
          <w:szCs w:val="20"/>
          <w:color w:val="auto"/>
        </w:rPr>
      </w:pPr>
      <w:r>
        <w:rPr>
          <w:rFonts w:ascii="Arial" w:cs="Arial" w:eastAsia="Arial" w:hAnsi="Arial"/>
          <w:sz w:val="16"/>
          <w:szCs w:val="16"/>
          <w:color w:val="auto"/>
        </w:rPr>
        <w:t>At August 31, 2018 and 2017, there were 10,000,000 shares of preferred stock ($.01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ind w:left="4" w:right="260"/>
        <w:spacing w:after="0" w:line="264" w:lineRule="auto"/>
        <w:rPr>
          <w:sz w:val="20"/>
          <w:szCs w:val="20"/>
          <w:color w:val="auto"/>
        </w:rPr>
      </w:pPr>
      <w:r>
        <w:rPr>
          <w:rFonts w:ascii="Arial" w:cs="Arial" w:eastAsia="Arial" w:hAnsi="Arial"/>
          <w:sz w:val="16"/>
          <w:szCs w:val="16"/>
          <w:color w:val="auto"/>
        </w:rPr>
        <w:t>At August 31, 2018 and 2017, there were 150,000,000 shares of common stock ($.01 par value per share) authorized, of which 39,264,849 and 51,845,132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Treasury Stock</w:t>
      </w:r>
    </w:p>
    <w:p>
      <w:pPr>
        <w:spacing w:after="0" w:line="200" w:lineRule="exact"/>
        <w:rPr>
          <w:sz w:val="20"/>
          <w:szCs w:val="20"/>
          <w:color w:val="auto"/>
        </w:rPr>
      </w:pPr>
    </w:p>
    <w:p>
      <w:pPr>
        <w:ind w:left="4" w:right="20"/>
        <w:spacing w:after="0" w:line="256" w:lineRule="auto"/>
        <w:rPr>
          <w:sz w:val="20"/>
          <w:szCs w:val="20"/>
          <w:color w:val="auto"/>
        </w:rPr>
      </w:pPr>
      <w:r>
        <w:rPr>
          <w:rFonts w:ascii="Arial" w:cs="Arial" w:eastAsia="Arial" w:hAnsi="Arial"/>
          <w:sz w:val="16"/>
          <w:szCs w:val="16"/>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deduction from retained earnings ($1.5 billion). As of August 31, 2018, there were 1,072,263 shares of treasury stock (at cost) outstanding, a decrease compared to 12,822,100 as of August 31, 2017 due to the aforementioned treasury stock retirement on January 31, 2018.</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5" w:right="219" w:bottom="1440" w:gutter="0" w:footer="0" w:header="0"/>
        </w:sectPr>
      </w:pPr>
    </w:p>
    <w:bookmarkStart w:id="73" w:name="page74"/>
    <w:bookmarkEnd w:id="73"/>
    <w:p>
      <w:pPr>
        <w:ind w:left="4"/>
        <w:spacing w:after="0"/>
        <w:rPr>
          <w:sz w:val="20"/>
          <w:szCs w:val="20"/>
          <w:color w:val="auto"/>
        </w:rPr>
      </w:pPr>
      <w:r>
        <w:rPr>
          <w:rFonts w:ascii="Arial" w:cs="Arial" w:eastAsia="Arial" w:hAnsi="Arial"/>
          <w:sz w:val="16"/>
          <w:szCs w:val="16"/>
          <w:color w:val="auto"/>
        </w:rPr>
        <w:t>Share Repurchase Program</w:t>
      </w:r>
    </w:p>
    <w:p>
      <w:pPr>
        <w:spacing w:after="0" w:line="200"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During fiscal 2018, the Company repurchased 1,534,398 shares for $302.4 million compared to 1,554,822 shares for $252.8 million in fiscal 2017.</w:t>
      </w:r>
    </w:p>
    <w:p>
      <w:pPr>
        <w:spacing w:after="0" w:line="152" w:lineRule="exact"/>
        <w:rPr>
          <w:sz w:val="20"/>
          <w:szCs w:val="20"/>
          <w:color w:val="auto"/>
        </w:rPr>
      </w:pPr>
    </w:p>
    <w:p>
      <w:pPr>
        <w:ind w:left="4" w:right="500"/>
        <w:spacing w:after="0" w:line="289" w:lineRule="auto"/>
        <w:rPr>
          <w:sz w:val="20"/>
          <w:szCs w:val="20"/>
          <w:color w:val="auto"/>
        </w:rPr>
      </w:pPr>
      <w:r>
        <w:rPr>
          <w:rFonts w:ascii="Arial" w:cs="Arial" w:eastAsia="Arial" w:hAnsi="Arial"/>
          <w:sz w:val="15"/>
          <w:szCs w:val="15"/>
          <w:color w:val="auto"/>
        </w:rPr>
        <w:t>On March 26, 2018, the Board of Directors of FactSet approved a $300.0 million expansion to the existing share repurchase program. Subsequent to this expansion $241.7 million remain authorized for future share repurchases as of August 31, 2018. No minimum number of shares to be repurchased has been fixed. There is no timeframe to complete the repurchase program and it is expected that share repurchases will be paid using existing and future cash generated by operations.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Restricted Stock</w:t>
      </w:r>
    </w:p>
    <w:p>
      <w:pPr>
        <w:spacing w:after="0" w:line="200" w:lineRule="exact"/>
        <w:rPr>
          <w:sz w:val="20"/>
          <w:szCs w:val="20"/>
          <w:color w:val="auto"/>
        </w:rPr>
      </w:pPr>
    </w:p>
    <w:p>
      <w:pPr>
        <w:ind w:left="4" w:right="40"/>
        <w:spacing w:after="0" w:line="308" w:lineRule="auto"/>
        <w:rPr>
          <w:sz w:val="20"/>
          <w:szCs w:val="20"/>
          <w:color w:val="auto"/>
        </w:rPr>
      </w:pPr>
      <w:r>
        <w:rPr>
          <w:rFonts w:ascii="Arial" w:cs="Arial" w:eastAsia="Arial" w:hAnsi="Arial"/>
          <w:sz w:val="14"/>
          <w:szCs w:val="14"/>
          <w:color w:val="auto"/>
        </w:rPr>
        <w:t>Restricted stock awards entitle the holder to shares of common stock as the awards vest over time. During fiscal 2018, 26,599 shares of previously granted restricted stock awards vested and were included in common stock outstanding as of August 31, 2018 (less 8,070 shares repurchased from employees at a cost of $1.5 million to cover their cost of taxes upon vesting of the restricted stock). During fiscal 2017, 132,194 shares of previously granted restricted stock awards vested and were included in common stock outstanding as of August 31, 2017 (less 49,771 shares repurchased from employees at a cost of $7.8 million to cover their cost of taxes upon vesting of the restricted stock).</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6"/>
          <w:szCs w:val="16"/>
          <w:color w:val="auto"/>
        </w:rPr>
        <w:t>Dividends</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Company’s Board of Directors declared the following dividends on our common stock during the periods presented:</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Dividends per</w:t>
            </w: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Share of</w:t>
            </w: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jc w:val="right"/>
              <w:ind w:right="640"/>
              <w:spacing w:after="0"/>
              <w:rPr>
                <w:sz w:val="20"/>
                <w:szCs w:val="20"/>
                <w:color w:val="auto"/>
              </w:rPr>
            </w:pPr>
            <w:r>
              <w:rPr>
                <w:rFonts w:ascii="Arial" w:cs="Arial" w:eastAsia="Arial" w:hAnsi="Arial"/>
                <w:sz w:val="16"/>
                <w:szCs w:val="16"/>
                <w:i w:val="1"/>
                <w:iCs w:val="1"/>
                <w:color w:val="auto"/>
              </w:rPr>
              <w:t>Total amount</w:t>
            </w: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Year Ended</w:t>
            </w:r>
          </w:p>
        </w:tc>
        <w:tc>
          <w:tcPr>
            <w:tcW w:w="8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Common Stock</w:t>
            </w:r>
          </w:p>
        </w:tc>
        <w:tc>
          <w:tcPr>
            <w:tcW w:w="2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Record Date</w:t>
            </w:r>
          </w:p>
        </w:tc>
        <w:tc>
          <w:tcPr>
            <w:tcW w:w="4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i w:val="1"/>
                <w:iCs w:val="1"/>
                <w:color w:val="auto"/>
              </w:rPr>
              <w:t>(in thousands)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Payment Date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Fiscal 2018</w:t>
            </w: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0.56</w:t>
            </w: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November 30, 2017</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40"/>
              <w:spacing w:after="0"/>
              <w:rPr>
                <w:sz w:val="20"/>
                <w:szCs w:val="20"/>
                <w:color w:val="auto"/>
              </w:rPr>
            </w:pPr>
            <w:r>
              <w:rPr>
                <w:rFonts w:ascii="Arial" w:cs="Arial" w:eastAsia="Arial" w:hAnsi="Arial"/>
                <w:sz w:val="16"/>
                <w:szCs w:val="16"/>
                <w:color w:val="auto"/>
              </w:rPr>
              <w:t>21,902</w:t>
            </w:r>
          </w:p>
        </w:tc>
        <w:tc>
          <w:tcPr>
            <w:tcW w:w="2020" w:type="dxa"/>
            <w:vAlign w:val="bottom"/>
          </w:tcPr>
          <w:p>
            <w:pPr>
              <w:jc w:val="right"/>
              <w:spacing w:after="0"/>
              <w:rPr>
                <w:sz w:val="20"/>
                <w:szCs w:val="20"/>
                <w:color w:val="auto"/>
              </w:rPr>
            </w:pPr>
            <w:r>
              <w:rPr>
                <w:rFonts w:ascii="Arial" w:cs="Arial" w:eastAsia="Arial" w:hAnsi="Arial"/>
                <w:sz w:val="16"/>
                <w:szCs w:val="16"/>
                <w:color w:val="auto"/>
              </w:rPr>
              <w:t>December 19,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February 28, 2018</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21,799</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20,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0.64</w:t>
            </w: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May 31, 2018</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40"/>
              <w:spacing w:after="0"/>
              <w:rPr>
                <w:sz w:val="20"/>
                <w:szCs w:val="20"/>
                <w:color w:val="auto"/>
              </w:rPr>
            </w:pPr>
            <w:r>
              <w:rPr>
                <w:rFonts w:ascii="Arial" w:cs="Arial" w:eastAsia="Arial" w:hAnsi="Arial"/>
                <w:sz w:val="16"/>
                <w:szCs w:val="16"/>
                <w:color w:val="auto"/>
              </w:rPr>
              <w:t>24,566</w:t>
            </w:r>
          </w:p>
        </w:tc>
        <w:tc>
          <w:tcPr>
            <w:tcW w:w="2020" w:type="dxa"/>
            <w:vAlign w:val="bottom"/>
          </w:tcPr>
          <w:p>
            <w:pPr>
              <w:jc w:val="right"/>
              <w:spacing w:after="0"/>
              <w:rPr>
                <w:sz w:val="20"/>
                <w:szCs w:val="20"/>
                <w:color w:val="auto"/>
              </w:rPr>
            </w:pPr>
            <w:r>
              <w:rPr>
                <w:rFonts w:ascii="Arial" w:cs="Arial" w:eastAsia="Arial" w:hAnsi="Arial"/>
                <w:sz w:val="16"/>
                <w:szCs w:val="16"/>
                <w:color w:val="auto"/>
              </w:rPr>
              <w:t>June 19, 2018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0.64</w:t>
            </w:r>
          </w:p>
        </w:tc>
        <w:tc>
          <w:tcPr>
            <w:tcW w:w="2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August 31, 2018</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24,443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18, 2018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Fiscal 2017</w:t>
            </w: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First Quarter</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0.50</w:t>
            </w: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November 30, 2016</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40"/>
              <w:spacing w:after="0"/>
              <w:rPr>
                <w:sz w:val="20"/>
                <w:szCs w:val="20"/>
                <w:color w:val="auto"/>
              </w:rPr>
            </w:pPr>
            <w:r>
              <w:rPr>
                <w:rFonts w:ascii="Arial" w:cs="Arial" w:eastAsia="Arial" w:hAnsi="Arial"/>
                <w:sz w:val="16"/>
                <w:szCs w:val="16"/>
                <w:color w:val="auto"/>
              </w:rPr>
              <w:t>19,852</w:t>
            </w:r>
          </w:p>
        </w:tc>
        <w:tc>
          <w:tcPr>
            <w:tcW w:w="2020" w:type="dxa"/>
            <w:vAlign w:val="bottom"/>
          </w:tcPr>
          <w:p>
            <w:pPr>
              <w:jc w:val="right"/>
              <w:spacing w:after="0"/>
              <w:rPr>
                <w:sz w:val="20"/>
                <w:szCs w:val="20"/>
                <w:color w:val="auto"/>
              </w:rPr>
            </w:pPr>
            <w:r>
              <w:rPr>
                <w:rFonts w:ascii="Arial" w:cs="Arial" w:eastAsia="Arial" w:hAnsi="Arial"/>
                <w:sz w:val="16"/>
                <w:szCs w:val="16"/>
                <w:color w:val="auto"/>
              </w:rPr>
              <w:t>December 20, 2016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Quarter</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0.50</w:t>
            </w:r>
          </w:p>
        </w:tc>
        <w:tc>
          <w:tcPr>
            <w:tcW w:w="2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February 28, 2017</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19,709</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21,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tcPr>
          <w:p>
            <w:pPr>
              <w:ind w:left="120"/>
              <w:spacing w:after="0"/>
              <w:rPr>
                <w:sz w:val="20"/>
                <w:szCs w:val="20"/>
                <w:color w:val="auto"/>
              </w:rPr>
            </w:pPr>
            <w:r>
              <w:rPr>
                <w:rFonts w:ascii="Arial" w:cs="Arial" w:eastAsia="Arial" w:hAnsi="Arial"/>
                <w:sz w:val="16"/>
                <w:szCs w:val="16"/>
                <w:color w:val="auto"/>
              </w:rPr>
              <w:t>Third Quarter</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660"/>
              <w:spacing w:after="0"/>
              <w:rPr>
                <w:sz w:val="20"/>
                <w:szCs w:val="20"/>
                <w:color w:val="auto"/>
              </w:rPr>
            </w:pPr>
            <w:r>
              <w:rPr>
                <w:rFonts w:ascii="Arial" w:cs="Arial" w:eastAsia="Arial" w:hAnsi="Arial"/>
                <w:sz w:val="16"/>
                <w:szCs w:val="16"/>
                <w:color w:val="auto"/>
              </w:rPr>
              <w:t>0.56</w:t>
            </w:r>
          </w:p>
        </w:tc>
        <w:tc>
          <w:tcPr>
            <w:tcW w:w="2140" w:type="dxa"/>
            <w:vAlign w:val="bottom"/>
          </w:tcPr>
          <w:p>
            <w:pPr>
              <w:jc w:val="right"/>
              <w:ind w:right="40"/>
              <w:spacing w:after="0"/>
              <w:rPr>
                <w:sz w:val="20"/>
                <w:szCs w:val="20"/>
                <w:color w:val="auto"/>
              </w:rPr>
            </w:pPr>
            <w:r>
              <w:rPr>
                <w:rFonts w:ascii="Arial" w:cs="Arial" w:eastAsia="Arial" w:hAnsi="Arial"/>
                <w:sz w:val="16"/>
                <w:szCs w:val="16"/>
                <w:color w:val="auto"/>
              </w:rPr>
              <w:t>May 31, 2017</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640"/>
              <w:spacing w:after="0"/>
              <w:rPr>
                <w:sz w:val="20"/>
                <w:szCs w:val="20"/>
                <w:color w:val="auto"/>
              </w:rPr>
            </w:pPr>
            <w:r>
              <w:rPr>
                <w:rFonts w:ascii="Arial" w:cs="Arial" w:eastAsia="Arial" w:hAnsi="Arial"/>
                <w:sz w:val="16"/>
                <w:szCs w:val="16"/>
                <w:color w:val="auto"/>
              </w:rPr>
              <w:t>21,951</w:t>
            </w:r>
          </w:p>
        </w:tc>
        <w:tc>
          <w:tcPr>
            <w:tcW w:w="2020" w:type="dxa"/>
            <w:vAlign w:val="bottom"/>
          </w:tcPr>
          <w:p>
            <w:pPr>
              <w:jc w:val="right"/>
              <w:spacing w:after="0"/>
              <w:rPr>
                <w:sz w:val="20"/>
                <w:szCs w:val="20"/>
                <w:color w:val="auto"/>
              </w:rPr>
            </w:pPr>
            <w:r>
              <w:rPr>
                <w:rFonts w:ascii="Arial" w:cs="Arial" w:eastAsia="Arial" w:hAnsi="Arial"/>
                <w:sz w:val="16"/>
                <w:szCs w:val="16"/>
                <w:color w:val="auto"/>
              </w:rPr>
              <w:t>June 20, 2017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Fourth Quarter</w:t>
            </w:r>
          </w:p>
        </w:tc>
        <w:tc>
          <w:tcPr>
            <w:tcW w:w="8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rPr>
              <w:t>0.56</w:t>
            </w:r>
          </w:p>
        </w:tc>
        <w:tc>
          <w:tcPr>
            <w:tcW w:w="2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August 31, 2017</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640"/>
              <w:spacing w:after="0"/>
              <w:rPr>
                <w:sz w:val="20"/>
                <w:szCs w:val="20"/>
                <w:color w:val="auto"/>
              </w:rPr>
            </w:pPr>
            <w:r>
              <w:rPr>
                <w:rFonts w:ascii="Arial" w:cs="Arial" w:eastAsia="Arial" w:hAnsi="Arial"/>
                <w:sz w:val="16"/>
                <w:szCs w:val="16"/>
                <w:color w:val="auto"/>
              </w:rPr>
              <w:t>21,853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19, 2017</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color w:val="auto"/>
        </w:rPr>
        <w:t>All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368" w:lineRule="exact"/>
        <w:rPr>
          <w:sz w:val="20"/>
          <w:szCs w:val="20"/>
          <w:color w:val="auto"/>
        </w:rPr>
      </w:pPr>
    </w:p>
    <w:p>
      <w:pPr>
        <w:ind w:left="4" w:right="7180" w:hanging="4"/>
        <w:spacing w:after="0" w:line="501" w:lineRule="auto"/>
        <w:tabs>
          <w:tab w:leader="none" w:pos="2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EMPLOYEE STOCK OPTION AND RETIREMENT PLANS Stock Options Awards</w:t>
      </w:r>
    </w:p>
    <w:p>
      <w:pPr>
        <w:spacing w:after="0" w:line="1" w:lineRule="exact"/>
        <w:rPr>
          <w:sz w:val="20"/>
          <w:szCs w:val="20"/>
          <w:color w:val="auto"/>
        </w:rPr>
      </w:pPr>
    </w:p>
    <w:p>
      <w:pPr>
        <w:ind w:left="4" w:right="20"/>
        <w:spacing w:after="0" w:line="274" w:lineRule="auto"/>
        <w:rPr>
          <w:sz w:val="20"/>
          <w:szCs w:val="20"/>
          <w:color w:val="auto"/>
        </w:rPr>
      </w:pPr>
      <w:r>
        <w:rPr>
          <w:rFonts w:ascii="Arial" w:cs="Arial" w:eastAsia="Arial" w:hAnsi="Arial"/>
          <w:sz w:val="15"/>
          <w:szCs w:val="15"/>
          <w:color w:val="auto"/>
        </w:rPr>
        <w:t>On December 19, 2017, the Company’s stockholders approved the amended and restated FactSet Research Systems Inc. 2004 Stock Option and Award Plan, as Amended and Restated, which was renamed the Stock Option and Award Plan, as Amended and Restated (the “Long Term Incentive Plan” or “LTIP”). As part of the approved amendment, an additional 5,750,000 shares of common stock were added to the LTIP’s share reserve and the expiration date was extended to December 19, 2027. The LTIP provides for the grant of share-based awards, including stock options and restricted stock awards to employees of FactSet.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59" w:lineRule="exact"/>
        <w:rPr>
          <w:sz w:val="20"/>
          <w:szCs w:val="20"/>
          <w:color w:val="auto"/>
        </w:rPr>
      </w:pPr>
    </w:p>
    <w:p>
      <w:pPr>
        <w:ind w:left="4" w:right="320"/>
        <w:spacing w:after="0" w:line="312" w:lineRule="auto"/>
        <w:rPr>
          <w:sz w:val="20"/>
          <w:szCs w:val="20"/>
          <w:color w:val="auto"/>
        </w:rPr>
      </w:pPr>
      <w:r>
        <w:rPr>
          <w:rFonts w:ascii="Arial" w:cs="Arial" w:eastAsia="Arial" w:hAnsi="Arial"/>
          <w:sz w:val="15"/>
          <w:szCs w:val="15"/>
          <w:color w:val="auto"/>
        </w:rPr>
        <w:t>As of August 31, 2018, a total of 3,143,417 stock options were outstanding at a weighted average exercise price of $153.05. Unamortized stock-based compensation of $59.7 million is expected to be recognized as stock-based compensation expense over the remaining weighted average vesting period of 3.1 years.</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6"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Stock Option Activity</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fiscal years 2018, 2017 and 2016, FactSet granted 610,628, 1,026,984 and 1,195,649 stock options, respectively. These stock options have a weighted average exercise price of $190.65, $157.09 and $168.14 to existing employees of the Company, respectively. A summary of stock option activity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Number</w:t>
            </w:r>
          </w:p>
        </w:tc>
        <w:tc>
          <w:tcPr>
            <w:tcW w:w="300" w:type="dxa"/>
            <w:vAlign w:val="bottom"/>
          </w:tcPr>
          <w:p>
            <w:pPr>
              <w:spacing w:after="0"/>
              <w:rPr>
                <w:sz w:val="16"/>
                <w:szCs w:val="16"/>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Weighted Average</w:t>
            </w:r>
          </w:p>
        </w:tc>
        <w:tc>
          <w:tcPr>
            <w:tcW w:w="0" w:type="dxa"/>
            <w:vAlign w:val="bottom"/>
          </w:tcPr>
          <w:p>
            <w:pPr>
              <w:spacing w:after="0"/>
              <w:rPr>
                <w:sz w:val="1"/>
                <w:szCs w:val="1"/>
                <w:color w:val="auto"/>
              </w:rPr>
            </w:pPr>
          </w:p>
        </w:tc>
      </w:tr>
      <w:tr>
        <w:trPr>
          <w:trHeight w:val="205"/>
        </w:trPr>
        <w:tc>
          <w:tcPr>
            <w:tcW w:w="72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Outstanding</w:t>
            </w:r>
          </w:p>
        </w:tc>
        <w:tc>
          <w:tcPr>
            <w:tcW w:w="300" w:type="dxa"/>
            <w:vAlign w:val="bottom"/>
          </w:tcPr>
          <w:p>
            <w:pPr>
              <w:spacing w:after="0"/>
              <w:rPr>
                <w:sz w:val="17"/>
                <w:szCs w:val="17"/>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Exercise Price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2015</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3,117</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 performance-based</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622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171.18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performance-based</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non-employee Directors grant</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146.82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2080" w:type="dxa"/>
            <w:vAlign w:val="bottom"/>
            <w:gridSpan w:val="2"/>
          </w:tcPr>
          <w:p>
            <w:pPr>
              <w:jc w:val="right"/>
              <w:ind w:right="80"/>
              <w:spacing w:after="0"/>
              <w:rPr>
                <w:sz w:val="20"/>
                <w:szCs w:val="20"/>
                <w:color w:val="auto"/>
              </w:rPr>
            </w:pPr>
            <w:r>
              <w:rPr>
                <w:rFonts w:ascii="Arial" w:cs="Arial" w:eastAsia="Arial" w:hAnsi="Arial"/>
                <w:sz w:val="16"/>
                <w:szCs w:val="16"/>
                <w:color w:val="auto"/>
              </w:rPr>
              <w:t>(268)</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113.70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2016</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 performance-based</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713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152.89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performance-based</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non-employee Directors grant</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170.24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(487)</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2080" w:type="dxa"/>
            <w:vAlign w:val="bottom"/>
            <w:gridSpan w:val="2"/>
          </w:tcPr>
          <w:p>
            <w:pPr>
              <w:jc w:val="right"/>
              <w:ind w:right="80"/>
              <w:spacing w:after="0"/>
              <w:rPr>
                <w:sz w:val="20"/>
                <w:szCs w:val="20"/>
                <w:color w:val="auto"/>
              </w:rPr>
            </w:pPr>
            <w:r>
              <w:rPr>
                <w:rFonts w:ascii="Arial" w:cs="Arial" w:eastAsia="Arial" w:hAnsi="Arial"/>
                <w:sz w:val="16"/>
                <w:szCs w:val="16"/>
                <w:color w:val="auto"/>
              </w:rPr>
              <w:t>(539)</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2017</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 performance-based</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575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190.14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performance-based</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Granted – non-employee Directors grant</w:t>
            </w:r>
          </w:p>
        </w:tc>
        <w:tc>
          <w:tcPr>
            <w:tcW w:w="20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197.75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(622)</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2080" w:type="dxa"/>
            <w:vAlign w:val="bottom"/>
            <w:gridSpan w:val="2"/>
          </w:tcPr>
          <w:p>
            <w:pPr>
              <w:jc w:val="right"/>
              <w:ind w:right="80"/>
              <w:spacing w:after="0"/>
              <w:rPr>
                <w:sz w:val="20"/>
                <w:szCs w:val="20"/>
                <w:color w:val="auto"/>
              </w:rPr>
            </w:pPr>
            <w:r>
              <w:rPr>
                <w:rFonts w:ascii="Arial" w:cs="Arial" w:eastAsia="Arial" w:hAnsi="Arial"/>
                <w:sz w:val="16"/>
                <w:szCs w:val="16"/>
                <w:color w:val="auto"/>
              </w:rPr>
              <w:t>(212)</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158.14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2018</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153.05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Outstanding and Exercisable</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The following table summarizes ranges of outstanding and exercisable options as of August 31, 2018 (in thousands, except per share data and the weighted average remaining years of contractual life):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6"/>
                <w:szCs w:val="16"/>
                <w:color w:val="auto"/>
              </w:rPr>
              <w:t>Outstanding</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6"/>
                <w:szCs w:val="16"/>
                <w:color w:val="auto"/>
                <w:w w:val="89"/>
              </w:rPr>
              <w:t>Exercisable</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line="171" w:lineRule="exact"/>
              <w:rPr>
                <w:sz w:val="20"/>
                <w:szCs w:val="20"/>
                <w:color w:val="auto"/>
              </w:rPr>
            </w:pPr>
            <w:r>
              <w:rPr>
                <w:rFonts w:ascii="Arial" w:cs="Arial" w:eastAsia="Arial" w:hAnsi="Arial"/>
                <w:sz w:val="16"/>
                <w:szCs w:val="16"/>
                <w:color w:val="auto"/>
                <w:w w:val="91"/>
              </w:rPr>
              <w:t>Weighted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Average</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Remaining</w:t>
            </w:r>
          </w:p>
        </w:tc>
        <w:tc>
          <w:tcPr>
            <w:tcW w:w="260" w:type="dxa"/>
            <w:vAlign w:val="bottom"/>
          </w:tcPr>
          <w:p>
            <w:pPr>
              <w:spacing w:after="0"/>
              <w:rPr>
                <w:sz w:val="16"/>
                <w:szCs w:val="16"/>
                <w:color w:val="auto"/>
              </w:rPr>
            </w:pPr>
          </w:p>
        </w:tc>
        <w:tc>
          <w:tcPr>
            <w:tcW w:w="1100" w:type="dxa"/>
            <w:vAlign w:val="bottom"/>
          </w:tcPr>
          <w:p>
            <w:pPr>
              <w:jc w:val="center"/>
              <w:ind w:right="300"/>
              <w:spacing w:after="0"/>
              <w:rPr>
                <w:sz w:val="20"/>
                <w:szCs w:val="20"/>
                <w:color w:val="auto"/>
              </w:rPr>
            </w:pPr>
            <w:r>
              <w:rPr>
                <w:rFonts w:ascii="Arial" w:cs="Arial" w:eastAsia="Arial" w:hAnsi="Arial"/>
                <w:sz w:val="16"/>
                <w:szCs w:val="16"/>
                <w:color w:val="auto"/>
                <w:w w:val="88"/>
              </w:rPr>
              <w:t>Weighted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240"/>
              <w:spacing w:after="0"/>
              <w:rPr>
                <w:sz w:val="20"/>
                <w:szCs w:val="20"/>
                <w:color w:val="auto"/>
              </w:rPr>
            </w:pPr>
            <w:r>
              <w:rPr>
                <w:rFonts w:ascii="Arial" w:cs="Arial" w:eastAsia="Arial" w:hAnsi="Arial"/>
                <w:sz w:val="16"/>
                <w:szCs w:val="16"/>
                <w:color w:val="auto"/>
                <w:w w:val="88"/>
              </w:rPr>
              <w:t>Weighted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Years of</w:t>
            </w:r>
          </w:p>
        </w:tc>
        <w:tc>
          <w:tcPr>
            <w:tcW w:w="260" w:type="dxa"/>
            <w:vAlign w:val="bottom"/>
          </w:tcPr>
          <w:p>
            <w:pPr>
              <w:spacing w:after="0"/>
              <w:rPr>
                <w:sz w:val="16"/>
                <w:szCs w:val="16"/>
                <w:color w:val="auto"/>
              </w:rPr>
            </w:pPr>
          </w:p>
        </w:tc>
        <w:tc>
          <w:tcPr>
            <w:tcW w:w="1100" w:type="dxa"/>
            <w:vAlign w:val="bottom"/>
          </w:tcPr>
          <w:p>
            <w:pPr>
              <w:jc w:val="center"/>
              <w:ind w:right="300"/>
              <w:spacing w:after="0"/>
              <w:rPr>
                <w:sz w:val="20"/>
                <w:szCs w:val="20"/>
                <w:color w:val="auto"/>
              </w:rPr>
            </w:pPr>
            <w:r>
              <w:rPr>
                <w:rFonts w:ascii="Arial" w:cs="Arial" w:eastAsia="Arial" w:hAnsi="Arial"/>
                <w:sz w:val="16"/>
                <w:szCs w:val="16"/>
                <w:color w:val="auto"/>
                <w:w w:val="87"/>
              </w:rPr>
              <w:t>Average</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240"/>
              <w:spacing w:after="0"/>
              <w:rPr>
                <w:sz w:val="20"/>
                <w:szCs w:val="20"/>
                <w:color w:val="auto"/>
              </w:rPr>
            </w:pPr>
            <w:r>
              <w:rPr>
                <w:rFonts w:ascii="Arial" w:cs="Arial" w:eastAsia="Arial" w:hAnsi="Arial"/>
                <w:sz w:val="16"/>
                <w:szCs w:val="16"/>
                <w:color w:val="auto"/>
                <w:w w:val="87"/>
              </w:rPr>
              <w:t>Average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Number</w:t>
            </w:r>
          </w:p>
        </w:tc>
        <w:tc>
          <w:tcPr>
            <w:tcW w:w="1160" w:type="dxa"/>
            <w:vAlign w:val="bottom"/>
          </w:tcPr>
          <w:p>
            <w:pPr>
              <w:jc w:val="center"/>
              <w:spacing w:after="0"/>
              <w:rPr>
                <w:sz w:val="20"/>
                <w:szCs w:val="20"/>
                <w:color w:val="auto"/>
              </w:rPr>
            </w:pPr>
            <w:r>
              <w:rPr>
                <w:rFonts w:ascii="Arial" w:cs="Arial" w:eastAsia="Arial" w:hAnsi="Arial"/>
                <w:sz w:val="16"/>
                <w:szCs w:val="16"/>
                <w:color w:val="auto"/>
                <w:w w:val="90"/>
              </w:rPr>
              <w:t>Contractual</w:t>
            </w:r>
          </w:p>
        </w:tc>
        <w:tc>
          <w:tcPr>
            <w:tcW w:w="136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Exercise Price</w:t>
            </w:r>
          </w:p>
        </w:tc>
        <w:tc>
          <w:tcPr>
            <w:tcW w:w="1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color w:val="auto"/>
                <w:w w:val="92"/>
              </w:rPr>
              <w:t>Aggregate</w:t>
            </w: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Number</w:t>
            </w:r>
          </w:p>
        </w:tc>
        <w:tc>
          <w:tcPr>
            <w:tcW w:w="134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Exercise Price</w:t>
            </w:r>
          </w:p>
        </w:tc>
        <w:tc>
          <w:tcPr>
            <w:tcW w:w="14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w w:val="92"/>
              </w:rPr>
              <w:t>Aggregate</w:t>
            </w:r>
          </w:p>
        </w:tc>
        <w:tc>
          <w:tcPr>
            <w:tcW w:w="0" w:type="dxa"/>
            <w:vAlign w:val="bottom"/>
          </w:tcPr>
          <w:p>
            <w:pPr>
              <w:spacing w:after="0"/>
              <w:rPr>
                <w:sz w:val="1"/>
                <w:szCs w:val="1"/>
                <w:color w:val="auto"/>
              </w:rPr>
            </w:pPr>
          </w:p>
        </w:tc>
      </w:tr>
      <w:tr>
        <w:trPr>
          <w:trHeight w:val="205"/>
        </w:trPr>
        <w:tc>
          <w:tcPr>
            <w:tcW w:w="2840" w:type="dxa"/>
            <w:vAlign w:val="bottom"/>
            <w:gridSpan w:val="4"/>
          </w:tcPr>
          <w:p>
            <w:pPr>
              <w:spacing w:after="0"/>
              <w:rPr>
                <w:sz w:val="20"/>
                <w:szCs w:val="20"/>
                <w:color w:val="auto"/>
              </w:rPr>
            </w:pPr>
            <w:r>
              <w:rPr>
                <w:rFonts w:ascii="Arial" w:cs="Arial" w:eastAsia="Arial" w:hAnsi="Arial"/>
                <w:sz w:val="16"/>
                <w:szCs w:val="16"/>
                <w:color w:val="auto"/>
              </w:rPr>
              <w:t>Range of Exercise Prices Per Share</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Outstanding</w:t>
            </w:r>
          </w:p>
        </w:tc>
        <w:tc>
          <w:tcPr>
            <w:tcW w:w="1160" w:type="dxa"/>
            <w:vAlign w:val="bottom"/>
          </w:tcPr>
          <w:p>
            <w:pPr>
              <w:jc w:val="center"/>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17"/>
                <w:szCs w:val="17"/>
                <w:color w:val="auto"/>
              </w:rPr>
            </w:pPr>
          </w:p>
        </w:tc>
        <w:tc>
          <w:tcPr>
            <w:tcW w:w="1100" w:type="dxa"/>
            <w:vAlign w:val="bottom"/>
          </w:tcPr>
          <w:p>
            <w:pPr>
              <w:jc w:val="center"/>
              <w:ind w:right="280"/>
              <w:spacing w:after="0"/>
              <w:rPr>
                <w:sz w:val="20"/>
                <w:szCs w:val="20"/>
                <w:color w:val="auto"/>
              </w:rPr>
            </w:pPr>
            <w:r>
              <w:rPr>
                <w:rFonts w:ascii="Arial" w:cs="Arial" w:eastAsia="Arial" w:hAnsi="Arial"/>
                <w:sz w:val="16"/>
                <w:szCs w:val="16"/>
                <w:color w:val="auto"/>
                <w:w w:val="86"/>
              </w:rPr>
              <w:t>Per Share</w:t>
            </w: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color w:val="auto"/>
                <w:w w:val="93"/>
              </w:rPr>
              <w:t>Intrinsic Value</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Exercisable</w:t>
            </w:r>
          </w:p>
        </w:tc>
        <w:tc>
          <w:tcPr>
            <w:tcW w:w="220" w:type="dxa"/>
            <w:vAlign w:val="bottom"/>
          </w:tcPr>
          <w:p>
            <w:pPr>
              <w:spacing w:after="0"/>
              <w:rPr>
                <w:sz w:val="17"/>
                <w:szCs w:val="17"/>
                <w:color w:val="auto"/>
              </w:rPr>
            </w:pPr>
          </w:p>
        </w:tc>
        <w:tc>
          <w:tcPr>
            <w:tcW w:w="1120" w:type="dxa"/>
            <w:vAlign w:val="bottom"/>
          </w:tcPr>
          <w:p>
            <w:pPr>
              <w:jc w:val="center"/>
              <w:ind w:right="260"/>
              <w:spacing w:after="0"/>
              <w:rPr>
                <w:sz w:val="20"/>
                <w:szCs w:val="20"/>
                <w:color w:val="auto"/>
              </w:rPr>
            </w:pPr>
            <w:r>
              <w:rPr>
                <w:rFonts w:ascii="Arial" w:cs="Arial" w:eastAsia="Arial" w:hAnsi="Arial"/>
                <w:sz w:val="16"/>
                <w:szCs w:val="16"/>
                <w:color w:val="auto"/>
                <w:w w:val="86"/>
              </w:rPr>
              <w:t>Per Share</w:t>
            </w: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w w:val="95"/>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$87.26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$92.22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333</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91.75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45,794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91.75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45,794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$94.84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ind w:left="60"/>
              <w:spacing w:after="0"/>
              <w:rPr>
                <w:sz w:val="20"/>
                <w:szCs w:val="20"/>
                <w:color w:val="auto"/>
              </w:rPr>
            </w:pPr>
            <w:r>
              <w:rPr>
                <w:rFonts w:ascii="Arial" w:cs="Arial" w:eastAsia="Arial" w:hAnsi="Arial"/>
                <w:sz w:val="16"/>
                <w:szCs w:val="16"/>
                <w:color w:val="auto"/>
              </w:rPr>
              <w:t>$110.31</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180</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99.24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23,459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98.18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17,914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w w:val="96"/>
              </w:rPr>
              <w:t>$131.31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$148.52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403</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134.93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38,071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16,889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w w:val="96"/>
              </w:rPr>
              <w:t>$150.81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ind w:left="60"/>
              <w:spacing w:after="0"/>
              <w:rPr>
                <w:sz w:val="20"/>
                <w:szCs w:val="20"/>
                <w:color w:val="auto"/>
              </w:rPr>
            </w:pPr>
            <w:r>
              <w:rPr>
                <w:rFonts w:ascii="Arial" w:cs="Arial" w:eastAsia="Arial" w:hAnsi="Arial"/>
                <w:sz w:val="16"/>
                <w:szCs w:val="16"/>
                <w:color w:val="auto"/>
              </w:rPr>
              <w:t>$152.28</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637</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152.25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49,139</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152.23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6"/>
                <w:szCs w:val="16"/>
                <w:color w:val="auto"/>
                <w:w w:val="96"/>
              </w:rPr>
              <w:t>$159.14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$170.24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627</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165.23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40,227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163.55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color w:val="auto"/>
                <w:w w:val="96"/>
              </w:rPr>
              <w:t>$171.22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ind w:left="60"/>
              <w:spacing w:after="0"/>
              <w:rPr>
                <w:sz w:val="20"/>
                <w:szCs w:val="20"/>
                <w:color w:val="auto"/>
              </w:rPr>
            </w:pPr>
            <w:r>
              <w:rPr>
                <w:rFonts w:ascii="Arial" w:cs="Arial" w:eastAsia="Arial" w:hAnsi="Arial"/>
                <w:sz w:val="16"/>
                <w:szCs w:val="16"/>
                <w:color w:val="auto"/>
              </w:rPr>
              <w:t>$175.20</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383</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175.06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20,816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175.06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7,887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$189.98  -  $200.20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580</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190.68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22,462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820" w:type="dxa"/>
            <w:vAlign w:val="bottom"/>
            <w:tcBorders>
              <w:top w:val="single" w:sz="8" w:color="CCEEFF"/>
            </w:tcBorders>
            <w:gridSpan w:val="3"/>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Total Fiscal 2018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3,143</w:t>
            </w: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239,9684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105,297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outstanding and exercisable options as of August 31, 2017 and 2016 (in thousands, except the weighted average exercise price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440"/>
              <w:spacing w:after="0"/>
              <w:rPr>
                <w:sz w:val="20"/>
                <w:szCs w:val="20"/>
                <w:color w:val="auto"/>
              </w:rPr>
            </w:pPr>
            <w:r>
              <w:rPr>
                <w:rFonts w:ascii="Arial" w:cs="Arial" w:eastAsia="Arial" w:hAnsi="Arial"/>
                <w:sz w:val="16"/>
                <w:szCs w:val="16"/>
                <w:color w:val="auto"/>
                <w:w w:val="97"/>
              </w:rPr>
              <w:t>August 31, 2017</w:t>
            </w: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6"/>
                <w:szCs w:val="16"/>
                <w:color w:val="auto"/>
                <w:w w:val="97"/>
              </w:rPr>
              <w:t>August 31, 2016</w:t>
            </w:r>
          </w:p>
        </w:tc>
      </w:tr>
      <w:tr>
        <w:trPr>
          <w:trHeight w:val="172"/>
        </w:trPr>
        <w:tc>
          <w:tcPr>
            <w:tcW w:w="358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tcPr>
          <w:p>
            <w:pPr>
              <w:jc w:val="right"/>
              <w:ind w:right="60"/>
              <w:spacing w:after="0" w:line="172" w:lineRule="exact"/>
              <w:rPr>
                <w:sz w:val="20"/>
                <w:szCs w:val="20"/>
                <w:color w:val="auto"/>
              </w:rPr>
            </w:pPr>
            <w:r>
              <w:rPr>
                <w:rFonts w:ascii="Arial" w:cs="Arial" w:eastAsia="Arial" w:hAnsi="Arial"/>
                <w:sz w:val="16"/>
                <w:szCs w:val="16"/>
                <w:color w:val="auto"/>
              </w:rPr>
              <w:t>Number of</w:t>
            </w:r>
          </w:p>
        </w:tc>
        <w:tc>
          <w:tcPr>
            <w:tcW w:w="3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180"/>
              <w:spacing w:after="0" w:line="172" w:lineRule="exact"/>
              <w:rPr>
                <w:sz w:val="20"/>
                <w:szCs w:val="20"/>
                <w:color w:val="auto"/>
              </w:rPr>
            </w:pPr>
            <w:r>
              <w:rPr>
                <w:rFonts w:ascii="Arial" w:cs="Arial" w:eastAsia="Arial" w:hAnsi="Arial"/>
                <w:sz w:val="16"/>
                <w:szCs w:val="16"/>
                <w:color w:val="auto"/>
              </w:rPr>
              <w:t>Weighted Average</w:t>
            </w:r>
          </w:p>
        </w:tc>
        <w:tc>
          <w:tcPr>
            <w:tcW w:w="15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72" w:lineRule="exact"/>
              <w:rPr>
                <w:sz w:val="20"/>
                <w:szCs w:val="20"/>
                <w:color w:val="auto"/>
              </w:rPr>
            </w:pPr>
            <w:r>
              <w:rPr>
                <w:rFonts w:ascii="Arial" w:cs="Arial" w:eastAsia="Arial" w:hAnsi="Arial"/>
                <w:sz w:val="16"/>
                <w:szCs w:val="16"/>
                <w:color w:val="auto"/>
              </w:rPr>
              <w:t>Weighted Average</w:t>
            </w:r>
          </w:p>
        </w:tc>
        <w:tc>
          <w:tcPr>
            <w:tcW w:w="120" w:type="dxa"/>
            <w:vAlign w:val="bottom"/>
          </w:tcPr>
          <w:p>
            <w:pPr>
              <w:spacing w:after="0"/>
              <w:rPr>
                <w:sz w:val="14"/>
                <w:szCs w:val="14"/>
                <w:color w:val="auto"/>
              </w:rPr>
            </w:pPr>
          </w:p>
        </w:tc>
      </w:tr>
      <w:tr>
        <w:trPr>
          <w:trHeight w:val="205"/>
        </w:trPr>
        <w:tc>
          <w:tcPr>
            <w:tcW w:w="3580" w:type="dxa"/>
            <w:vAlign w:val="bottom"/>
          </w:tcPr>
          <w:p>
            <w:pPr>
              <w:spacing w:after="0"/>
              <w:rPr>
                <w:sz w:val="17"/>
                <w:szCs w:val="17"/>
                <w:color w:val="auto"/>
              </w:rPr>
            </w:pP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Shares</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w w:val="95"/>
              </w:rPr>
              <w:t>Exercise Price Per Share</w:t>
            </w:r>
          </w:p>
        </w:tc>
        <w:tc>
          <w:tcPr>
            <w:tcW w:w="1540" w:type="dxa"/>
            <w:vAlign w:val="bottom"/>
          </w:tcPr>
          <w:p>
            <w:pPr>
              <w:jc w:val="right"/>
              <w:ind w:right="60"/>
              <w:spacing w:after="0"/>
              <w:rPr>
                <w:sz w:val="20"/>
                <w:szCs w:val="20"/>
                <w:color w:val="auto"/>
              </w:rPr>
            </w:pPr>
            <w:r>
              <w:rPr>
                <w:rFonts w:ascii="Arial" w:cs="Arial" w:eastAsia="Arial" w:hAnsi="Arial"/>
                <w:sz w:val="16"/>
                <w:szCs w:val="16"/>
                <w:color w:val="auto"/>
              </w:rPr>
              <w:t>Number of Shares</w:t>
            </w:r>
          </w:p>
        </w:tc>
        <w:tc>
          <w:tcPr>
            <w:tcW w:w="1840" w:type="dxa"/>
            <w:vAlign w:val="bottom"/>
            <w:gridSpan w:val="3"/>
          </w:tcPr>
          <w:p>
            <w:pPr>
              <w:ind w:left="120"/>
              <w:spacing w:after="0"/>
              <w:rPr>
                <w:sz w:val="20"/>
                <w:szCs w:val="20"/>
                <w:color w:val="auto"/>
              </w:rPr>
            </w:pPr>
            <w:r>
              <w:rPr>
                <w:rFonts w:ascii="Arial" w:cs="Arial" w:eastAsia="Arial" w:hAnsi="Arial"/>
                <w:sz w:val="16"/>
                <w:szCs w:val="16"/>
                <w:color w:val="auto"/>
                <w:w w:val="95"/>
              </w:rPr>
              <w:t>Exercise Price Per Share</w:t>
            </w:r>
          </w:p>
        </w:tc>
      </w:tr>
      <w:tr>
        <w:trPr>
          <w:trHeight w:val="192"/>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fiscal year end</w:t>
            </w:r>
          </w:p>
        </w:tc>
        <w:tc>
          <w:tcPr>
            <w:tcW w:w="2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3,366</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139.29</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3,364</w:t>
            </w:r>
          </w:p>
        </w:tc>
        <w:tc>
          <w:tcPr>
            <w:tcW w:w="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129.54</w:t>
            </w:r>
          </w:p>
        </w:tc>
      </w:tr>
      <w:tr>
        <w:trPr>
          <w:trHeight w:val="205"/>
        </w:trPr>
        <w:tc>
          <w:tcPr>
            <w:tcW w:w="3580" w:type="dxa"/>
            <w:vAlign w:val="bottom"/>
          </w:tcPr>
          <w:p>
            <w:pPr>
              <w:spacing w:after="0"/>
              <w:rPr>
                <w:sz w:val="20"/>
                <w:szCs w:val="20"/>
                <w:color w:val="auto"/>
              </w:rPr>
            </w:pPr>
            <w:r>
              <w:rPr>
                <w:rFonts w:ascii="Arial" w:cs="Arial" w:eastAsia="Arial" w:hAnsi="Arial"/>
                <w:sz w:val="16"/>
                <w:szCs w:val="16"/>
                <w:color w:val="auto"/>
              </w:rPr>
              <w:t>Exercisable at fiscal year end</w:t>
            </w:r>
          </w:p>
        </w:tc>
        <w:tc>
          <w:tcPr>
            <w:tcW w:w="2500" w:type="dxa"/>
            <w:vAlign w:val="bottom"/>
          </w:tcPr>
          <w:p>
            <w:pPr>
              <w:jc w:val="right"/>
              <w:ind w:right="40"/>
              <w:spacing w:after="0"/>
              <w:rPr>
                <w:sz w:val="20"/>
                <w:szCs w:val="20"/>
                <w:color w:val="auto"/>
              </w:rPr>
            </w:pPr>
            <w:r>
              <w:rPr>
                <w:rFonts w:ascii="Arial" w:cs="Arial" w:eastAsia="Arial" w:hAnsi="Arial"/>
                <w:sz w:val="16"/>
                <w:szCs w:val="16"/>
                <w:color w:val="auto"/>
              </w:rPr>
              <w:t>918</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80"/>
              <w:spacing w:after="0"/>
              <w:rPr>
                <w:sz w:val="20"/>
                <w:szCs w:val="20"/>
                <w:color w:val="auto"/>
              </w:rPr>
            </w:pPr>
            <w:r>
              <w:rPr>
                <w:rFonts w:ascii="Arial" w:cs="Arial" w:eastAsia="Arial" w:hAnsi="Arial"/>
                <w:sz w:val="16"/>
                <w:szCs w:val="16"/>
                <w:color w:val="auto"/>
              </w:rPr>
              <w:t>105.14</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970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89.42</w:t>
            </w:r>
          </w:p>
        </w:tc>
      </w:tr>
    </w:tbl>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The aggregate intrinsic value of in-the-money stock options exercisable at August 31, 2018 and 2017 was $105.3 million and $49.7 million, respectively. Aggregate intrinsic value represents the difference between the Company’s closing stock price of $229.39 at August 31, 2018 and the exercise price multiplied by the number of options exercisable as of that date. The weighted average remaining contractual life of stock options exercisable at August 31, 2018 and 2017 was 5.6 years and 5.1 years, respectively. The total pre-tax intrinsic value of stock options exercised during fiscal 2018, 2017 and 2016 was $50.1 million, $38.0 million and $60.8 million,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Performance-based Stock Options</w:t>
      </w:r>
    </w:p>
    <w:p>
      <w:pPr>
        <w:spacing w:after="0" w:line="20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Performance-based stock options require management to make assumptions regarding the likelihood of achieving Company performance targets. The number of performance-based options that vest will be predicated on the Company achieving performance levels during the measurement period subsequent to the date of grant. Dependent on the financial performance levels attained by FactSet, a percentage of the performance-based stock options will vest to the grantees of those stock options. However, there is no current guarantee that such options will vest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February 2015 Performance-based Option Grant Review</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In connection with the acquisition of Code Red, FactSet granted 68,761 performance-based stock options during the second quarter of fiscal 2015 that are eligible to cliff vest based on a four-year measurement period ending February 28, 2019. In the second quarter of fiscal 2018, FactSet modified the vesting criteria of the grant, which resulted in 40% of the options deemed eligible to vest, with the remaining options forfeited. No cumulative catch-up adjustment was required because FactSet had expected the 40% level to be achieved. The option holders must remain employed by FactSet through February 28, 2019 for the options to vest. As of August 31, 2018, total unamortized stock-based compensation of $0.4 million will be recognized as expense over the remaining vesting period of 0.4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January 2017 Performance-based Option Grant Review</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connection with the acquisition of Vermilion, FactSet granted 61,744 performance-based stock options in January 2017. These performance-based options will vest 40% on the second anniversary date of the grant and 20% on each subsequent anniversary date if certain Vermilion revenue and operating income targets are achieved by November 30, 2018. The option holders must also remain employed by FactSet for the options to be eligible to vest. As of August 31, 2018, FactSet does not believe these growth targets are probable of being achieved, and as such, no stock-based compensation expense is expected to be recognized in connection with these performance-based options. A change in the actual financial performance levels achieved by Vermilion in future fiscal years could result in the following changes to the current estimate of the vesting percentage and related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vesting percentage data)</w:t>
            </w:r>
          </w:p>
        </w:tc>
        <w:tc>
          <w:tcPr>
            <w:tcW w:w="3640" w:type="dxa"/>
            <w:vAlign w:val="bottom"/>
            <w:vMerge w:val="restart"/>
          </w:tcPr>
          <w:p>
            <w:pPr>
              <w:ind w:left="1900"/>
              <w:spacing w:after="0"/>
              <w:rPr>
                <w:sz w:val="20"/>
                <w:szCs w:val="20"/>
                <w:color w:val="auto"/>
              </w:rPr>
            </w:pPr>
            <w:r>
              <w:rPr>
                <w:rFonts w:ascii="Arial" w:cs="Arial" w:eastAsia="Arial" w:hAnsi="Arial"/>
                <w:sz w:val="16"/>
                <w:szCs w:val="16"/>
                <w:color w:val="auto"/>
              </w:rPr>
              <w:t>Cumulative</w:t>
            </w:r>
          </w:p>
        </w:tc>
        <w:tc>
          <w:tcPr>
            <w:tcW w:w="560" w:type="dxa"/>
            <w:vAlign w:val="bottom"/>
          </w:tcPr>
          <w:p>
            <w:pPr>
              <w:spacing w:after="0"/>
              <w:rPr>
                <w:sz w:val="17"/>
                <w:szCs w:val="17"/>
                <w:color w:val="auto"/>
              </w:rPr>
            </w:pPr>
          </w:p>
        </w:tc>
        <w:tc>
          <w:tcPr>
            <w:tcW w:w="1640" w:type="dxa"/>
            <w:vAlign w:val="bottom"/>
            <w:vMerge w:val="restart"/>
          </w:tcPr>
          <w:p>
            <w:pPr>
              <w:ind w:left="100"/>
              <w:spacing w:after="0"/>
              <w:rPr>
                <w:sz w:val="20"/>
                <w:szCs w:val="20"/>
                <w:color w:val="auto"/>
              </w:rPr>
            </w:pPr>
            <w:r>
              <w:rPr>
                <w:rFonts w:ascii="Arial" w:cs="Arial" w:eastAsia="Arial" w:hAnsi="Arial"/>
                <w:sz w:val="16"/>
                <w:szCs w:val="16"/>
                <w:color w:val="auto"/>
              </w:rPr>
              <w:t>Remaining Expense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spacing w:after="0"/>
              <w:rPr>
                <w:sz w:val="20"/>
                <w:szCs w:val="20"/>
                <w:color w:val="auto"/>
              </w:rPr>
            </w:pPr>
            <w:r>
              <w:rPr>
                <w:rFonts w:ascii="Arial" w:cs="Arial" w:eastAsia="Arial" w:hAnsi="Arial"/>
                <w:sz w:val="16"/>
                <w:szCs w:val="16"/>
                <w:color w:val="auto"/>
              </w:rPr>
              <w:t>Vesting Percentage</w:t>
            </w:r>
          </w:p>
        </w:tc>
        <w:tc>
          <w:tcPr>
            <w:tcW w:w="3640" w:type="dxa"/>
            <w:vAlign w:val="bottom"/>
          </w:tcPr>
          <w:p>
            <w:pPr>
              <w:ind w:left="1900"/>
              <w:spacing w:after="0" w:line="238" w:lineRule="exact"/>
              <w:rPr>
                <w:sz w:val="20"/>
                <w:szCs w:val="20"/>
                <w:color w:val="auto"/>
              </w:rPr>
            </w:pPr>
            <w:r>
              <w:rPr>
                <w:rFonts w:ascii="Arial" w:cs="Arial" w:eastAsia="Arial" w:hAnsi="Arial"/>
                <w:sz w:val="16"/>
                <w:szCs w:val="16"/>
                <w:color w:val="auto"/>
              </w:rPr>
              <w:t>Catch-up Adjustment</w:t>
            </w:r>
            <w:r>
              <w:rPr>
                <w:rFonts w:ascii="Arial" w:cs="Arial" w:eastAsia="Arial" w:hAnsi="Arial"/>
                <w:sz w:val="26"/>
                <w:szCs w:val="26"/>
                <w:color w:val="auto"/>
                <w:vertAlign w:val="superscript"/>
              </w:rPr>
              <w:t>(1)</w:t>
            </w:r>
          </w:p>
        </w:tc>
        <w:tc>
          <w:tcPr>
            <w:tcW w:w="56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to be Recognized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0% (current expectation)</w:t>
            </w:r>
          </w:p>
        </w:tc>
        <w:tc>
          <w:tcPr>
            <w:tcW w:w="364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100%</w:t>
            </w:r>
          </w:p>
        </w:tc>
        <w:tc>
          <w:tcPr>
            <w:tcW w:w="3640" w:type="dxa"/>
            <w:vAlign w:val="bottom"/>
          </w:tcPr>
          <w:p>
            <w:pPr>
              <w:ind w:left="19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613</w:t>
            </w:r>
          </w:p>
        </w:tc>
        <w:tc>
          <w:tcPr>
            <w:tcW w:w="164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880" w:firstLine="284"/>
        <w:spacing w:after="0" w:line="501" w:lineRule="auto"/>
        <w:tabs>
          <w:tab w:leader="none" w:pos="577"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the cumulative catch-up adjustment to be recorded if there was a change in the vesting percentage as of August 31, 2018. June 2017 Performance-based Option Grant Review</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August 31, 2018,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vesting percentage data)</w:t>
            </w:r>
          </w:p>
        </w:tc>
        <w:tc>
          <w:tcPr>
            <w:tcW w:w="3580" w:type="dxa"/>
            <w:vAlign w:val="bottom"/>
            <w:vMerge w:val="restart"/>
          </w:tcPr>
          <w:p>
            <w:pPr>
              <w:ind w:left="1900"/>
              <w:spacing w:after="0"/>
              <w:rPr>
                <w:sz w:val="20"/>
                <w:szCs w:val="20"/>
                <w:color w:val="auto"/>
              </w:rPr>
            </w:pPr>
            <w:r>
              <w:rPr>
                <w:rFonts w:ascii="Arial" w:cs="Arial" w:eastAsia="Arial" w:hAnsi="Arial"/>
                <w:sz w:val="16"/>
                <w:szCs w:val="16"/>
                <w:color w:val="auto"/>
              </w:rPr>
              <w:t>Cumulative</w:t>
            </w:r>
          </w:p>
        </w:tc>
        <w:tc>
          <w:tcPr>
            <w:tcW w:w="620" w:type="dxa"/>
            <w:vAlign w:val="bottom"/>
          </w:tcPr>
          <w:p>
            <w:pPr>
              <w:spacing w:after="0"/>
              <w:rPr>
                <w:sz w:val="17"/>
                <w:szCs w:val="17"/>
                <w:color w:val="auto"/>
              </w:rPr>
            </w:pPr>
          </w:p>
        </w:tc>
        <w:tc>
          <w:tcPr>
            <w:tcW w:w="1640" w:type="dxa"/>
            <w:vAlign w:val="bottom"/>
            <w:vMerge w:val="restart"/>
          </w:tcPr>
          <w:p>
            <w:pPr>
              <w:ind w:left="100"/>
              <w:spacing w:after="0"/>
              <w:rPr>
                <w:sz w:val="20"/>
                <w:szCs w:val="20"/>
                <w:color w:val="auto"/>
              </w:rPr>
            </w:pPr>
            <w:r>
              <w:rPr>
                <w:rFonts w:ascii="Arial" w:cs="Arial" w:eastAsia="Arial" w:hAnsi="Arial"/>
                <w:sz w:val="16"/>
                <w:szCs w:val="16"/>
                <w:color w:val="auto"/>
              </w:rPr>
              <w:t>Remaining Expense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860" w:type="dxa"/>
            <w:vAlign w:val="bottom"/>
            <w:gridSpan w:val="2"/>
          </w:tcPr>
          <w:p>
            <w:pPr>
              <w:spacing w:after="0"/>
              <w:rPr>
                <w:sz w:val="20"/>
                <w:szCs w:val="20"/>
                <w:color w:val="auto"/>
              </w:rPr>
            </w:pPr>
            <w:r>
              <w:rPr>
                <w:rFonts w:ascii="Arial" w:cs="Arial" w:eastAsia="Arial" w:hAnsi="Arial"/>
                <w:sz w:val="16"/>
                <w:szCs w:val="16"/>
                <w:color w:val="auto"/>
              </w:rPr>
              <w:t>Vesting Percentage</w:t>
            </w:r>
          </w:p>
        </w:tc>
        <w:tc>
          <w:tcPr>
            <w:tcW w:w="3580" w:type="dxa"/>
            <w:vAlign w:val="bottom"/>
          </w:tcPr>
          <w:p>
            <w:pPr>
              <w:ind w:left="1900"/>
              <w:spacing w:after="0" w:line="238" w:lineRule="exact"/>
              <w:rPr>
                <w:sz w:val="20"/>
                <w:szCs w:val="20"/>
                <w:color w:val="auto"/>
              </w:rPr>
            </w:pPr>
            <w:r>
              <w:rPr>
                <w:rFonts w:ascii="Arial" w:cs="Arial" w:eastAsia="Arial" w:hAnsi="Arial"/>
                <w:sz w:val="16"/>
                <w:szCs w:val="16"/>
                <w:color w:val="auto"/>
                <w:w w:val="97"/>
              </w:rPr>
              <w:t>Catch-up Adjustment</w:t>
            </w:r>
            <w:r>
              <w:rPr>
                <w:rFonts w:ascii="Arial" w:cs="Arial" w:eastAsia="Arial" w:hAnsi="Arial"/>
                <w:sz w:val="26"/>
                <w:szCs w:val="26"/>
                <w:color w:val="auto"/>
                <w:w w:val="97"/>
                <w:vertAlign w:val="superscript"/>
              </w:rPr>
              <w:t>(1)</w:t>
            </w:r>
          </w:p>
        </w:tc>
        <w:tc>
          <w:tcPr>
            <w:tcW w:w="62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to be Recognized</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0%(current expectation)</w:t>
            </w:r>
          </w:p>
        </w:tc>
        <w:tc>
          <w:tcPr>
            <w:tcW w:w="35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80%</w:t>
            </w:r>
          </w:p>
        </w:tc>
        <w:tc>
          <w:tcPr>
            <w:tcW w:w="3580" w:type="dxa"/>
            <w:vAlign w:val="bottom"/>
          </w:tcPr>
          <w:p>
            <w:pPr>
              <w:ind w:left="19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1,658</w:t>
            </w:r>
          </w:p>
        </w:tc>
        <w:tc>
          <w:tcPr>
            <w:tcW w:w="164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5,449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90%</w:t>
            </w:r>
          </w:p>
        </w:tc>
        <w:tc>
          <w:tcPr>
            <w:tcW w:w="3580" w:type="dxa"/>
            <w:vAlign w:val="bottom"/>
            <w:shd w:val="clear" w:color="auto" w:fill="CCEEFF"/>
          </w:tcPr>
          <w:p>
            <w:pPr>
              <w:ind w:left="1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1,866</w:t>
            </w:r>
          </w:p>
        </w:tc>
        <w:tc>
          <w:tcPr>
            <w:tcW w:w="1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6"/>
                <w:szCs w:val="16"/>
                <w:color w:val="auto"/>
              </w:rPr>
              <w:t>100%</w:t>
            </w:r>
          </w:p>
        </w:tc>
        <w:tc>
          <w:tcPr>
            <w:tcW w:w="3580" w:type="dxa"/>
            <w:vAlign w:val="bottom"/>
          </w:tcPr>
          <w:p>
            <w:pPr>
              <w:ind w:left="19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2,073</w:t>
            </w:r>
          </w:p>
        </w:tc>
        <w:tc>
          <w:tcPr>
            <w:tcW w:w="1640" w:type="dxa"/>
            <w:vAlign w:val="bottom"/>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6,811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(1)  Amounts represent the cumulative catch-up adjustment to be recorded if there was a change in the vesting percentage as of August 31, 2018.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and Stock Unit Awards</w:t>
      </w:r>
    </w:p>
    <w:p>
      <w:pPr>
        <w:spacing w:after="0" w:line="20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Company’s Option Plan plans permit the issuance of restricted stock and restricted stock units. Restricted stock awards are subject to continued employment over a specified period.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2" w:right="21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Restricted Stock and Stock Unit Awards Activity</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 fiscal years 2018, 2017 and 2016, FactSet granted 3,497, 62,400 and 97,319 restricted stock awards to employees of the Company, respectively. These awards have a weighted average grant date fair value of $189.28, $158.26 and $159.64 for fiscal years 2018, 2017 and 2016, respectively.</w:t>
      </w:r>
    </w:p>
    <w:p>
      <w:pPr>
        <w:spacing w:after="0" w:line="152" w:lineRule="exact"/>
        <w:rPr>
          <w:sz w:val="20"/>
          <w:szCs w:val="20"/>
          <w:color w:val="auto"/>
        </w:rPr>
      </w:pPr>
    </w:p>
    <w:p>
      <w:pPr>
        <w:ind w:right="760"/>
        <w:spacing w:after="0" w:line="312" w:lineRule="auto"/>
        <w:rPr>
          <w:sz w:val="20"/>
          <w:szCs w:val="20"/>
          <w:color w:val="auto"/>
        </w:rPr>
      </w:pPr>
      <w:r>
        <w:rPr>
          <w:rFonts w:ascii="Arial" w:cs="Arial" w:eastAsia="Arial" w:hAnsi="Arial"/>
          <w:sz w:val="15"/>
          <w:szCs w:val="15"/>
          <w:color w:val="auto"/>
        </w:rPr>
        <w:t>As of August 31, 2018, a total of 143,003 shares of restricted stock and restricted stock units were unvested and outstanding, which results in unamortized stock-based compensation of $12.0 million to be recognized as stock-based compensation expense over the remaining vesting period of 3.0 years.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gridSpan w:val="2"/>
          </w:tcPr>
          <w:p>
            <w:pPr>
              <w:spacing w:after="0"/>
              <w:rPr>
                <w:sz w:val="20"/>
                <w:szCs w:val="20"/>
                <w:color w:val="auto"/>
              </w:rPr>
            </w:pPr>
            <w:r>
              <w:rPr>
                <w:rFonts w:ascii="Arial" w:cs="Arial" w:eastAsia="Arial" w:hAnsi="Arial"/>
                <w:sz w:val="16"/>
                <w:szCs w:val="16"/>
                <w:color w:val="auto"/>
              </w:rPr>
              <w:t>A summary of restricted stock award activity is as follows: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Weighted Average Grant</w:t>
            </w:r>
          </w:p>
        </w:tc>
        <w:tc>
          <w:tcPr>
            <w:tcW w:w="0" w:type="dxa"/>
            <w:vAlign w:val="bottom"/>
          </w:tcPr>
          <w:p>
            <w:pPr>
              <w:spacing w:after="0"/>
              <w:rPr>
                <w:sz w:val="1"/>
                <w:szCs w:val="1"/>
                <w:color w:val="auto"/>
              </w:rPr>
            </w:pPr>
          </w:p>
        </w:tc>
      </w:tr>
      <w:tr>
        <w:trPr>
          <w:trHeight w:val="205"/>
        </w:trPr>
        <w:tc>
          <w:tcPr>
            <w:tcW w:w="768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award data)</w:t>
            </w:r>
          </w:p>
        </w:tc>
        <w:tc>
          <w:tcPr>
            <w:tcW w:w="1840" w:type="dxa"/>
            <w:vAlign w:val="bottom"/>
            <w:gridSpan w:val="2"/>
          </w:tcPr>
          <w:p>
            <w:pPr>
              <w:jc w:val="right"/>
              <w:ind w:right="280"/>
              <w:spacing w:after="0"/>
              <w:rPr>
                <w:sz w:val="20"/>
                <w:szCs w:val="20"/>
                <w:color w:val="auto"/>
              </w:rPr>
            </w:pPr>
            <w:r>
              <w:rPr>
                <w:rFonts w:ascii="Arial" w:cs="Arial" w:eastAsia="Arial" w:hAnsi="Arial"/>
                <w:sz w:val="16"/>
                <w:szCs w:val="16"/>
                <w:color w:val="auto"/>
              </w:rPr>
              <w:t>Number Outstanding</w:t>
            </w:r>
          </w:p>
        </w:tc>
        <w:tc>
          <w:tcPr>
            <w:tcW w:w="1920" w:type="dxa"/>
            <w:vAlign w:val="bottom"/>
            <w:gridSpan w:val="3"/>
          </w:tcPr>
          <w:p>
            <w:pPr>
              <w:ind w:left="80"/>
              <w:spacing w:after="0"/>
              <w:rPr>
                <w:sz w:val="20"/>
                <w:szCs w:val="20"/>
                <w:color w:val="auto"/>
              </w:rPr>
            </w:pPr>
            <w:r>
              <w:rPr>
                <w:rFonts w:ascii="Arial" w:cs="Arial" w:eastAsia="Arial" w:hAnsi="Arial"/>
                <w:sz w:val="16"/>
                <w:szCs w:val="16"/>
                <w:color w:val="auto"/>
                <w:w w:val="95"/>
              </w:rPr>
              <w:t>Date Fair Value Per Award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2015</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313</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Granted (restricted stock and stock units)</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97</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159.64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120"/>
              <w:spacing w:after="0" w:line="228" w:lineRule="exact"/>
              <w:rPr>
                <w:sz w:val="20"/>
                <w:szCs w:val="20"/>
                <w:color w:val="auto"/>
              </w:rPr>
            </w:pPr>
            <w:r>
              <w:rPr>
                <w:rFonts w:ascii="Arial" w:cs="Arial" w:eastAsia="Arial" w:hAnsi="Arial"/>
                <w:sz w:val="16"/>
                <w:szCs w:val="16"/>
                <w:color w:val="auto"/>
              </w:rPr>
              <w:t>Vested</w:t>
            </w:r>
            <w:r>
              <w:rPr>
                <w:rFonts w:ascii="Arial" w:cs="Arial" w:eastAsia="Arial" w:hAnsi="Arial"/>
                <w:sz w:val="26"/>
                <w:szCs w:val="26"/>
                <w:color w:val="auto"/>
                <w:vertAlign w:val="superscript"/>
              </w:rPr>
              <w:t>(1)</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Canceled/forfeited</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(79)</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112.51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2016</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262</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Granted (restricted stock and stock units)</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158.26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120"/>
              <w:spacing w:after="0" w:line="228" w:lineRule="exact"/>
              <w:rPr>
                <w:sz w:val="20"/>
                <w:szCs w:val="20"/>
                <w:color w:val="auto"/>
              </w:rPr>
            </w:pPr>
            <w:r>
              <w:rPr>
                <w:rFonts w:ascii="Arial" w:cs="Arial" w:eastAsia="Arial" w:hAnsi="Arial"/>
                <w:sz w:val="16"/>
                <w:szCs w:val="16"/>
                <w:color w:val="auto"/>
              </w:rPr>
              <w:t>Vested</w:t>
            </w:r>
            <w:r>
              <w:rPr>
                <w:rFonts w:ascii="Arial" w:cs="Arial" w:eastAsia="Arial" w:hAnsi="Arial"/>
                <w:sz w:val="26"/>
                <w:szCs w:val="26"/>
                <w:color w:val="auto"/>
                <w:vertAlign w:val="superscript"/>
              </w:rPr>
              <w:t>(2)</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Canceled/forfeited</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130.32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2017</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Granted (restricted stock and stock units)</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189.28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60" w:type="dxa"/>
            <w:vAlign w:val="bottom"/>
            <w:shd w:val="clear" w:color="auto" w:fill="CCEEFF"/>
          </w:tcPr>
          <w:p>
            <w:pPr>
              <w:ind w:left="120"/>
              <w:spacing w:after="0" w:line="228" w:lineRule="exact"/>
              <w:rPr>
                <w:sz w:val="20"/>
                <w:szCs w:val="20"/>
                <w:color w:val="auto"/>
              </w:rPr>
            </w:pPr>
            <w:r>
              <w:rPr>
                <w:rFonts w:ascii="Arial" w:cs="Arial" w:eastAsia="Arial" w:hAnsi="Arial"/>
                <w:sz w:val="16"/>
                <w:szCs w:val="16"/>
                <w:color w:val="auto"/>
              </w:rPr>
              <w:t>Vested</w:t>
            </w:r>
            <w:r>
              <w:rPr>
                <w:rFonts w:ascii="Arial" w:cs="Arial" w:eastAsia="Arial" w:hAnsi="Arial"/>
                <w:sz w:val="26"/>
                <w:szCs w:val="26"/>
                <w:color w:val="auto"/>
                <w:vertAlign w:val="superscript"/>
              </w:rPr>
              <w:t>(3)</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60" w:type="dxa"/>
            <w:vAlign w:val="bottom"/>
          </w:tcPr>
          <w:p>
            <w:pPr>
              <w:ind w:left="120"/>
              <w:spacing w:after="0"/>
              <w:rPr>
                <w:sz w:val="20"/>
                <w:szCs w:val="20"/>
                <w:color w:val="auto"/>
              </w:rPr>
            </w:pPr>
            <w:r>
              <w:rPr>
                <w:rFonts w:ascii="Arial" w:cs="Arial" w:eastAsia="Arial" w:hAnsi="Arial"/>
                <w:sz w:val="16"/>
                <w:szCs w:val="16"/>
                <w:color w:val="auto"/>
              </w:rPr>
              <w:t>Canceled/forfeited</w:t>
            </w:r>
          </w:p>
        </w:tc>
        <w:tc>
          <w:tcPr>
            <w:tcW w:w="184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116.29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2018</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139.34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right="720" w:hanging="280"/>
        <w:spacing w:after="0" w:line="231" w:lineRule="auto"/>
        <w:tabs>
          <w:tab w:leader="none" w:pos="420"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69,244 restricted stock awards that vested during fiscal 2016 were comprised of: 37,079 of awards relating to restricted stock granted on November 8, 2010 (remaining 40%) and 14,683 restricted stock awards that were granted on April 8, 2013, which cliff vest 20% annually upon the anniversary date of the grant. Additionally, 17,482 awards vested related to other grants.</w:t>
      </w:r>
    </w:p>
    <w:p>
      <w:pPr>
        <w:spacing w:after="0" w:line="98" w:lineRule="exact"/>
        <w:rPr>
          <w:rFonts w:ascii="Arial" w:cs="Arial" w:eastAsia="Arial" w:hAnsi="Arial"/>
          <w:sz w:val="21"/>
          <w:szCs w:val="21"/>
          <w:i w:val="1"/>
          <w:iCs w:val="1"/>
          <w:color w:val="auto"/>
          <w:vertAlign w:val="superscript"/>
        </w:rPr>
      </w:pPr>
    </w:p>
    <w:p>
      <w:pPr>
        <w:ind w:left="420" w:right="120" w:hanging="280"/>
        <w:spacing w:after="0" w:line="236" w:lineRule="auto"/>
        <w:tabs>
          <w:tab w:leader="none" w:pos="420"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132,194 restricted stock awards that vested during fiscal 2017 were comprised of: 73,522 of awards relating to restricted stock granted on November 1, 2013, which cliff vested 60% after three years, 17,328 of awards relating to restricted stock granted on October 16, 2015, which vested 20% annually upon the anniversary date of the grant and 30,162 of awards relating to restricted stock granted on October 16, 2015, which were modified to accelerate vest 100% in conjunction with employee severance. Additionally, 11,182 awards vested related to other grants.</w:t>
      </w:r>
    </w:p>
    <w:p>
      <w:pPr>
        <w:spacing w:after="0" w:line="96" w:lineRule="exact"/>
        <w:rPr>
          <w:rFonts w:ascii="Arial" w:cs="Arial" w:eastAsia="Arial" w:hAnsi="Arial"/>
          <w:sz w:val="21"/>
          <w:szCs w:val="21"/>
          <w:i w:val="1"/>
          <w:iCs w:val="1"/>
          <w:color w:val="auto"/>
          <w:vertAlign w:val="superscript"/>
        </w:rPr>
      </w:pPr>
    </w:p>
    <w:p>
      <w:pPr>
        <w:ind w:left="420" w:right="20" w:hanging="280"/>
        <w:spacing w:after="0" w:line="231" w:lineRule="auto"/>
        <w:tabs>
          <w:tab w:leader="none" w:pos="420"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26,599 restricted stock awards that vested during fiscal 2018 were comprised of: 9,765 of awards relating to restricted stock granted on October 16, 2015 and 8,600 of awards relating to restricted stock granted on June 30, 2017 which vest at a rate of 20% annually upon the anniversary date of the grant, respectively. Additionally, 8,234 awards vested related to other grants.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5"/>
        </w:trPr>
        <w:tc>
          <w:tcPr>
            <w:tcW w:w="6760" w:type="dxa"/>
            <w:vAlign w:val="bottom"/>
            <w:gridSpan w:val="2"/>
          </w:tcPr>
          <w:p>
            <w:pPr>
              <w:spacing w:after="0"/>
              <w:rPr>
                <w:sz w:val="20"/>
                <w:szCs w:val="20"/>
                <w:color w:val="auto"/>
              </w:rPr>
            </w:pPr>
            <w:r>
              <w:rPr>
                <w:rFonts w:ascii="Arial" w:cs="Arial" w:eastAsia="Arial" w:hAnsi="Arial"/>
                <w:sz w:val="16"/>
                <w:szCs w:val="16"/>
                <w:color w:val="auto"/>
              </w:rPr>
              <w:t>Share-based Awards Available for Grant</w:t>
            </w: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760" w:type="dxa"/>
            <w:vAlign w:val="bottom"/>
            <w:gridSpan w:val="2"/>
          </w:tcPr>
          <w:p>
            <w:pPr>
              <w:spacing w:after="0"/>
              <w:rPr>
                <w:sz w:val="20"/>
                <w:szCs w:val="20"/>
                <w:color w:val="auto"/>
              </w:rPr>
            </w:pPr>
            <w:r>
              <w:rPr>
                <w:rFonts w:ascii="Arial" w:cs="Arial" w:eastAsia="Arial" w:hAnsi="Arial"/>
                <w:sz w:val="16"/>
                <w:szCs w:val="16"/>
                <w:color w:val="auto"/>
              </w:rPr>
              <w:t>A summary of share-based awards available for grant is as follows:</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Share-based Awards</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Share-based Awards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Available for Grant under the</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Available for Grant under the</w:t>
            </w:r>
          </w:p>
        </w:tc>
        <w:tc>
          <w:tcPr>
            <w:tcW w:w="0" w:type="dxa"/>
            <w:vAlign w:val="bottom"/>
          </w:tcPr>
          <w:p>
            <w:pPr>
              <w:spacing w:after="0"/>
              <w:rPr>
                <w:sz w:val="1"/>
                <w:szCs w:val="1"/>
                <w:color w:val="auto"/>
              </w:rPr>
            </w:pPr>
          </w:p>
        </w:tc>
      </w:tr>
      <w:tr>
        <w:trPr>
          <w:trHeight w:val="205"/>
        </w:trPr>
        <w:tc>
          <w:tcPr>
            <w:tcW w:w="676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Employee Stock Option Plan</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Non-Employee Stock Option 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2015</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2,441</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Granted – non performance-based options</w:t>
            </w:r>
          </w:p>
        </w:tc>
        <w:tc>
          <w:tcPr>
            <w:tcW w:w="2380" w:type="dxa"/>
            <w:vAlign w:val="bottom"/>
            <w:gridSpan w:val="2"/>
          </w:tcPr>
          <w:p>
            <w:pPr>
              <w:jc w:val="right"/>
              <w:ind w:right="160"/>
              <w:spacing w:after="0"/>
              <w:rPr>
                <w:sz w:val="20"/>
                <w:szCs w:val="20"/>
                <w:color w:val="auto"/>
              </w:rPr>
            </w:pPr>
            <w:r>
              <w:rPr>
                <w:rFonts w:ascii="Arial" w:cs="Arial" w:eastAsia="Arial" w:hAnsi="Arial"/>
                <w:sz w:val="16"/>
                <w:szCs w:val="16"/>
                <w:color w:val="auto"/>
              </w:rPr>
              <w:t>(622)</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performance-based options</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(551)</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Granted – non-employee Directors grant</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ind w:left="120"/>
              <w:spacing w:after="0" w:line="228" w:lineRule="exact"/>
              <w:rPr>
                <w:sz w:val="20"/>
                <w:szCs w:val="20"/>
                <w:color w:val="auto"/>
              </w:rPr>
            </w:pPr>
            <w:r>
              <w:rPr>
                <w:rFonts w:ascii="Arial" w:cs="Arial" w:eastAsia="Arial" w:hAnsi="Arial"/>
                <w:sz w:val="16"/>
                <w:szCs w:val="16"/>
                <w:color w:val="auto"/>
              </w:rPr>
              <w:t>Restricted stock awards granted</w:t>
            </w:r>
            <w:r>
              <w:rPr>
                <w:rFonts w:ascii="Arial" w:cs="Arial" w:eastAsia="Arial" w:hAnsi="Arial"/>
                <w:sz w:val="26"/>
                <w:szCs w:val="26"/>
                <w:color w:val="auto"/>
                <w:vertAlign w:val="superscript"/>
              </w:rPr>
              <w:t>(1)</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(243)</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line="216" w:lineRule="exact"/>
              <w:rPr>
                <w:sz w:val="20"/>
                <w:szCs w:val="20"/>
                <w:color w:val="auto"/>
              </w:rPr>
            </w:pPr>
            <w:r>
              <w:rPr>
                <w:rFonts w:ascii="Arial" w:cs="Arial" w:eastAsia="Arial" w:hAnsi="Arial"/>
                <w:sz w:val="16"/>
                <w:szCs w:val="16"/>
                <w:color w:val="auto"/>
              </w:rPr>
              <w:t>Share-based awards canceled/forfeited</w:t>
            </w:r>
            <w:r>
              <w:rPr>
                <w:rFonts w:ascii="Arial" w:cs="Arial" w:eastAsia="Arial" w:hAnsi="Arial"/>
                <w:sz w:val="25"/>
                <w:szCs w:val="25"/>
                <w:color w:val="auto"/>
                <w:vertAlign w:val="superscript"/>
              </w:rPr>
              <w:t>(2)</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466</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2016</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1,491</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Granted – non performance-based options</w:t>
            </w:r>
          </w:p>
        </w:tc>
        <w:tc>
          <w:tcPr>
            <w:tcW w:w="2380" w:type="dxa"/>
            <w:vAlign w:val="bottom"/>
            <w:gridSpan w:val="2"/>
          </w:tcPr>
          <w:p>
            <w:pPr>
              <w:jc w:val="right"/>
              <w:ind w:right="160"/>
              <w:spacing w:after="0"/>
              <w:rPr>
                <w:sz w:val="20"/>
                <w:szCs w:val="20"/>
                <w:color w:val="auto"/>
              </w:rPr>
            </w:pPr>
            <w:r>
              <w:rPr>
                <w:rFonts w:ascii="Arial" w:cs="Arial" w:eastAsia="Arial" w:hAnsi="Arial"/>
                <w:sz w:val="16"/>
                <w:szCs w:val="16"/>
                <w:color w:val="auto"/>
              </w:rPr>
              <w:t>(713)</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performance-based options</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(291)</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Granted – non-employee Directors grant</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ind w:left="120"/>
              <w:spacing w:after="0" w:line="228" w:lineRule="exact"/>
              <w:rPr>
                <w:sz w:val="20"/>
                <w:szCs w:val="20"/>
                <w:color w:val="auto"/>
              </w:rPr>
            </w:pPr>
            <w:r>
              <w:rPr>
                <w:rFonts w:ascii="Arial" w:cs="Arial" w:eastAsia="Arial" w:hAnsi="Arial"/>
                <w:sz w:val="16"/>
                <w:szCs w:val="16"/>
                <w:color w:val="auto"/>
              </w:rPr>
              <w:t>Restricted stock awards granted</w:t>
            </w:r>
            <w:r>
              <w:rPr>
                <w:rFonts w:ascii="Arial" w:cs="Arial" w:eastAsia="Arial" w:hAnsi="Arial"/>
                <w:sz w:val="26"/>
                <w:szCs w:val="26"/>
                <w:color w:val="auto"/>
                <w:vertAlign w:val="superscript"/>
              </w:rPr>
              <w:t>(1)</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20"/>
              <w:spacing w:after="0" w:line="216" w:lineRule="exact"/>
              <w:rPr>
                <w:sz w:val="20"/>
                <w:szCs w:val="20"/>
                <w:color w:val="auto"/>
              </w:rPr>
            </w:pPr>
            <w:r>
              <w:rPr>
                <w:rFonts w:ascii="Arial" w:cs="Arial" w:eastAsia="Arial" w:hAnsi="Arial"/>
                <w:sz w:val="16"/>
                <w:szCs w:val="16"/>
                <w:color w:val="auto"/>
              </w:rPr>
              <w:t>Share-based awards canceled/forfeited</w:t>
            </w:r>
            <w:r>
              <w:rPr>
                <w:rFonts w:ascii="Arial" w:cs="Arial" w:eastAsia="Arial" w:hAnsi="Arial"/>
                <w:sz w:val="25"/>
                <w:szCs w:val="25"/>
                <w:color w:val="auto"/>
                <w:vertAlign w:val="superscript"/>
              </w:rPr>
              <w:t>(2)</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566</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Balance at August 31, 2017</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897</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Increase in the number of shares available for issuance</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5,750</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non performance-based options</w:t>
            </w:r>
          </w:p>
        </w:tc>
        <w:tc>
          <w:tcPr>
            <w:tcW w:w="2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(575)</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tcPr>
          <w:p>
            <w:pPr>
              <w:ind w:left="120"/>
              <w:spacing w:after="0"/>
              <w:rPr>
                <w:sz w:val="20"/>
                <w:szCs w:val="20"/>
                <w:color w:val="auto"/>
              </w:rPr>
            </w:pPr>
            <w:r>
              <w:rPr>
                <w:rFonts w:ascii="Arial" w:cs="Arial" w:eastAsia="Arial" w:hAnsi="Arial"/>
                <w:sz w:val="16"/>
                <w:szCs w:val="16"/>
                <w:color w:val="auto"/>
              </w:rPr>
              <w:t>Granted – performance-based options</w:t>
            </w:r>
          </w:p>
        </w:tc>
        <w:tc>
          <w:tcPr>
            <w:tcW w:w="238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 – non-employee Directors grant</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120"/>
              <w:spacing w:after="0" w:line="228" w:lineRule="exact"/>
              <w:rPr>
                <w:sz w:val="20"/>
                <w:szCs w:val="20"/>
                <w:color w:val="auto"/>
              </w:rPr>
            </w:pPr>
            <w:r>
              <w:rPr>
                <w:rFonts w:ascii="Arial" w:cs="Arial" w:eastAsia="Arial" w:hAnsi="Arial"/>
                <w:sz w:val="16"/>
                <w:szCs w:val="16"/>
                <w:color w:val="auto"/>
              </w:rPr>
              <w:t>Restricted stock awards granted</w:t>
            </w:r>
            <w:r>
              <w:rPr>
                <w:rFonts w:ascii="Arial" w:cs="Arial" w:eastAsia="Arial" w:hAnsi="Arial"/>
                <w:sz w:val="26"/>
                <w:szCs w:val="26"/>
                <w:color w:val="auto"/>
                <w:vertAlign w:val="superscript"/>
              </w:rPr>
              <w:t>(1)</w:t>
            </w:r>
          </w:p>
        </w:tc>
        <w:tc>
          <w:tcPr>
            <w:tcW w:w="238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Share-based awards canceled/forfeited</w:t>
            </w:r>
            <w:r>
              <w:rPr>
                <w:rFonts w:ascii="Arial" w:cs="Arial" w:eastAsia="Arial" w:hAnsi="Arial"/>
                <w:sz w:val="25"/>
                <w:szCs w:val="25"/>
                <w:color w:val="auto"/>
                <w:vertAlign w:val="superscript"/>
              </w:rPr>
              <w:t>(2)</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252</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Balance at August 31, 2018</w:t>
            </w:r>
          </w:p>
        </w:tc>
        <w:tc>
          <w:tcPr>
            <w:tcW w:w="2380" w:type="dxa"/>
            <w:vAlign w:val="bottom"/>
            <w:gridSpan w:val="2"/>
          </w:tcPr>
          <w:p>
            <w:pPr>
              <w:jc w:val="right"/>
              <w:ind w:right="220"/>
              <w:spacing w:after="0"/>
              <w:rPr>
                <w:sz w:val="20"/>
                <w:szCs w:val="20"/>
                <w:color w:val="auto"/>
              </w:rPr>
            </w:pPr>
            <w:r>
              <w:rPr>
                <w:rFonts w:ascii="Arial" w:cs="Arial" w:eastAsia="Arial" w:hAnsi="Arial"/>
                <w:sz w:val="16"/>
                <w:szCs w:val="16"/>
                <w:color w:val="auto"/>
              </w:rPr>
              <w:t>6,298</w:t>
            </w:r>
          </w:p>
        </w:tc>
        <w:tc>
          <w:tcPr>
            <w:tcW w:w="2300" w:type="dxa"/>
            <w:vAlign w:val="bottom"/>
            <w:gridSpan w:val="2"/>
          </w:tcPr>
          <w:p>
            <w:pPr>
              <w:jc w:val="right"/>
              <w:ind w:right="12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280"/>
        <w:spacing w:after="0"/>
        <w:tabs>
          <w:tab w:leader="none" w:pos="420" w:val="left"/>
        </w:tabs>
        <w:numPr>
          <w:ilvl w:val="0"/>
          <w:numId w:val="2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Each restricted stock award granted is equivalent to 2.5 shares granted under the Company’s Option Plan.</w:t>
      </w:r>
    </w:p>
    <w:p>
      <w:pPr>
        <w:spacing w:after="0" w:line="179" w:lineRule="exact"/>
        <w:rPr>
          <w:rFonts w:ascii="Arial" w:cs="Arial" w:eastAsia="Arial" w:hAnsi="Arial"/>
          <w:sz w:val="21"/>
          <w:szCs w:val="21"/>
          <w:i w:val="1"/>
          <w:iCs w:val="1"/>
          <w:color w:val="auto"/>
          <w:vertAlign w:val="superscript"/>
        </w:rPr>
      </w:pPr>
    </w:p>
    <w:p>
      <w:pPr>
        <w:ind w:left="420" w:right="440" w:hanging="280"/>
        <w:spacing w:after="0" w:line="223" w:lineRule="auto"/>
        <w:tabs>
          <w:tab w:leader="none" w:pos="420" w:val="left"/>
        </w:tabs>
        <w:numPr>
          <w:ilvl w:val="0"/>
          <w:numId w:val="29"/>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Under the Company’s Option Plan, for each restricted stock award canceled/forfeited, an equivalent of 2.5 shares is added back to the available share-based awards balance.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Employee Stock Purchase Plan</w:t>
      </w:r>
    </w:p>
    <w:p>
      <w:pPr>
        <w:spacing w:after="0" w:line="200"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On December 19, 2017, the Company’s stockholders approved and amended and restated 2008 Employee Stock Purchase Plan, as Amended and Restated, which was renamed the Employee Stock Purchase Plan, as Amended and Restated (the “ESPP”). Shares of FactSet common stock may be purchased by eligible employees under ESPP in three-month intervals at a purchase price equal to at least 85% of the lesser of the fair market value of the Company’s common stock on either the first day or the last day of each three-month offering period. Employee purchases may not exceed 10% of their gross compensation and a $25,000 contribution limit during an offering period.</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During fiscal 2018, employees purchased 64,230 shares at a weighted average price of $160.34 as compared to 75,372 shares at a weighted average price of $136.34 for fiscal 2017. At August 31, 2018, the ESPP had 268,942 shares reserved for future issuance.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401(k) Plan</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established its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five-year graduated vesting schedule. All full-time, U.S. employees are eligible for the matching contribution by the Company. The Company contributed $11.6 million, $10.1 million, and $9.7 million in matching contributions to employee 401(k) accounts during fiscal 2018, 2017 and 2016, respectively.</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16. STOCK-BASED COMPENSATION</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Company recognized total stock-based compensation expense of $31.5 million, $34.2 million and $29.8 million in fiscal 2018, 2017 and 2016, respectively. As of August 31, 2018, $71.7 million of total unrecognized compensation expense related to non-vested awards is expected to be recognized over a weighted average period of 3.0 years. There was no stock-based compensation capitalized as of August 31, 2018 and 2017,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Employee Stock Option Fair Value Determinations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Q1 2018</w:t>
            </w:r>
          </w:p>
        </w:tc>
        <w:tc>
          <w:tcPr>
            <w:tcW w:w="10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89"/>
              </w:rPr>
              <w:t>553,942 non performance-based employee stock options were granted at a weighted average exercise price of $189.98 and a weighted average estimated fair</w:t>
            </w:r>
          </w:p>
        </w:tc>
        <w:tc>
          <w:tcPr>
            <w:tcW w:w="120" w:type="dxa"/>
            <w:vAlign w:val="bottom"/>
          </w:tcPr>
          <w:p>
            <w:pPr>
              <w:spacing w:after="0"/>
              <w:rPr>
                <w:sz w:val="16"/>
                <w:szCs w:val="16"/>
                <w:color w:val="auto"/>
              </w:rPr>
            </w:pPr>
          </w:p>
        </w:tc>
      </w:tr>
      <w:tr>
        <w:trPr>
          <w:trHeight w:val="205"/>
        </w:trPr>
        <w:tc>
          <w:tcPr>
            <w:tcW w:w="900" w:type="dxa"/>
            <w:vAlign w:val="bottom"/>
            <w:shd w:val="clear" w:color="auto" w:fill="CCEEFF"/>
          </w:tcPr>
          <w:p>
            <w:pPr>
              <w:spacing w:after="0"/>
              <w:rPr>
                <w:sz w:val="17"/>
                <w:szCs w:val="17"/>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value of $48.27 per share.</w:t>
            </w:r>
          </w:p>
        </w:tc>
        <w:tc>
          <w:tcPr>
            <w:tcW w:w="120" w:type="dxa"/>
            <w:vAlign w:val="bottom"/>
          </w:tcPr>
          <w:p>
            <w:pPr>
              <w:spacing w:after="0"/>
              <w:rPr>
                <w:sz w:val="17"/>
                <w:szCs w:val="17"/>
                <w:color w:val="auto"/>
              </w:rPr>
            </w:pPr>
          </w:p>
        </w:tc>
      </w:tr>
      <w:tr>
        <w:trPr>
          <w:trHeight w:val="180"/>
        </w:trPr>
        <w:tc>
          <w:tcPr>
            <w:tcW w:w="900" w:type="dxa"/>
            <w:vAlign w:val="bottom"/>
          </w:tcPr>
          <w:p>
            <w:pPr>
              <w:spacing w:after="0" w:line="180" w:lineRule="exact"/>
              <w:rPr>
                <w:sz w:val="20"/>
                <w:szCs w:val="20"/>
                <w:color w:val="auto"/>
              </w:rPr>
            </w:pPr>
            <w:r>
              <w:rPr>
                <w:rFonts w:ascii="Arial" w:cs="Arial" w:eastAsia="Arial" w:hAnsi="Arial"/>
                <w:sz w:val="16"/>
                <w:szCs w:val="16"/>
                <w:b w:val="1"/>
                <w:bCs w:val="1"/>
                <w:color w:val="auto"/>
              </w:rPr>
              <w:t>Q2 2018</w:t>
            </w:r>
          </w:p>
        </w:tc>
        <w:tc>
          <w:tcPr>
            <w:tcW w:w="10420" w:type="dxa"/>
            <w:vAlign w:val="bottom"/>
          </w:tcPr>
          <w:p>
            <w:pPr>
              <w:ind w:left="320"/>
              <w:spacing w:after="0" w:line="180" w:lineRule="exact"/>
              <w:rPr>
                <w:sz w:val="20"/>
                <w:szCs w:val="20"/>
                <w:color w:val="auto"/>
              </w:rPr>
            </w:pPr>
            <w:r>
              <w:rPr>
                <w:rFonts w:ascii="Arial" w:cs="Arial" w:eastAsia="Arial" w:hAnsi="Arial"/>
                <w:sz w:val="16"/>
                <w:szCs w:val="16"/>
                <w:color w:val="auto"/>
                <w:w w:val="90"/>
              </w:rPr>
              <w:t>15,363 non performance-based employee stock options were granted at a weighted average exercise price of $192.11 and a weighted average estimated fair</w:t>
            </w:r>
          </w:p>
        </w:tc>
        <w:tc>
          <w:tcPr>
            <w:tcW w:w="120" w:type="dxa"/>
            <w:vAlign w:val="bottom"/>
          </w:tcPr>
          <w:p>
            <w:pPr>
              <w:spacing w:after="0"/>
              <w:rPr>
                <w:sz w:val="15"/>
                <w:szCs w:val="15"/>
                <w:color w:val="auto"/>
              </w:rPr>
            </w:pPr>
          </w:p>
        </w:tc>
      </w:tr>
      <w:tr>
        <w:trPr>
          <w:trHeight w:val="205"/>
        </w:trPr>
        <w:tc>
          <w:tcPr>
            <w:tcW w:w="900" w:type="dxa"/>
            <w:vAlign w:val="bottom"/>
          </w:tcPr>
          <w:p>
            <w:pPr>
              <w:spacing w:after="0"/>
              <w:rPr>
                <w:sz w:val="17"/>
                <w:szCs w:val="17"/>
                <w:color w:val="auto"/>
              </w:rPr>
            </w:pPr>
          </w:p>
        </w:tc>
        <w:tc>
          <w:tcPr>
            <w:tcW w:w="10420" w:type="dxa"/>
            <w:vAlign w:val="bottom"/>
          </w:tcPr>
          <w:p>
            <w:pPr>
              <w:ind w:left="320"/>
              <w:spacing w:after="0"/>
              <w:rPr>
                <w:sz w:val="20"/>
                <w:szCs w:val="20"/>
                <w:color w:val="auto"/>
              </w:rPr>
            </w:pPr>
            <w:r>
              <w:rPr>
                <w:rFonts w:ascii="Arial" w:cs="Arial" w:eastAsia="Arial" w:hAnsi="Arial"/>
                <w:sz w:val="16"/>
                <w:szCs w:val="16"/>
                <w:color w:val="auto"/>
              </w:rPr>
              <w:t>value of $48.82 per share.</w:t>
            </w:r>
          </w:p>
        </w:tc>
        <w:tc>
          <w:tcPr>
            <w:tcW w:w="120" w:type="dxa"/>
            <w:vAlign w:val="bottom"/>
          </w:tcPr>
          <w:p>
            <w:pPr>
              <w:spacing w:after="0"/>
              <w:rPr>
                <w:sz w:val="17"/>
                <w:szCs w:val="17"/>
                <w:color w:val="auto"/>
              </w:rPr>
            </w:pPr>
          </w:p>
        </w:tc>
      </w:tr>
      <w:tr>
        <w:trPr>
          <w:trHeight w:val="192"/>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Q3 2018</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There were no employee stock options granted during the three-month ended May 31, 2018.</w:t>
            </w:r>
          </w:p>
        </w:tc>
        <w:tc>
          <w:tcPr>
            <w:tcW w:w="120" w:type="dxa"/>
            <w:vAlign w:val="bottom"/>
          </w:tcPr>
          <w:p>
            <w:pPr>
              <w:spacing w:after="0"/>
              <w:rPr>
                <w:sz w:val="16"/>
                <w:szCs w:val="16"/>
                <w:color w:val="auto"/>
              </w:rPr>
            </w:pPr>
          </w:p>
        </w:tc>
      </w:tr>
      <w:tr>
        <w:trPr>
          <w:trHeight w:val="180"/>
        </w:trPr>
        <w:tc>
          <w:tcPr>
            <w:tcW w:w="900" w:type="dxa"/>
            <w:vAlign w:val="bottom"/>
          </w:tcPr>
          <w:p>
            <w:pPr>
              <w:spacing w:after="0" w:line="180" w:lineRule="exact"/>
              <w:rPr>
                <w:sz w:val="20"/>
                <w:szCs w:val="20"/>
                <w:color w:val="auto"/>
              </w:rPr>
            </w:pPr>
            <w:r>
              <w:rPr>
                <w:rFonts w:ascii="Arial" w:cs="Arial" w:eastAsia="Arial" w:hAnsi="Arial"/>
                <w:sz w:val="16"/>
                <w:szCs w:val="16"/>
                <w:b w:val="1"/>
                <w:bCs w:val="1"/>
                <w:color w:val="auto"/>
              </w:rPr>
              <w:t>Q4 2018</w:t>
            </w:r>
          </w:p>
        </w:tc>
        <w:tc>
          <w:tcPr>
            <w:tcW w:w="10420" w:type="dxa"/>
            <w:vAlign w:val="bottom"/>
          </w:tcPr>
          <w:p>
            <w:pPr>
              <w:ind w:left="320"/>
              <w:spacing w:after="0" w:line="180" w:lineRule="exact"/>
              <w:rPr>
                <w:sz w:val="20"/>
                <w:szCs w:val="20"/>
                <w:color w:val="auto"/>
              </w:rPr>
            </w:pPr>
            <w:r>
              <w:rPr>
                <w:rFonts w:ascii="Arial" w:cs="Arial" w:eastAsia="Arial" w:hAnsi="Arial"/>
                <w:sz w:val="16"/>
                <w:szCs w:val="16"/>
                <w:color w:val="auto"/>
                <w:w w:val="93"/>
              </w:rPr>
              <w:t>5,848 non performance-based employee stock options and 16,512 performance-based employee stock options were both granted at a weighted average</w:t>
            </w:r>
          </w:p>
        </w:tc>
        <w:tc>
          <w:tcPr>
            <w:tcW w:w="120" w:type="dxa"/>
            <w:vAlign w:val="bottom"/>
          </w:tcPr>
          <w:p>
            <w:pPr>
              <w:spacing w:after="0"/>
              <w:rPr>
                <w:sz w:val="15"/>
                <w:szCs w:val="15"/>
                <w:color w:val="auto"/>
              </w:rPr>
            </w:pPr>
          </w:p>
        </w:tc>
      </w:tr>
      <w:tr>
        <w:trPr>
          <w:trHeight w:val="205"/>
        </w:trPr>
        <w:tc>
          <w:tcPr>
            <w:tcW w:w="900" w:type="dxa"/>
            <w:vAlign w:val="bottom"/>
            <w:tcBorders>
              <w:bottom w:val="single" w:sz="8" w:color="auto"/>
            </w:tcBorders>
          </w:tcPr>
          <w:p>
            <w:pPr>
              <w:spacing w:after="0"/>
              <w:rPr>
                <w:sz w:val="17"/>
                <w:szCs w:val="17"/>
                <w:color w:val="auto"/>
              </w:rPr>
            </w:pPr>
          </w:p>
        </w:tc>
        <w:tc>
          <w:tcPr>
            <w:tcW w:w="104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exercise price of $200.20 with a weighted average estimated fair value of $50.87 per share.</w:t>
            </w:r>
          </w:p>
        </w:tc>
        <w:tc>
          <w:tcPr>
            <w:tcW w:w="120" w:type="dxa"/>
            <w:vAlign w:val="bottom"/>
          </w:tcPr>
          <w:p>
            <w:pPr>
              <w:spacing w:after="0"/>
              <w:rPr>
                <w:sz w:val="17"/>
                <w:szCs w:val="17"/>
                <w:color w:val="auto"/>
              </w:rPr>
            </w:pPr>
          </w:p>
        </w:tc>
      </w:tr>
      <w:tr>
        <w:trPr>
          <w:trHeight w:val="172"/>
        </w:trPr>
        <w:tc>
          <w:tcPr>
            <w:tcW w:w="90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Q1 2017</w:t>
            </w:r>
          </w:p>
        </w:tc>
        <w:tc>
          <w:tcPr>
            <w:tcW w:w="1042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w w:val="91"/>
              </w:rPr>
              <w:t>671,263 non performance-based employee stock options and 22,460 performance-based employee stock options were both granted at a weighted average</w:t>
            </w:r>
          </w:p>
        </w:tc>
        <w:tc>
          <w:tcPr>
            <w:tcW w:w="120" w:type="dxa"/>
            <w:vAlign w:val="bottom"/>
          </w:tcPr>
          <w:p>
            <w:pPr>
              <w:spacing w:after="0"/>
              <w:rPr>
                <w:sz w:val="14"/>
                <w:szCs w:val="14"/>
                <w:color w:val="auto"/>
              </w:rPr>
            </w:pPr>
          </w:p>
        </w:tc>
      </w:tr>
      <w:tr>
        <w:trPr>
          <w:trHeight w:val="205"/>
        </w:trPr>
        <w:tc>
          <w:tcPr>
            <w:tcW w:w="900" w:type="dxa"/>
            <w:vAlign w:val="bottom"/>
            <w:shd w:val="clear" w:color="auto" w:fill="CCEEFF"/>
          </w:tcPr>
          <w:p>
            <w:pPr>
              <w:spacing w:after="0"/>
              <w:rPr>
                <w:sz w:val="17"/>
                <w:szCs w:val="17"/>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price of $152.51 with a weighted average estimated fair value of $39.60 per share.</w:t>
            </w:r>
          </w:p>
        </w:tc>
        <w:tc>
          <w:tcPr>
            <w:tcW w:w="120" w:type="dxa"/>
            <w:vAlign w:val="bottom"/>
          </w:tcPr>
          <w:p>
            <w:pPr>
              <w:spacing w:after="0"/>
              <w:rPr>
                <w:sz w:val="17"/>
                <w:szCs w:val="17"/>
                <w:color w:val="auto"/>
              </w:rPr>
            </w:pPr>
          </w:p>
        </w:tc>
      </w:tr>
      <w:tr>
        <w:trPr>
          <w:trHeight w:val="180"/>
        </w:trPr>
        <w:tc>
          <w:tcPr>
            <w:tcW w:w="900" w:type="dxa"/>
            <w:vAlign w:val="bottom"/>
          </w:tcPr>
          <w:p>
            <w:pPr>
              <w:spacing w:after="0" w:line="180" w:lineRule="exact"/>
              <w:rPr>
                <w:sz w:val="20"/>
                <w:szCs w:val="20"/>
                <w:color w:val="auto"/>
              </w:rPr>
            </w:pPr>
            <w:r>
              <w:rPr>
                <w:rFonts w:ascii="Arial" w:cs="Arial" w:eastAsia="Arial" w:hAnsi="Arial"/>
                <w:sz w:val="16"/>
                <w:szCs w:val="16"/>
                <w:b w:val="1"/>
                <w:bCs w:val="1"/>
                <w:color w:val="auto"/>
              </w:rPr>
              <w:t>Q2 2017</w:t>
            </w:r>
          </w:p>
        </w:tc>
        <w:tc>
          <w:tcPr>
            <w:tcW w:w="10420" w:type="dxa"/>
            <w:vAlign w:val="bottom"/>
          </w:tcPr>
          <w:p>
            <w:pPr>
              <w:ind w:left="320"/>
              <w:spacing w:after="0" w:line="180" w:lineRule="exact"/>
              <w:rPr>
                <w:sz w:val="20"/>
                <w:szCs w:val="20"/>
                <w:color w:val="auto"/>
              </w:rPr>
            </w:pPr>
            <w:r>
              <w:rPr>
                <w:rFonts w:ascii="Arial" w:cs="Arial" w:eastAsia="Arial" w:hAnsi="Arial"/>
                <w:sz w:val="16"/>
                <w:szCs w:val="16"/>
                <w:color w:val="auto"/>
                <w:w w:val="89"/>
              </w:rPr>
              <w:t>61,744 performance-based employee stock options were granted at a weighted average exercise price of $169.16 and a weighted average estimated fair value</w:t>
            </w:r>
          </w:p>
        </w:tc>
        <w:tc>
          <w:tcPr>
            <w:tcW w:w="120" w:type="dxa"/>
            <w:vAlign w:val="bottom"/>
          </w:tcPr>
          <w:p>
            <w:pPr>
              <w:spacing w:after="0"/>
              <w:rPr>
                <w:sz w:val="15"/>
                <w:szCs w:val="15"/>
                <w:color w:val="auto"/>
              </w:rPr>
            </w:pPr>
          </w:p>
        </w:tc>
      </w:tr>
      <w:tr>
        <w:trPr>
          <w:trHeight w:val="205"/>
        </w:trPr>
        <w:tc>
          <w:tcPr>
            <w:tcW w:w="900" w:type="dxa"/>
            <w:vAlign w:val="bottom"/>
          </w:tcPr>
          <w:p>
            <w:pPr>
              <w:spacing w:after="0"/>
              <w:rPr>
                <w:sz w:val="17"/>
                <w:szCs w:val="17"/>
                <w:color w:val="auto"/>
              </w:rPr>
            </w:pPr>
          </w:p>
        </w:tc>
        <w:tc>
          <w:tcPr>
            <w:tcW w:w="10420" w:type="dxa"/>
            <w:vAlign w:val="bottom"/>
          </w:tcPr>
          <w:p>
            <w:pPr>
              <w:ind w:left="320"/>
              <w:spacing w:after="0"/>
              <w:rPr>
                <w:sz w:val="20"/>
                <w:szCs w:val="20"/>
                <w:color w:val="auto"/>
              </w:rPr>
            </w:pPr>
            <w:r>
              <w:rPr>
                <w:rFonts w:ascii="Arial" w:cs="Arial" w:eastAsia="Arial" w:hAnsi="Arial"/>
                <w:sz w:val="16"/>
                <w:szCs w:val="16"/>
                <w:color w:val="auto"/>
              </w:rPr>
              <w:t>of $43.81 per share.</w:t>
            </w:r>
          </w:p>
        </w:tc>
        <w:tc>
          <w:tcPr>
            <w:tcW w:w="120" w:type="dxa"/>
            <w:vAlign w:val="bottom"/>
          </w:tcPr>
          <w:p>
            <w:pPr>
              <w:spacing w:after="0"/>
              <w:rPr>
                <w:sz w:val="17"/>
                <w:szCs w:val="17"/>
                <w:color w:val="auto"/>
              </w:rPr>
            </w:pPr>
          </w:p>
        </w:tc>
      </w:tr>
      <w:tr>
        <w:trPr>
          <w:trHeight w:val="180"/>
        </w:trPr>
        <w:tc>
          <w:tcPr>
            <w:tcW w:w="90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Q3 2017</w:t>
            </w:r>
          </w:p>
        </w:tc>
        <w:tc>
          <w:tcPr>
            <w:tcW w:w="10420" w:type="dxa"/>
            <w:vAlign w:val="bottom"/>
            <w:shd w:val="clear" w:color="auto" w:fill="CCEEFF"/>
          </w:tcPr>
          <w:p>
            <w:pPr>
              <w:ind w:left="320"/>
              <w:spacing w:after="0" w:line="180" w:lineRule="exact"/>
              <w:rPr>
                <w:sz w:val="20"/>
                <w:szCs w:val="20"/>
                <w:color w:val="auto"/>
              </w:rPr>
            </w:pPr>
            <w:r>
              <w:rPr>
                <w:rFonts w:ascii="Arial" w:cs="Arial" w:eastAsia="Arial" w:hAnsi="Arial"/>
                <w:sz w:val="16"/>
                <w:szCs w:val="16"/>
                <w:color w:val="auto"/>
                <w:w w:val="90"/>
              </w:rPr>
              <w:t>11,604 non performance-based employee stock options were granted at a weighted average exercise price of $163.05 and a weighted average estimated fair</w:t>
            </w:r>
          </w:p>
        </w:tc>
        <w:tc>
          <w:tcPr>
            <w:tcW w:w="120" w:type="dxa"/>
            <w:vAlign w:val="bottom"/>
          </w:tcPr>
          <w:p>
            <w:pPr>
              <w:spacing w:after="0"/>
              <w:rPr>
                <w:sz w:val="15"/>
                <w:szCs w:val="15"/>
                <w:color w:val="auto"/>
              </w:rPr>
            </w:pPr>
          </w:p>
        </w:tc>
      </w:tr>
      <w:tr>
        <w:trPr>
          <w:trHeight w:val="205"/>
        </w:trPr>
        <w:tc>
          <w:tcPr>
            <w:tcW w:w="900" w:type="dxa"/>
            <w:vAlign w:val="bottom"/>
            <w:shd w:val="clear" w:color="auto" w:fill="CCEEFF"/>
          </w:tcPr>
          <w:p>
            <w:pPr>
              <w:spacing w:after="0"/>
              <w:rPr>
                <w:sz w:val="17"/>
                <w:szCs w:val="17"/>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value of $42.23 per share.</w:t>
            </w:r>
          </w:p>
        </w:tc>
        <w:tc>
          <w:tcPr>
            <w:tcW w:w="120" w:type="dxa"/>
            <w:vAlign w:val="bottom"/>
          </w:tcPr>
          <w:p>
            <w:pPr>
              <w:spacing w:after="0"/>
              <w:rPr>
                <w:sz w:val="17"/>
                <w:szCs w:val="17"/>
                <w:color w:val="auto"/>
              </w:rPr>
            </w:pPr>
          </w:p>
        </w:tc>
      </w:tr>
      <w:tr>
        <w:trPr>
          <w:trHeight w:val="180"/>
        </w:trPr>
        <w:tc>
          <w:tcPr>
            <w:tcW w:w="900" w:type="dxa"/>
            <w:vAlign w:val="bottom"/>
          </w:tcPr>
          <w:p>
            <w:pPr>
              <w:spacing w:after="0" w:line="180" w:lineRule="exact"/>
              <w:rPr>
                <w:sz w:val="20"/>
                <w:szCs w:val="20"/>
                <w:color w:val="auto"/>
              </w:rPr>
            </w:pPr>
            <w:r>
              <w:rPr>
                <w:rFonts w:ascii="Arial" w:cs="Arial" w:eastAsia="Arial" w:hAnsi="Arial"/>
                <w:sz w:val="16"/>
                <w:szCs w:val="16"/>
                <w:b w:val="1"/>
                <w:bCs w:val="1"/>
                <w:color w:val="auto"/>
              </w:rPr>
              <w:t>Q4 2017</w:t>
            </w:r>
          </w:p>
        </w:tc>
        <w:tc>
          <w:tcPr>
            <w:tcW w:w="10420" w:type="dxa"/>
            <w:vAlign w:val="bottom"/>
          </w:tcPr>
          <w:p>
            <w:pPr>
              <w:ind w:left="320"/>
              <w:spacing w:after="0" w:line="180" w:lineRule="exact"/>
              <w:rPr>
                <w:sz w:val="20"/>
                <w:szCs w:val="20"/>
                <w:color w:val="auto"/>
              </w:rPr>
            </w:pPr>
            <w:r>
              <w:rPr>
                <w:rFonts w:ascii="Arial" w:cs="Arial" w:eastAsia="Arial" w:hAnsi="Arial"/>
                <w:sz w:val="16"/>
                <w:szCs w:val="16"/>
                <w:color w:val="auto"/>
                <w:w w:val="89"/>
              </w:rPr>
              <w:t>29,650 non performance-based employee stock options and 206,417 performance-based employee stock options were granted at a weighted average exercise</w:t>
            </w:r>
          </w:p>
        </w:tc>
        <w:tc>
          <w:tcPr>
            <w:tcW w:w="120" w:type="dxa"/>
            <w:vAlign w:val="bottom"/>
          </w:tcPr>
          <w:p>
            <w:pPr>
              <w:spacing w:after="0"/>
              <w:rPr>
                <w:sz w:val="15"/>
                <w:szCs w:val="15"/>
                <w:color w:val="auto"/>
              </w:rPr>
            </w:pPr>
          </w:p>
        </w:tc>
      </w:tr>
      <w:tr>
        <w:trPr>
          <w:trHeight w:val="205"/>
        </w:trPr>
        <w:tc>
          <w:tcPr>
            <w:tcW w:w="900" w:type="dxa"/>
            <w:vAlign w:val="bottom"/>
            <w:tcBorders>
              <w:bottom w:val="single" w:sz="8" w:color="auto"/>
            </w:tcBorders>
          </w:tcPr>
          <w:p>
            <w:pPr>
              <w:spacing w:after="0"/>
              <w:rPr>
                <w:sz w:val="17"/>
                <w:szCs w:val="17"/>
                <w:color w:val="auto"/>
              </w:rPr>
            </w:pPr>
          </w:p>
        </w:tc>
        <w:tc>
          <w:tcPr>
            <w:tcW w:w="104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price of $165.75 and a weighted average estimated fair value of $42.93 per share.</w:t>
            </w:r>
          </w:p>
        </w:tc>
        <w:tc>
          <w:tcPr>
            <w:tcW w:w="120" w:type="dxa"/>
            <w:vAlign w:val="bottom"/>
          </w:tcPr>
          <w:p>
            <w:pPr>
              <w:spacing w:after="0"/>
              <w:rPr>
                <w:sz w:val="17"/>
                <w:szCs w:val="17"/>
                <w:color w:val="auto"/>
              </w:rPr>
            </w:pPr>
          </w:p>
        </w:tc>
      </w:tr>
      <w:tr>
        <w:trPr>
          <w:trHeight w:val="172"/>
        </w:trPr>
        <w:tc>
          <w:tcPr>
            <w:tcW w:w="90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Q1 2016</w:t>
            </w:r>
          </w:p>
        </w:tc>
        <w:tc>
          <w:tcPr>
            <w:tcW w:w="1042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w w:val="91"/>
              </w:rPr>
              <w:t>513,785 non performance-based employee stock options and 530,418 performance-based employee stock options were both granted at a weighted average</w:t>
            </w:r>
          </w:p>
        </w:tc>
        <w:tc>
          <w:tcPr>
            <w:tcW w:w="120" w:type="dxa"/>
            <w:vAlign w:val="bottom"/>
          </w:tcPr>
          <w:p>
            <w:pPr>
              <w:spacing w:after="0"/>
              <w:rPr>
                <w:sz w:val="14"/>
                <w:szCs w:val="14"/>
                <w:color w:val="auto"/>
              </w:rPr>
            </w:pPr>
          </w:p>
        </w:tc>
      </w:tr>
      <w:tr>
        <w:trPr>
          <w:trHeight w:val="205"/>
        </w:trPr>
        <w:tc>
          <w:tcPr>
            <w:tcW w:w="900" w:type="dxa"/>
            <w:vAlign w:val="bottom"/>
            <w:shd w:val="clear" w:color="auto" w:fill="CCEEFF"/>
          </w:tcPr>
          <w:p>
            <w:pPr>
              <w:spacing w:after="0"/>
              <w:rPr>
                <w:sz w:val="17"/>
                <w:szCs w:val="17"/>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price of $170.21 with a weighted average estimated fair value of $46.62 per share.</w:t>
            </w:r>
          </w:p>
        </w:tc>
        <w:tc>
          <w:tcPr>
            <w:tcW w:w="120" w:type="dxa"/>
            <w:vAlign w:val="bottom"/>
          </w:tcPr>
          <w:p>
            <w:pPr>
              <w:spacing w:after="0"/>
              <w:rPr>
                <w:sz w:val="17"/>
                <w:szCs w:val="17"/>
                <w:color w:val="auto"/>
              </w:rPr>
            </w:pPr>
          </w:p>
        </w:tc>
      </w:tr>
      <w:tr>
        <w:trPr>
          <w:trHeight w:val="192"/>
        </w:trPr>
        <w:tc>
          <w:tcPr>
            <w:tcW w:w="900" w:type="dxa"/>
            <w:vAlign w:val="bottom"/>
          </w:tcPr>
          <w:p>
            <w:pPr>
              <w:spacing w:after="0"/>
              <w:rPr>
                <w:sz w:val="20"/>
                <w:szCs w:val="20"/>
                <w:color w:val="auto"/>
              </w:rPr>
            </w:pPr>
            <w:r>
              <w:rPr>
                <w:rFonts w:ascii="Arial" w:cs="Arial" w:eastAsia="Arial" w:hAnsi="Arial"/>
                <w:sz w:val="16"/>
                <w:szCs w:val="16"/>
                <w:b w:val="1"/>
                <w:bCs w:val="1"/>
                <w:color w:val="auto"/>
              </w:rPr>
              <w:t>Q2 2016</w:t>
            </w:r>
          </w:p>
        </w:tc>
        <w:tc>
          <w:tcPr>
            <w:tcW w:w="10420" w:type="dxa"/>
            <w:vAlign w:val="bottom"/>
          </w:tcPr>
          <w:p>
            <w:pPr>
              <w:ind w:left="320"/>
              <w:spacing w:after="0"/>
              <w:rPr>
                <w:sz w:val="20"/>
                <w:szCs w:val="20"/>
                <w:color w:val="auto"/>
              </w:rPr>
            </w:pPr>
            <w:r>
              <w:rPr>
                <w:rFonts w:ascii="Arial" w:cs="Arial" w:eastAsia="Arial" w:hAnsi="Arial"/>
                <w:sz w:val="16"/>
                <w:szCs w:val="16"/>
                <w:color w:val="auto"/>
                <w:w w:val="95"/>
              </w:rPr>
              <w:t>4,073 non performance-based employee stock options were granted at an exercise price of $150.81 and an estimated fair value of $40.51 per share.</w:t>
            </w:r>
          </w:p>
        </w:tc>
        <w:tc>
          <w:tcPr>
            <w:tcW w:w="120" w:type="dxa"/>
            <w:vAlign w:val="bottom"/>
          </w:tcPr>
          <w:p>
            <w:pPr>
              <w:spacing w:after="0"/>
              <w:rPr>
                <w:sz w:val="16"/>
                <w:szCs w:val="16"/>
                <w:color w:val="auto"/>
              </w:rPr>
            </w:pPr>
          </w:p>
        </w:tc>
      </w:tr>
      <w:tr>
        <w:trPr>
          <w:trHeight w:val="192"/>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Q3 2016</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103,903 non performance-based employee stock options were granted at an exercise price of $152.10 and an estimated fair value of $40.57 per share.</w:t>
            </w:r>
          </w:p>
        </w:tc>
        <w:tc>
          <w:tcPr>
            <w:tcW w:w="120" w:type="dxa"/>
            <w:vAlign w:val="bottom"/>
          </w:tcPr>
          <w:p>
            <w:pPr>
              <w:spacing w:after="0"/>
              <w:rPr>
                <w:sz w:val="16"/>
                <w:szCs w:val="16"/>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b w:val="1"/>
                <w:bCs w:val="1"/>
                <w:color w:val="auto"/>
              </w:rPr>
              <w:t>Q4 2016</w:t>
            </w:r>
          </w:p>
        </w:tc>
        <w:tc>
          <w:tcPr>
            <w:tcW w:w="10420" w:type="dxa"/>
            <w:vAlign w:val="bottom"/>
          </w:tcPr>
          <w:p>
            <w:pPr>
              <w:ind w:left="320"/>
              <w:spacing w:after="0"/>
              <w:rPr>
                <w:sz w:val="20"/>
                <w:szCs w:val="20"/>
                <w:color w:val="auto"/>
              </w:rPr>
            </w:pPr>
            <w:r>
              <w:rPr>
                <w:rFonts w:ascii="Arial" w:cs="Arial" w:eastAsia="Arial" w:hAnsi="Arial"/>
                <w:sz w:val="16"/>
                <w:szCs w:val="16"/>
                <w:color w:val="auto"/>
                <w:w w:val="97"/>
              </w:rPr>
              <w:t>20,911 performance-based employee stock options were granted at an exercise price of $171.22 and an estimated fair value of $47.82 per share.</w:t>
            </w:r>
          </w:p>
        </w:tc>
        <w:tc>
          <w:tcPr>
            <w:tcW w:w="120" w:type="dxa"/>
            <w:vAlign w:val="bottom"/>
          </w:tcPr>
          <w:p>
            <w:pPr>
              <w:spacing w:after="0"/>
              <w:rPr>
                <w:sz w:val="18"/>
                <w:szCs w:val="18"/>
                <w:color w:val="auto"/>
              </w:rPr>
            </w:pPr>
          </w:p>
        </w:tc>
      </w:tr>
      <w:tr>
        <w:trPr>
          <w:trHeight w:val="368"/>
        </w:trPr>
        <w:tc>
          <w:tcPr>
            <w:tcW w:w="900" w:type="dxa"/>
            <w:vAlign w:val="bottom"/>
          </w:tcPr>
          <w:p>
            <w:pPr>
              <w:spacing w:after="0"/>
              <w:rPr>
                <w:sz w:val="24"/>
                <w:szCs w:val="24"/>
                <w:color w:val="auto"/>
              </w:rPr>
            </w:pPr>
          </w:p>
        </w:tc>
        <w:tc>
          <w:tcPr>
            <w:tcW w:w="10420" w:type="dxa"/>
            <w:vAlign w:val="bottom"/>
          </w:tcPr>
          <w:p>
            <w:pPr>
              <w:ind w:left="47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4"/>
                <w:szCs w:val="24"/>
                <w:color w:val="auto"/>
              </w:rPr>
            </w:pPr>
          </w:p>
        </w:tc>
      </w:tr>
      <w:tr>
        <w:trPr>
          <w:trHeight w:val="100"/>
        </w:trPr>
        <w:tc>
          <w:tcPr>
            <w:tcW w:w="900" w:type="dxa"/>
            <w:vAlign w:val="bottom"/>
            <w:tcBorders>
              <w:bottom w:val="single" w:sz="8" w:color="auto"/>
            </w:tcBorders>
          </w:tcPr>
          <w:p>
            <w:pPr>
              <w:spacing w:after="0"/>
              <w:rPr>
                <w:sz w:val="8"/>
                <w:szCs w:val="8"/>
                <w:color w:val="auto"/>
              </w:rPr>
            </w:pPr>
          </w:p>
        </w:tc>
        <w:tc>
          <w:tcPr>
            <w:tcW w:w="10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35" w:right="219" w:bottom="1440" w:gutter="0" w:footer="0" w:header="0"/>
        </w:sectPr>
      </w:pPr>
    </w:p>
    <w:bookmarkStart w:id="79" w:name="page80"/>
    <w:bookmarkEnd w:id="79"/>
    <w:p>
      <w:pPr>
        <w:ind w:right="300"/>
        <w:spacing w:after="0" w:line="277" w:lineRule="auto"/>
        <w:rPr>
          <w:sz w:val="20"/>
          <w:szCs w:val="20"/>
          <w:color w:val="auto"/>
        </w:rPr>
      </w:pPr>
      <w:r>
        <w:rPr>
          <w:rFonts w:ascii="Arial" w:cs="Arial" w:eastAsia="Arial" w:hAnsi="Arial"/>
          <w:sz w:val="16"/>
          <w:szCs w:val="16"/>
          <w:color w:val="auto"/>
        </w:rPr>
        <w:t>The weighted average estimated fair value of employee stock options granted during fiscal 2018, 2017 and 2016 was determined using the binomial model with the following weighted 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2018</w:t>
            </w:r>
          </w:p>
        </w:tc>
        <w:tc>
          <w:tcPr>
            <w:tcW w:w="7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95"/>
              </w:rPr>
              <w:t>2017</w:t>
            </w: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2016</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Term structure of 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2.41%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Expected life (years)</w:t>
            </w:r>
          </w:p>
        </w:tc>
        <w:tc>
          <w:tcPr>
            <w:tcW w:w="1880" w:type="dxa"/>
            <w:vAlign w:val="bottom"/>
          </w:tcPr>
          <w:p>
            <w:pPr>
              <w:jc w:val="right"/>
              <w:spacing w:after="0"/>
              <w:rPr>
                <w:sz w:val="20"/>
                <w:szCs w:val="20"/>
                <w:color w:val="auto"/>
              </w:rPr>
            </w:pPr>
            <w:r>
              <w:rPr>
                <w:rFonts w:ascii="Arial" w:cs="Arial" w:eastAsia="Arial" w:hAnsi="Arial"/>
                <w:sz w:val="16"/>
                <w:szCs w:val="16"/>
                <w:color w:val="auto"/>
              </w:rPr>
              <w:t>7.4</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20"/>
              <w:spacing w:after="0"/>
              <w:rPr>
                <w:sz w:val="20"/>
                <w:szCs w:val="20"/>
                <w:color w:val="auto"/>
              </w:rPr>
            </w:pPr>
            <w:r>
              <w:rPr>
                <w:rFonts w:ascii="Arial" w:cs="Arial" w:eastAsia="Arial" w:hAnsi="Arial"/>
                <w:sz w:val="16"/>
                <w:szCs w:val="16"/>
                <w:color w:val="auto"/>
              </w:rPr>
              <w:t>7.4</w:t>
            </w:r>
          </w:p>
        </w:tc>
        <w:tc>
          <w:tcPr>
            <w:tcW w:w="780" w:type="dxa"/>
            <w:vAlign w:val="bottom"/>
          </w:tcPr>
          <w:p>
            <w:pPr>
              <w:jc w:val="right"/>
              <w:spacing w:after="0"/>
              <w:rPr>
                <w:sz w:val="20"/>
                <w:szCs w:val="20"/>
                <w:color w:val="auto"/>
              </w:rPr>
            </w:pPr>
            <w:r>
              <w:rPr>
                <w:rFonts w:ascii="Arial" w:cs="Arial" w:eastAsia="Arial" w:hAnsi="Arial"/>
                <w:sz w:val="16"/>
                <w:szCs w:val="16"/>
                <w:color w:val="auto"/>
              </w:rPr>
              <w:t>7.4</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8.1</w:t>
            </w: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2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Term structure of volatility</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Dividend yield</w:t>
            </w:r>
          </w:p>
        </w:tc>
        <w:tc>
          <w:tcPr>
            <w:tcW w:w="18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8"/>
              </w:rPr>
              <w:t>1.32%</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2"/>
              </w:rPr>
              <w:t>1.18%</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8"/>
              </w:rPr>
              <w:t>1.09%</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estimated fair value</w:t>
            </w:r>
          </w:p>
        </w:tc>
        <w:tc>
          <w:tcPr>
            <w:tcW w:w="18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$48.39</w:t>
            </w: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$40.68</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$46.08</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Weighted average exercise price</w:t>
            </w:r>
          </w:p>
        </w:tc>
        <w:tc>
          <w:tcPr>
            <w:tcW w:w="18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$190.42</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$156.77</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$168.55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Fair value as a percentage of exercise price</w:t>
            </w:r>
          </w:p>
        </w:tc>
        <w:tc>
          <w:tcPr>
            <w:tcW w:w="188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25.4%</w:t>
            </w: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25.9%</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27.3%</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Stock Option Fair Value Determinations</w:t>
      </w:r>
    </w:p>
    <w:p>
      <w:pPr>
        <w:spacing w:after="0" w:line="200"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On December 19, 2017, the Company’s stockholders approved the Director Plan. The Director Plan provides for the grant of share-based awards, including stock options, to non-employee directors of FactSet. As part of the stockholder approval, the expiration date of the Director Plan was extended to December 19, 2027 and the number of shares reserved for issuance under the Director Plan was increased by 250,000. As of August 31, 2018, shares available for future grant were 282,398.</w:t>
      </w:r>
    </w:p>
    <w:p>
      <w:pPr>
        <w:spacing w:after="0" w:line="146" w:lineRule="exact"/>
        <w:rPr>
          <w:sz w:val="20"/>
          <w:szCs w:val="20"/>
          <w:color w:val="auto"/>
        </w:rPr>
      </w:pPr>
    </w:p>
    <w:p>
      <w:pPr>
        <w:ind w:right="40"/>
        <w:spacing w:after="0" w:line="319" w:lineRule="auto"/>
        <w:rPr>
          <w:sz w:val="20"/>
          <w:szCs w:val="20"/>
          <w:color w:val="auto"/>
        </w:rPr>
      </w:pPr>
      <w:r>
        <w:rPr>
          <w:rFonts w:ascii="Arial" w:cs="Arial" w:eastAsia="Arial" w:hAnsi="Arial"/>
          <w:sz w:val="14"/>
          <w:szCs w:val="14"/>
          <w:color w:val="auto"/>
        </w:rPr>
        <w:t>The Company utilizes the Black-Scholes model to estimate the fair value of new non-employee Director stock option grants. The Company’s determination of fair value of share-based payment awards on the date of grant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2018</w:t>
      </w: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On January 12, 2018, FactSet granted 18,963 stock options to the Company’s non-employee Directors. All the options granted on January 12, 2018, have a weighted average estimated fair value of $38.76 per share, using the Black-Scholes option-pricing model with the following weighted 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500" w:type="dxa"/>
            <w:vAlign w:val="bottom"/>
            <w:shd w:val="clear" w:color="auto" w:fill="000000"/>
          </w:tcPr>
          <w:p>
            <w:pPr>
              <w:spacing w:after="0" w:line="20" w:lineRule="exact"/>
              <w:rPr>
                <w:sz w:val="1"/>
                <w:szCs w:val="1"/>
                <w:color w:val="auto"/>
              </w:rPr>
            </w:pPr>
          </w:p>
        </w:tc>
        <w:tc>
          <w:tcPr>
            <w:tcW w:w="7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4"/>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7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r>
      <w:tr>
        <w:trPr>
          <w:trHeight w:val="192"/>
        </w:trPr>
        <w:tc>
          <w:tcPr>
            <w:tcW w:w="3500" w:type="dxa"/>
            <w:vAlign w:val="bottom"/>
          </w:tcPr>
          <w:p>
            <w:pPr>
              <w:spacing w:after="0"/>
              <w:rPr>
                <w:sz w:val="20"/>
                <w:szCs w:val="20"/>
                <w:color w:val="auto"/>
              </w:rPr>
            </w:pPr>
            <w:r>
              <w:rPr>
                <w:rFonts w:ascii="Arial" w:cs="Arial" w:eastAsia="Arial" w:hAnsi="Arial"/>
                <w:sz w:val="16"/>
                <w:szCs w:val="16"/>
                <w:color w:val="auto"/>
              </w:rPr>
              <w:t>Expected life (years)</w:t>
            </w:r>
          </w:p>
        </w:tc>
        <w:tc>
          <w:tcPr>
            <w:tcW w:w="794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r>
      <w:tr>
        <w:trPr>
          <w:trHeight w:val="192"/>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7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r>
      <w:tr>
        <w:trPr>
          <w:trHeight w:val="205"/>
        </w:trPr>
        <w:tc>
          <w:tcPr>
            <w:tcW w:w="3500" w:type="dxa"/>
            <w:vAlign w:val="bottom"/>
          </w:tcPr>
          <w:p>
            <w:pPr>
              <w:spacing w:after="0"/>
              <w:rPr>
                <w:sz w:val="20"/>
                <w:szCs w:val="20"/>
                <w:color w:val="auto"/>
              </w:rPr>
            </w:pPr>
            <w:r>
              <w:rPr>
                <w:rFonts w:ascii="Arial" w:cs="Arial" w:eastAsia="Arial" w:hAnsi="Arial"/>
                <w:sz w:val="16"/>
                <w:szCs w:val="16"/>
                <w:color w:val="auto"/>
              </w:rPr>
              <w:t>Dividend yield</w:t>
            </w:r>
          </w:p>
        </w:tc>
        <w:tc>
          <w:tcPr>
            <w:tcW w:w="7940" w:type="dxa"/>
            <w:vAlign w:val="bottom"/>
            <w:gridSpan w:val="2"/>
          </w:tcPr>
          <w:p>
            <w:pPr>
              <w:jc w:val="right"/>
              <w:ind w:right="20"/>
              <w:spacing w:after="0"/>
              <w:rPr>
                <w:sz w:val="20"/>
                <w:szCs w:val="20"/>
                <w:color w:val="auto"/>
              </w:rPr>
            </w:pPr>
            <w:r>
              <w:rPr>
                <w:rFonts w:ascii="Arial" w:cs="Arial" w:eastAsia="Arial" w:hAnsi="Arial"/>
                <w:sz w:val="16"/>
                <w:szCs w:val="16"/>
                <w:color w:val="auto"/>
              </w:rPr>
              <w:t>1.16%</w:t>
            </w:r>
          </w:p>
        </w:tc>
      </w:tr>
      <w:tr>
        <w:trPr>
          <w:trHeight w:val="372"/>
        </w:trPr>
        <w:tc>
          <w:tcPr>
            <w:tcW w:w="3500" w:type="dxa"/>
            <w:vAlign w:val="bottom"/>
          </w:tcPr>
          <w:p>
            <w:pPr>
              <w:spacing w:after="0"/>
              <w:rPr>
                <w:sz w:val="24"/>
                <w:szCs w:val="24"/>
                <w:color w:val="auto"/>
              </w:rPr>
            </w:pPr>
          </w:p>
        </w:tc>
        <w:tc>
          <w:tcPr>
            <w:tcW w:w="7780" w:type="dxa"/>
            <w:vAlign w:val="bottom"/>
          </w:tcPr>
          <w:p>
            <w:pPr>
              <w:jc w:val="right"/>
              <w:ind w:right="5400"/>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24"/>
                <w:szCs w:val="24"/>
                <w:color w:val="auto"/>
              </w:rPr>
            </w:pPr>
          </w:p>
        </w:tc>
      </w:tr>
      <w:tr>
        <w:trPr>
          <w:trHeight w:val="100"/>
        </w:trPr>
        <w:tc>
          <w:tcPr>
            <w:tcW w:w="350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35" w:right="21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Fiscal 2017</w:t>
      </w:r>
    </w:p>
    <w:p>
      <w:pPr>
        <w:spacing w:after="0" w:line="204" w:lineRule="exact"/>
        <w:rPr>
          <w:sz w:val="20"/>
          <w:szCs w:val="20"/>
          <w:color w:val="auto"/>
        </w:rPr>
      </w:pPr>
    </w:p>
    <w:p>
      <w:pPr>
        <w:jc w:val="both"/>
        <w:ind w:right="180"/>
        <w:spacing w:after="0" w:line="289" w:lineRule="auto"/>
        <w:rPr>
          <w:sz w:val="20"/>
          <w:szCs w:val="20"/>
          <w:color w:val="auto"/>
        </w:rPr>
      </w:pPr>
      <w:r>
        <w:rPr>
          <w:rFonts w:ascii="Arial" w:cs="Arial" w:eastAsia="Arial" w:hAnsi="Arial"/>
          <w:sz w:val="15"/>
          <w:szCs w:val="15"/>
          <w:color w:val="auto"/>
        </w:rPr>
        <w:t>On January 13, 2017, FactSet granted 23,846 stock options to the Company’s non-employee Directors, including one-time new director grants of 2,104 for both Malcolm Frank and Sheila B. Jordan, who were elected to FactSet’s Board of Directors on December 20, 2016. All the options granted on January 13, 2017, have a weighted average estimated fair value of $35.65 per share, using the Black-Scholes option-pricing model with the following weighted average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0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4"/>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5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r>
      <w:tr>
        <w:trPr>
          <w:trHeight w:val="192"/>
        </w:trPr>
        <w:tc>
          <w:tcPr>
            <w:tcW w:w="6200" w:type="dxa"/>
            <w:vAlign w:val="bottom"/>
          </w:tcPr>
          <w:p>
            <w:pPr>
              <w:spacing w:after="0"/>
              <w:rPr>
                <w:sz w:val="20"/>
                <w:szCs w:val="20"/>
                <w:color w:val="auto"/>
              </w:rPr>
            </w:pPr>
            <w:r>
              <w:rPr>
                <w:rFonts w:ascii="Arial" w:cs="Arial" w:eastAsia="Arial" w:hAnsi="Arial"/>
                <w:sz w:val="16"/>
                <w:szCs w:val="16"/>
                <w:color w:val="auto"/>
              </w:rPr>
              <w:t>Expected life (years)</w:t>
            </w:r>
          </w:p>
        </w:tc>
        <w:tc>
          <w:tcPr>
            <w:tcW w:w="524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r>
      <w:tr>
        <w:trPr>
          <w:trHeight w:val="192"/>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5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r>
      <w:tr>
        <w:trPr>
          <w:trHeight w:val="205"/>
        </w:trPr>
        <w:tc>
          <w:tcPr>
            <w:tcW w:w="6200" w:type="dxa"/>
            <w:vAlign w:val="bottom"/>
          </w:tcPr>
          <w:p>
            <w:pPr>
              <w:spacing w:after="0"/>
              <w:rPr>
                <w:sz w:val="20"/>
                <w:szCs w:val="20"/>
                <w:color w:val="auto"/>
              </w:rPr>
            </w:pPr>
            <w:r>
              <w:rPr>
                <w:rFonts w:ascii="Arial" w:cs="Arial" w:eastAsia="Arial" w:hAnsi="Arial"/>
                <w:sz w:val="16"/>
                <w:szCs w:val="16"/>
                <w:color w:val="auto"/>
              </w:rPr>
              <w:t>Dividend yield</w:t>
            </w:r>
          </w:p>
        </w:tc>
        <w:tc>
          <w:tcPr>
            <w:tcW w:w="524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2016</w:t>
      </w:r>
    </w:p>
    <w:p>
      <w:pPr>
        <w:spacing w:after="0" w:line="204"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On January 15, 2016, FactSet granted 22,559 stock options to the Company’s non-employee Directors, including a one-time new director grant of 2,417 for Laurie Siegel, who was elected to FactSet’s Board of Directors on December 15, 2015. All the options granted on January 15, 2016, have a weighted average estimated fair value of $31.03 per share, using the Black-Scholes option-pricing model with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0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4"/>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5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1.62%</w:t>
            </w:r>
          </w:p>
        </w:tc>
      </w:tr>
      <w:tr>
        <w:trPr>
          <w:trHeight w:val="192"/>
        </w:trPr>
        <w:tc>
          <w:tcPr>
            <w:tcW w:w="6200" w:type="dxa"/>
            <w:vAlign w:val="bottom"/>
          </w:tcPr>
          <w:p>
            <w:pPr>
              <w:spacing w:after="0"/>
              <w:rPr>
                <w:sz w:val="20"/>
                <w:szCs w:val="20"/>
                <w:color w:val="auto"/>
              </w:rPr>
            </w:pPr>
            <w:r>
              <w:rPr>
                <w:rFonts w:ascii="Arial" w:cs="Arial" w:eastAsia="Arial" w:hAnsi="Arial"/>
                <w:sz w:val="16"/>
                <w:szCs w:val="16"/>
                <w:color w:val="auto"/>
              </w:rPr>
              <w:t>Expected life (years)</w:t>
            </w:r>
          </w:p>
        </w:tc>
        <w:tc>
          <w:tcPr>
            <w:tcW w:w="524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r>
      <w:tr>
        <w:trPr>
          <w:trHeight w:val="192"/>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5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r>
      <w:tr>
        <w:trPr>
          <w:trHeight w:val="205"/>
        </w:trPr>
        <w:tc>
          <w:tcPr>
            <w:tcW w:w="6200" w:type="dxa"/>
            <w:vAlign w:val="bottom"/>
          </w:tcPr>
          <w:p>
            <w:pPr>
              <w:spacing w:after="0"/>
              <w:rPr>
                <w:sz w:val="20"/>
                <w:szCs w:val="20"/>
                <w:color w:val="auto"/>
              </w:rPr>
            </w:pPr>
            <w:r>
              <w:rPr>
                <w:rFonts w:ascii="Arial" w:cs="Arial" w:eastAsia="Arial" w:hAnsi="Arial"/>
                <w:sz w:val="16"/>
                <w:szCs w:val="16"/>
                <w:color w:val="auto"/>
              </w:rPr>
              <w:t>Dividend yield</w:t>
            </w:r>
          </w:p>
        </w:tc>
        <w:tc>
          <w:tcPr>
            <w:tcW w:w="524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Fair Value Determinations</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fiscal 2018, there were 3,497 restricted stock awards granted with a weighted average grant date fair value of $189.28 compared to 62,400 restricted stock awards granted with a weighted average grant date fair value of $158.26 in fiscal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Q1 2018</w:t>
            </w:r>
          </w:p>
        </w:tc>
        <w:tc>
          <w:tcPr>
            <w:tcW w:w="10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961 shares of restricted stock were granted at a weighted average estimated fair value of $182.17 per share.</w:t>
            </w:r>
          </w:p>
        </w:tc>
        <w:tc>
          <w:tcPr>
            <w:tcW w:w="120" w:type="dxa"/>
            <w:vAlign w:val="bottom"/>
          </w:tcPr>
          <w:p>
            <w:pPr>
              <w:spacing w:after="0"/>
              <w:rPr>
                <w:sz w:val="17"/>
                <w:szCs w:val="17"/>
                <w:color w:val="auto"/>
              </w:rPr>
            </w:pPr>
          </w:p>
        </w:tc>
      </w:tr>
      <w:tr>
        <w:trPr>
          <w:trHeight w:val="192"/>
        </w:trPr>
        <w:tc>
          <w:tcPr>
            <w:tcW w:w="900" w:type="dxa"/>
            <w:vAlign w:val="bottom"/>
          </w:tcPr>
          <w:p>
            <w:pPr>
              <w:spacing w:after="0"/>
              <w:rPr>
                <w:sz w:val="20"/>
                <w:szCs w:val="20"/>
                <w:color w:val="auto"/>
              </w:rPr>
            </w:pPr>
            <w:r>
              <w:rPr>
                <w:rFonts w:ascii="Arial" w:cs="Arial" w:eastAsia="Arial" w:hAnsi="Arial"/>
                <w:sz w:val="16"/>
                <w:szCs w:val="16"/>
                <w:b w:val="1"/>
                <w:bCs w:val="1"/>
                <w:color w:val="auto"/>
              </w:rPr>
              <w:t>Q2 2018</w:t>
            </w:r>
          </w:p>
        </w:tc>
        <w:tc>
          <w:tcPr>
            <w:tcW w:w="10420" w:type="dxa"/>
            <w:vAlign w:val="bottom"/>
          </w:tcPr>
          <w:p>
            <w:pPr>
              <w:ind w:left="320"/>
              <w:spacing w:after="0"/>
              <w:rPr>
                <w:sz w:val="20"/>
                <w:szCs w:val="20"/>
                <w:color w:val="auto"/>
              </w:rPr>
            </w:pPr>
            <w:r>
              <w:rPr>
                <w:rFonts w:ascii="Arial" w:cs="Arial" w:eastAsia="Arial" w:hAnsi="Arial"/>
                <w:sz w:val="16"/>
                <w:szCs w:val="16"/>
                <w:color w:val="auto"/>
              </w:rPr>
              <w:t>No restricted stock granted.</w:t>
            </w:r>
          </w:p>
        </w:tc>
        <w:tc>
          <w:tcPr>
            <w:tcW w:w="120" w:type="dxa"/>
            <w:vAlign w:val="bottom"/>
          </w:tcPr>
          <w:p>
            <w:pPr>
              <w:spacing w:after="0"/>
              <w:rPr>
                <w:sz w:val="16"/>
                <w:szCs w:val="16"/>
                <w:color w:val="auto"/>
              </w:rPr>
            </w:pPr>
          </w:p>
        </w:tc>
      </w:tr>
      <w:tr>
        <w:trPr>
          <w:trHeight w:val="192"/>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Q3 2018</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 restricted stock granted.</w:t>
            </w:r>
          </w:p>
        </w:tc>
        <w:tc>
          <w:tcPr>
            <w:tcW w:w="120" w:type="dxa"/>
            <w:vAlign w:val="bottom"/>
          </w:tcPr>
          <w:p>
            <w:pPr>
              <w:spacing w:after="0"/>
              <w:rPr>
                <w:sz w:val="16"/>
                <w:szCs w:val="16"/>
                <w:color w:val="auto"/>
              </w:rPr>
            </w:pPr>
          </w:p>
        </w:tc>
      </w:tr>
      <w:tr>
        <w:trPr>
          <w:trHeight w:val="192"/>
        </w:trPr>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Q4 2018</w:t>
            </w:r>
          </w:p>
        </w:tc>
        <w:tc>
          <w:tcPr>
            <w:tcW w:w="104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2,536 shares of restricted stock were granted at a weighted average estimated fair value of $191.97 per share.</w:t>
            </w:r>
          </w:p>
        </w:tc>
        <w:tc>
          <w:tcPr>
            <w:tcW w:w="120" w:type="dxa"/>
            <w:vAlign w:val="bottom"/>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Q1 2017</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5,084 shares of restricted stock were granted at a weighted average estimated fair value of $151.63 per share.</w:t>
            </w:r>
          </w:p>
        </w:tc>
        <w:tc>
          <w:tcPr>
            <w:tcW w:w="120" w:type="dxa"/>
            <w:vAlign w:val="bottom"/>
          </w:tcPr>
          <w:p>
            <w:pPr>
              <w:spacing w:after="0"/>
              <w:rPr>
                <w:sz w:val="16"/>
                <w:szCs w:val="16"/>
                <w:color w:val="auto"/>
              </w:rPr>
            </w:pPr>
          </w:p>
        </w:tc>
      </w:tr>
      <w:tr>
        <w:trPr>
          <w:trHeight w:val="192"/>
        </w:trPr>
        <w:tc>
          <w:tcPr>
            <w:tcW w:w="900" w:type="dxa"/>
            <w:vAlign w:val="bottom"/>
          </w:tcPr>
          <w:p>
            <w:pPr>
              <w:spacing w:after="0"/>
              <w:rPr>
                <w:sz w:val="20"/>
                <w:szCs w:val="20"/>
                <w:color w:val="auto"/>
              </w:rPr>
            </w:pPr>
            <w:r>
              <w:rPr>
                <w:rFonts w:ascii="Arial" w:cs="Arial" w:eastAsia="Arial" w:hAnsi="Arial"/>
                <w:sz w:val="16"/>
                <w:szCs w:val="16"/>
                <w:b w:val="1"/>
                <w:bCs w:val="1"/>
                <w:color w:val="auto"/>
              </w:rPr>
              <w:t>Q2 2017</w:t>
            </w:r>
          </w:p>
        </w:tc>
        <w:tc>
          <w:tcPr>
            <w:tcW w:w="10420" w:type="dxa"/>
            <w:vAlign w:val="bottom"/>
          </w:tcPr>
          <w:p>
            <w:pPr>
              <w:ind w:left="320"/>
              <w:spacing w:after="0"/>
              <w:rPr>
                <w:sz w:val="20"/>
                <w:szCs w:val="20"/>
                <w:color w:val="auto"/>
              </w:rPr>
            </w:pPr>
            <w:r>
              <w:rPr>
                <w:rFonts w:ascii="Arial" w:cs="Arial" w:eastAsia="Arial" w:hAnsi="Arial"/>
                <w:sz w:val="16"/>
                <w:szCs w:val="16"/>
                <w:color w:val="auto"/>
              </w:rPr>
              <w:t>7,843 shares of restricted stock were granted at a weighted average estimated fair value of $161.31 per share.</w:t>
            </w:r>
          </w:p>
        </w:tc>
        <w:tc>
          <w:tcPr>
            <w:tcW w:w="120" w:type="dxa"/>
            <w:vAlign w:val="bottom"/>
          </w:tcPr>
          <w:p>
            <w:pPr>
              <w:spacing w:after="0"/>
              <w:rPr>
                <w:sz w:val="16"/>
                <w:szCs w:val="16"/>
                <w:color w:val="auto"/>
              </w:rPr>
            </w:pPr>
          </w:p>
        </w:tc>
      </w:tr>
      <w:tr>
        <w:trPr>
          <w:trHeight w:val="192"/>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Q3 2017</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 restricted stock granted.</w:t>
            </w:r>
          </w:p>
        </w:tc>
        <w:tc>
          <w:tcPr>
            <w:tcW w:w="120" w:type="dxa"/>
            <w:vAlign w:val="bottom"/>
          </w:tcPr>
          <w:p>
            <w:pPr>
              <w:spacing w:after="0"/>
              <w:rPr>
                <w:sz w:val="16"/>
                <w:szCs w:val="16"/>
                <w:color w:val="auto"/>
              </w:rPr>
            </w:pPr>
          </w:p>
        </w:tc>
      </w:tr>
      <w:tr>
        <w:trPr>
          <w:trHeight w:val="192"/>
        </w:trPr>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Q4 2017</w:t>
            </w:r>
          </w:p>
        </w:tc>
        <w:tc>
          <w:tcPr>
            <w:tcW w:w="104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49,473 shares of restricted stock were granted at a weighted average estimated fair value of $158.46 per share.</w:t>
            </w:r>
          </w:p>
        </w:tc>
        <w:tc>
          <w:tcPr>
            <w:tcW w:w="120" w:type="dxa"/>
            <w:vAlign w:val="bottom"/>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Q1 2016</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93,120 shares of restricted stock were granted at a weighted average estimated fair value of $159.46 per share.</w:t>
            </w:r>
          </w:p>
        </w:tc>
        <w:tc>
          <w:tcPr>
            <w:tcW w:w="120" w:type="dxa"/>
            <w:vAlign w:val="bottom"/>
          </w:tcPr>
          <w:p>
            <w:pPr>
              <w:spacing w:after="0"/>
              <w:rPr>
                <w:sz w:val="16"/>
                <w:szCs w:val="16"/>
                <w:color w:val="auto"/>
              </w:rPr>
            </w:pPr>
          </w:p>
        </w:tc>
      </w:tr>
      <w:tr>
        <w:trPr>
          <w:trHeight w:val="192"/>
        </w:trPr>
        <w:tc>
          <w:tcPr>
            <w:tcW w:w="900" w:type="dxa"/>
            <w:vAlign w:val="bottom"/>
          </w:tcPr>
          <w:p>
            <w:pPr>
              <w:spacing w:after="0"/>
              <w:rPr>
                <w:sz w:val="20"/>
                <w:szCs w:val="20"/>
                <w:color w:val="auto"/>
              </w:rPr>
            </w:pPr>
            <w:r>
              <w:rPr>
                <w:rFonts w:ascii="Arial" w:cs="Arial" w:eastAsia="Arial" w:hAnsi="Arial"/>
                <w:sz w:val="16"/>
                <w:szCs w:val="16"/>
                <w:b w:val="1"/>
                <w:bCs w:val="1"/>
                <w:color w:val="auto"/>
              </w:rPr>
              <w:t>Q2 2016</w:t>
            </w:r>
          </w:p>
        </w:tc>
        <w:tc>
          <w:tcPr>
            <w:tcW w:w="10420" w:type="dxa"/>
            <w:vAlign w:val="bottom"/>
          </w:tcPr>
          <w:p>
            <w:pPr>
              <w:ind w:left="320"/>
              <w:spacing w:after="0"/>
              <w:rPr>
                <w:sz w:val="20"/>
                <w:szCs w:val="20"/>
                <w:color w:val="auto"/>
              </w:rPr>
            </w:pPr>
            <w:r>
              <w:rPr>
                <w:rFonts w:ascii="Arial" w:cs="Arial" w:eastAsia="Arial" w:hAnsi="Arial"/>
                <w:sz w:val="16"/>
                <w:szCs w:val="16"/>
                <w:color w:val="auto"/>
              </w:rPr>
              <w:t>No restricted stock granted.</w:t>
            </w:r>
          </w:p>
        </w:tc>
        <w:tc>
          <w:tcPr>
            <w:tcW w:w="120" w:type="dxa"/>
            <w:vAlign w:val="bottom"/>
          </w:tcPr>
          <w:p>
            <w:pPr>
              <w:spacing w:after="0"/>
              <w:rPr>
                <w:sz w:val="16"/>
                <w:szCs w:val="16"/>
                <w:color w:val="auto"/>
              </w:rPr>
            </w:pPr>
          </w:p>
        </w:tc>
      </w:tr>
      <w:tr>
        <w:trPr>
          <w:trHeight w:val="192"/>
        </w:trPr>
        <w:tc>
          <w:tcPr>
            <w:tcW w:w="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Q3 2016</w:t>
            </w:r>
          </w:p>
        </w:tc>
        <w:tc>
          <w:tcPr>
            <w:tcW w:w="10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255 shares of restricted stock were granted at a weighted average estimated fair value of $146.20 per share.</w:t>
            </w:r>
          </w:p>
        </w:tc>
        <w:tc>
          <w:tcPr>
            <w:tcW w:w="120" w:type="dxa"/>
            <w:vAlign w:val="bottom"/>
          </w:tcPr>
          <w:p>
            <w:pPr>
              <w:spacing w:after="0"/>
              <w:rPr>
                <w:sz w:val="16"/>
                <w:szCs w:val="16"/>
                <w:color w:val="auto"/>
              </w:rPr>
            </w:pPr>
          </w:p>
        </w:tc>
      </w:tr>
      <w:tr>
        <w:trPr>
          <w:trHeight w:val="209"/>
        </w:trPr>
        <w:tc>
          <w:tcPr>
            <w:tcW w:w="900" w:type="dxa"/>
            <w:vAlign w:val="bottom"/>
          </w:tcPr>
          <w:p>
            <w:pPr>
              <w:spacing w:after="0"/>
              <w:rPr>
                <w:sz w:val="20"/>
                <w:szCs w:val="20"/>
                <w:color w:val="auto"/>
              </w:rPr>
            </w:pPr>
            <w:r>
              <w:rPr>
                <w:rFonts w:ascii="Arial" w:cs="Arial" w:eastAsia="Arial" w:hAnsi="Arial"/>
                <w:sz w:val="16"/>
                <w:szCs w:val="16"/>
                <w:b w:val="1"/>
                <w:bCs w:val="1"/>
                <w:color w:val="auto"/>
              </w:rPr>
              <w:t>Q4 2016</w:t>
            </w:r>
          </w:p>
        </w:tc>
        <w:tc>
          <w:tcPr>
            <w:tcW w:w="10420" w:type="dxa"/>
            <w:vAlign w:val="bottom"/>
          </w:tcPr>
          <w:p>
            <w:pPr>
              <w:ind w:left="320"/>
              <w:spacing w:after="0"/>
              <w:rPr>
                <w:sz w:val="20"/>
                <w:szCs w:val="20"/>
                <w:color w:val="auto"/>
              </w:rPr>
            </w:pPr>
            <w:r>
              <w:rPr>
                <w:rFonts w:ascii="Arial" w:cs="Arial" w:eastAsia="Arial" w:hAnsi="Arial"/>
                <w:sz w:val="16"/>
                <w:szCs w:val="16"/>
                <w:color w:val="auto"/>
              </w:rPr>
              <w:t>3,944 shares of restricted stock were granted at a weighted average estimated fair value of $164.77 per share.</w:t>
            </w:r>
          </w:p>
        </w:tc>
        <w:tc>
          <w:tcPr>
            <w:tcW w:w="120" w:type="dxa"/>
            <w:vAlign w:val="bottom"/>
          </w:tcPr>
          <w:p>
            <w:pPr>
              <w:spacing w:after="0"/>
              <w:rPr>
                <w:sz w:val="18"/>
                <w:szCs w:val="18"/>
                <w:color w:val="auto"/>
              </w:rPr>
            </w:pPr>
          </w:p>
        </w:tc>
      </w:tr>
      <w:tr>
        <w:trPr>
          <w:trHeight w:val="368"/>
        </w:trPr>
        <w:tc>
          <w:tcPr>
            <w:tcW w:w="900" w:type="dxa"/>
            <w:vAlign w:val="bottom"/>
          </w:tcPr>
          <w:p>
            <w:pPr>
              <w:spacing w:after="0"/>
              <w:rPr>
                <w:sz w:val="24"/>
                <w:szCs w:val="24"/>
                <w:color w:val="auto"/>
              </w:rPr>
            </w:pPr>
          </w:p>
        </w:tc>
        <w:tc>
          <w:tcPr>
            <w:tcW w:w="10420" w:type="dxa"/>
            <w:vAlign w:val="bottom"/>
          </w:tcPr>
          <w:p>
            <w:pPr>
              <w:ind w:left="474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r>
      <w:tr>
        <w:trPr>
          <w:trHeight w:val="100"/>
        </w:trPr>
        <w:tc>
          <w:tcPr>
            <w:tcW w:w="900" w:type="dxa"/>
            <w:vAlign w:val="bottom"/>
            <w:tcBorders>
              <w:bottom w:val="single" w:sz="8" w:color="auto"/>
            </w:tcBorders>
          </w:tcPr>
          <w:p>
            <w:pPr>
              <w:spacing w:after="0"/>
              <w:rPr>
                <w:sz w:val="8"/>
                <w:szCs w:val="8"/>
                <w:color w:val="auto"/>
              </w:rPr>
            </w:pPr>
          </w:p>
        </w:tc>
        <w:tc>
          <w:tcPr>
            <w:tcW w:w="10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31" w:right="21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Employee Stock Purchase Plan Fair Value Determinations</w:t>
      </w:r>
    </w:p>
    <w:p>
      <w:pPr>
        <w:spacing w:after="0" w:line="200"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During fiscal 2018, employees purchased 64,230 shares at a weighted average price of $160.34 compared to 75,372 shares at a weighted average price of $136.34 in fiscal 2017 and 73,072 shares at a weighted average price of $131.14 in fiscal 2016. Stock-based compensation expense recorded during fiscal 2018, 2017 and 2016 relating to the employee stock purchase plan was $1.6 million, $2.1 million and $1.9 million, respectively.</w:t>
      </w:r>
    </w:p>
    <w:p>
      <w:pPr>
        <w:spacing w:after="0" w:line="162" w:lineRule="exact"/>
        <w:rPr>
          <w:sz w:val="20"/>
          <w:szCs w:val="20"/>
          <w:color w:val="auto"/>
        </w:rPr>
      </w:pPr>
    </w:p>
    <w:p>
      <w:pPr>
        <w:ind w:right="200"/>
        <w:spacing w:after="0" w:line="351" w:lineRule="auto"/>
        <w:rPr>
          <w:sz w:val="20"/>
          <w:szCs w:val="20"/>
          <w:color w:val="auto"/>
        </w:rPr>
      </w:pPr>
      <w:r>
        <w:rPr>
          <w:rFonts w:ascii="Arial" w:cs="Arial" w:eastAsia="Arial" w:hAnsi="Arial"/>
          <w:sz w:val="14"/>
          <w:szCs w:val="14"/>
          <w:color w:val="auto"/>
        </w:rPr>
        <w:t>The Company uses the Black-Scholes model to calculate the estimated fair value for the employee stock purchase plan. The weighted average estimated fair value of employee stock purchase plan grants during fiscal years 2018, 2017 and 2016, was $31.83, $28.16 and $26.87 per share, respectively, with the following weighted average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140" w:type="dxa"/>
            <w:vAlign w:val="bottom"/>
          </w:tcPr>
          <w:p>
            <w:pPr>
              <w:jc w:val="right"/>
              <w:ind w:right="720"/>
              <w:spacing w:after="0"/>
              <w:rPr>
                <w:sz w:val="20"/>
                <w:szCs w:val="20"/>
                <w:color w:val="auto"/>
              </w:rPr>
            </w:pPr>
            <w:r>
              <w:rPr>
                <w:rFonts w:ascii="Arial" w:cs="Arial" w:eastAsia="Arial" w:hAnsi="Arial"/>
                <w:sz w:val="16"/>
                <w:szCs w:val="16"/>
                <w:color w:val="auto"/>
              </w:rPr>
              <w:t>2018</w:t>
            </w:r>
          </w:p>
        </w:tc>
        <w:tc>
          <w:tcPr>
            <w:tcW w:w="1720" w:type="dxa"/>
            <w:vAlign w:val="bottom"/>
          </w:tcPr>
          <w:p>
            <w:pPr>
              <w:jc w:val="right"/>
              <w:ind w:right="680"/>
              <w:spacing w:after="0"/>
              <w:rPr>
                <w:sz w:val="20"/>
                <w:szCs w:val="20"/>
                <w:color w:val="auto"/>
              </w:rPr>
            </w:pPr>
            <w:r>
              <w:rPr>
                <w:rFonts w:ascii="Arial" w:cs="Arial" w:eastAsia="Arial" w:hAnsi="Arial"/>
                <w:sz w:val="16"/>
                <w:szCs w:val="16"/>
                <w:color w:val="auto"/>
              </w:rPr>
              <w:t>2017</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14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rPr>
              <w:t>1.55%</w:t>
            </w:r>
          </w:p>
        </w:tc>
        <w:tc>
          <w:tcPr>
            <w:tcW w:w="172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0.69%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Expected life (months)</w:t>
            </w:r>
          </w:p>
        </w:tc>
        <w:tc>
          <w:tcPr>
            <w:tcW w:w="4140" w:type="dxa"/>
            <w:vAlign w:val="bottom"/>
          </w:tcPr>
          <w:p>
            <w:pPr>
              <w:jc w:val="right"/>
              <w:ind w:right="700"/>
              <w:spacing w:after="0"/>
              <w:rPr>
                <w:sz w:val="20"/>
                <w:szCs w:val="20"/>
                <w:color w:val="auto"/>
              </w:rPr>
            </w:pPr>
            <w:r>
              <w:rPr>
                <w:rFonts w:ascii="Arial" w:cs="Arial" w:eastAsia="Arial" w:hAnsi="Arial"/>
                <w:sz w:val="16"/>
                <w:szCs w:val="16"/>
                <w:color w:val="auto"/>
              </w:rPr>
              <w:t>3</w:t>
            </w:r>
          </w:p>
        </w:tc>
        <w:tc>
          <w:tcPr>
            <w:tcW w:w="1720" w:type="dxa"/>
            <w:vAlign w:val="bottom"/>
          </w:tcPr>
          <w:p>
            <w:pPr>
              <w:jc w:val="right"/>
              <w:ind w:right="680"/>
              <w:spacing w:after="0"/>
              <w:rPr>
                <w:sz w:val="20"/>
                <w:szCs w:val="20"/>
                <w:color w:val="auto"/>
              </w:rPr>
            </w:pPr>
            <w:r>
              <w:rPr>
                <w:rFonts w:ascii="Arial" w:cs="Arial" w:eastAsia="Arial" w:hAnsi="Arial"/>
                <w:sz w:val="16"/>
                <w:szCs w:val="16"/>
                <w:color w:val="auto"/>
              </w:rPr>
              <w:t>3</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414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rPr>
              <w:t>10.19%</w:t>
            </w:r>
          </w:p>
        </w:tc>
        <w:tc>
          <w:tcPr>
            <w:tcW w:w="172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8.6%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Dividend yield</w:t>
            </w:r>
          </w:p>
        </w:tc>
        <w:tc>
          <w:tcPr>
            <w:tcW w:w="4140" w:type="dxa"/>
            <w:vAlign w:val="bottom"/>
          </w:tcPr>
          <w:p>
            <w:pPr>
              <w:jc w:val="right"/>
              <w:ind w:right="560"/>
              <w:spacing w:after="0"/>
              <w:rPr>
                <w:sz w:val="20"/>
                <w:szCs w:val="20"/>
                <w:color w:val="auto"/>
              </w:rPr>
            </w:pPr>
            <w:r>
              <w:rPr>
                <w:rFonts w:ascii="Arial" w:cs="Arial" w:eastAsia="Arial" w:hAnsi="Arial"/>
                <w:sz w:val="16"/>
                <w:szCs w:val="16"/>
                <w:color w:val="auto"/>
              </w:rPr>
              <w:t>1.27%</w:t>
            </w:r>
          </w:p>
        </w:tc>
        <w:tc>
          <w:tcPr>
            <w:tcW w:w="1720" w:type="dxa"/>
            <w:vAlign w:val="bottom"/>
          </w:tcPr>
          <w:p>
            <w:pPr>
              <w:jc w:val="right"/>
              <w:ind w:right="540"/>
              <w:spacing w:after="0"/>
              <w:rPr>
                <w:sz w:val="20"/>
                <w:szCs w:val="20"/>
                <w:color w:val="auto"/>
              </w:rPr>
            </w:pPr>
            <w:r>
              <w:rPr>
                <w:rFonts w:ascii="Arial" w:cs="Arial" w:eastAsia="Arial" w:hAnsi="Arial"/>
                <w:sz w:val="16"/>
                <w:szCs w:val="16"/>
                <w:color w:val="auto"/>
              </w:rPr>
              <w:t>1.25%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Accuracy of Fair Value Estimates</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17. INCOME TAXES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260" w:type="dxa"/>
            <w:vAlign w:val="bottom"/>
            <w:gridSpan w:val="2"/>
          </w:tcPr>
          <w:p>
            <w:pPr>
              <w:spacing w:after="0"/>
              <w:rPr>
                <w:sz w:val="20"/>
                <w:szCs w:val="20"/>
                <w:color w:val="auto"/>
              </w:rPr>
            </w:pPr>
            <w:r>
              <w:rPr>
                <w:rFonts w:ascii="Arial" w:cs="Arial" w:eastAsia="Arial" w:hAnsi="Arial"/>
                <w:sz w:val="16"/>
                <w:szCs w:val="16"/>
                <w:color w:val="auto"/>
              </w:rPr>
              <w:t>The provision for income taxes is as follows:</w:t>
            </w: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4"/>
          </w:tcPr>
          <w:p>
            <w:pPr>
              <w:jc w:val="right"/>
              <w:ind w:right="180"/>
              <w:spacing w:after="0"/>
              <w:rPr>
                <w:sz w:val="20"/>
                <w:szCs w:val="20"/>
                <w:color w:val="auto"/>
              </w:rPr>
            </w:pPr>
            <w:r>
              <w:rPr>
                <w:rFonts w:ascii="Arial" w:cs="Arial" w:eastAsia="Arial" w:hAnsi="Arial"/>
                <w:sz w:val="16"/>
                <w:szCs w:val="16"/>
                <w:color w:val="auto"/>
                <w:w w:val="90"/>
              </w:rPr>
              <w:t>Years ended August 31,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6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2017</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U.S. operations</w:t>
            </w:r>
          </w:p>
        </w:tc>
        <w:tc>
          <w:tcPr>
            <w:tcW w:w="2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199,654</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218,650</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353,434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Non-U.S. operations</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152,184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125,662</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107,559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Income before income taxes</w:t>
            </w:r>
          </w:p>
        </w:tc>
        <w:tc>
          <w:tcPr>
            <w:tcW w:w="2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351,838</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344,312</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460,993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U.S. operations</w:t>
            </w:r>
          </w:p>
        </w:tc>
        <w:tc>
          <w:tcPr>
            <w:tcW w:w="2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65,778</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65,403</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106,671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Non-U.S. operations</w:t>
            </w:r>
          </w:p>
        </w:tc>
        <w:tc>
          <w:tcPr>
            <w:tcW w:w="2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18,975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20,650</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Total provision for income taxes</w:t>
            </w:r>
          </w:p>
        </w:tc>
        <w:tc>
          <w:tcPr>
            <w:tcW w:w="26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84,753</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86,053</w:t>
            </w:r>
          </w:p>
        </w:tc>
        <w:tc>
          <w:tcPr>
            <w:tcW w:w="5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122,178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Pr>
          <w:p>
            <w:pPr>
              <w:ind w:left="560"/>
              <w:spacing w:after="0"/>
              <w:rPr>
                <w:sz w:val="20"/>
                <w:szCs w:val="20"/>
                <w:color w:val="auto"/>
              </w:rPr>
            </w:pPr>
            <w:r>
              <w:rPr>
                <w:rFonts w:ascii="Arial" w:cs="Arial" w:eastAsia="Arial" w:hAnsi="Arial"/>
                <w:sz w:val="16"/>
                <w:szCs w:val="16"/>
                <w:color w:val="auto"/>
              </w:rPr>
              <w:t>Effective tax rate</w:t>
            </w: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tcPr>
          <w:p>
            <w:pPr>
              <w:jc w:val="right"/>
              <w:ind w:right="480"/>
              <w:spacing w:after="0"/>
              <w:rPr>
                <w:sz w:val="20"/>
                <w:szCs w:val="20"/>
                <w:color w:val="auto"/>
              </w:rPr>
            </w:pPr>
            <w:r>
              <w:rPr>
                <w:rFonts w:ascii="Arial" w:cs="Arial" w:eastAsia="Arial" w:hAnsi="Arial"/>
                <w:sz w:val="16"/>
                <w:szCs w:val="16"/>
                <w:color w:val="auto"/>
              </w:rPr>
              <w:t>82</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5" w:right="2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gridSpan w:val="2"/>
          </w:tcPr>
          <w:p>
            <w:pPr>
              <w:spacing w:after="0"/>
              <w:rPr>
                <w:sz w:val="20"/>
                <w:szCs w:val="20"/>
                <w:color w:val="auto"/>
              </w:rPr>
            </w:pPr>
            <w:r>
              <w:rPr>
                <w:rFonts w:ascii="Arial" w:cs="Arial" w:eastAsia="Arial" w:hAnsi="Arial"/>
                <w:sz w:val="16"/>
                <w:szCs w:val="16"/>
                <w:color w:val="auto"/>
              </w:rPr>
              <w:t>The components of the provision for income taxes consist of the following:</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6"/>
                <w:szCs w:val="16"/>
                <w:color w:val="auto"/>
                <w:w w:val="90"/>
              </w:rPr>
              <w:t>Years ended August 31,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2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Current</w:t>
            </w:r>
          </w:p>
        </w:tc>
        <w:tc>
          <w:tcPr>
            <w:tcW w:w="1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U.S. 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58,835</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58,057</w:t>
            </w:r>
          </w:p>
        </w:tc>
        <w:tc>
          <w:tcPr>
            <w:tcW w:w="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97,703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U.S. state and local</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Non-U.S.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15,030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Total current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86,663</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81,174</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117,650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Deferred</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U.S. 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2,079</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4,320</w:t>
            </w:r>
          </w:p>
        </w:tc>
        <w:tc>
          <w:tcPr>
            <w:tcW w:w="120" w:type="dxa"/>
            <w:vAlign w:val="bottom"/>
          </w:tcPr>
          <w:p>
            <w:pPr>
              <w:spacing w:after="0"/>
              <w:rPr>
                <w:sz w:val="16"/>
                <w:szCs w:val="16"/>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U.S. state and local</w:t>
            </w: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Non-U.S.</w:t>
            </w:r>
          </w:p>
        </w:tc>
        <w:tc>
          <w:tcPr>
            <w:tcW w:w="120" w:type="dxa"/>
            <w:vAlign w:val="bottom"/>
          </w:tcPr>
          <w:p>
            <w:pPr>
              <w:spacing w:after="0"/>
              <w:rPr>
                <w:sz w:val="16"/>
                <w:szCs w:val="16"/>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636</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4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deferred taxes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5"/>
                <w:szCs w:val="15"/>
                <w:color w:val="auto"/>
              </w:rPr>
              <w:t>)</w:t>
            </w:r>
          </w:p>
        </w:tc>
        <w:tc>
          <w:tcPr>
            <w:tcW w:w="6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4,879</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40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500" w:type="dxa"/>
            <w:vAlign w:val="bottom"/>
            <w:gridSpan w:val="2"/>
            <w:shd w:val="clear" w:color="auto" w:fill="CCEEFF"/>
          </w:tcPr>
          <w:p>
            <w:pPr>
              <w:jc w:val="right"/>
              <w:ind w:right="120"/>
              <w:spacing w:after="0" w:line="60" w:lineRule="exact"/>
              <w:rPr>
                <w:sz w:val="20"/>
                <w:szCs w:val="20"/>
                <w:color w:val="auto"/>
              </w:rPr>
            </w:pPr>
            <w:r>
              <w:rPr>
                <w:rFonts w:ascii="Arial" w:cs="Arial" w:eastAsia="Arial" w:hAnsi="Arial"/>
                <w:sz w:val="6"/>
                <w:szCs w:val="6"/>
                <w:color w:val="auto"/>
              </w:rPr>
              <w:t>(1,910</w:t>
            </w:r>
          </w:p>
        </w:tc>
        <w:tc>
          <w:tcPr>
            <w:tcW w:w="680" w:type="dxa"/>
            <w:vAlign w:val="bottom"/>
            <w:gridSpan w:val="2"/>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gridSpan w:val="2"/>
            <w:vMerge w:val="continue"/>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Pr>
          <w:p>
            <w:pPr>
              <w:ind w:left="260"/>
              <w:spacing w:after="0"/>
              <w:rPr>
                <w:sz w:val="20"/>
                <w:szCs w:val="20"/>
                <w:color w:val="auto"/>
              </w:rPr>
            </w:pPr>
            <w:r>
              <w:rPr>
                <w:rFonts w:ascii="Arial" w:cs="Arial" w:eastAsia="Arial" w:hAnsi="Arial"/>
                <w:sz w:val="16"/>
                <w:szCs w:val="16"/>
                <w:i w:val="1"/>
                <w:iCs w:val="1"/>
                <w:color w:val="auto"/>
              </w:rPr>
              <w:t>Total provision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84,753</w:t>
            </w:r>
          </w:p>
        </w:tc>
        <w:tc>
          <w:tcPr>
            <w:tcW w:w="6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86,053</w:t>
            </w:r>
          </w:p>
        </w:tc>
        <w:tc>
          <w:tcPr>
            <w:tcW w:w="6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122,178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provision for income taxes differs from the amount of income tax determined by applying the U.S. statutory federal income tax rate to income before income taxes as a result of the following factors: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jc w:val="right"/>
              <w:ind w:right="320"/>
              <w:spacing w:after="0"/>
              <w:rPr>
                <w:sz w:val="20"/>
                <w:szCs w:val="20"/>
                <w:color w:val="auto"/>
              </w:rPr>
            </w:pPr>
            <w:r>
              <w:rPr>
                <w:rFonts w:ascii="Arial" w:cs="Arial" w:eastAsia="Arial" w:hAnsi="Arial"/>
                <w:sz w:val="16"/>
                <w:szCs w:val="16"/>
                <w:color w:val="auto"/>
                <w:w w:val="92"/>
              </w:rPr>
              <w:t>Years ended August 31,</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20" w:type="dxa"/>
            <w:vAlign w:val="bottom"/>
            <w:gridSpan w:val="2"/>
          </w:tcPr>
          <w:p>
            <w:pPr>
              <w:spacing w:after="0"/>
              <w:rPr>
                <w:sz w:val="20"/>
                <w:szCs w:val="20"/>
                <w:color w:val="auto"/>
              </w:rPr>
            </w:pPr>
            <w:r>
              <w:rPr>
                <w:rFonts w:ascii="Arial" w:cs="Arial" w:eastAsia="Arial" w:hAnsi="Arial"/>
                <w:sz w:val="16"/>
                <w:szCs w:val="16"/>
                <w:i w:val="1"/>
                <w:iCs w:val="1"/>
                <w:color w:val="auto"/>
              </w:rPr>
              <w:t>(expressed as a percentage of income before income taxes)</w:t>
            </w:r>
          </w:p>
        </w:tc>
        <w:tc>
          <w:tcPr>
            <w:tcW w:w="1440" w:type="dxa"/>
            <w:vAlign w:val="bottom"/>
          </w:tcPr>
          <w:p>
            <w:pPr>
              <w:jc w:val="right"/>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7"/>
                <w:szCs w:val="17"/>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6"/>
                <w:szCs w:val="16"/>
                <w:color w:val="auto"/>
              </w:rPr>
              <w:t>2017</w:t>
            </w:r>
          </w:p>
        </w:tc>
        <w:tc>
          <w:tcPr>
            <w:tcW w:w="1800" w:type="dxa"/>
            <w:vAlign w:val="bottom"/>
            <w:gridSpan w:val="2"/>
          </w:tcPr>
          <w:p>
            <w:pPr>
              <w:jc w:val="right"/>
              <w:ind w:right="36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Tax at U.S. Federal statutory tax rate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25.7%</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35.0%</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Increase (decrease) in taxes resulting from:</w:t>
            </w: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State and local taxes, net of U.S. federal income tax benefit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tcPr>
          <w:p>
            <w:pPr>
              <w:ind w:left="260"/>
              <w:spacing w:after="0"/>
              <w:rPr>
                <w:sz w:val="20"/>
                <w:szCs w:val="20"/>
                <w:color w:val="auto"/>
              </w:rPr>
            </w:pPr>
            <w:r>
              <w:rPr>
                <w:rFonts w:ascii="Arial" w:cs="Arial" w:eastAsia="Arial" w:hAnsi="Arial"/>
                <w:sz w:val="16"/>
                <w:szCs w:val="16"/>
                <w:color w:val="auto"/>
              </w:rPr>
              <w:t>Foreign income at other than U.S. rates</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(3.2)</w:t>
            </w:r>
          </w:p>
        </w:tc>
        <w:tc>
          <w:tcPr>
            <w:tcW w:w="1920" w:type="dxa"/>
            <w:vAlign w:val="bottom"/>
            <w:gridSpan w:val="2"/>
          </w:tcPr>
          <w:p>
            <w:pPr>
              <w:jc w:val="right"/>
              <w:ind w:right="160"/>
              <w:spacing w:after="0" w:line="228" w:lineRule="exact"/>
              <w:rPr>
                <w:sz w:val="20"/>
                <w:szCs w:val="20"/>
                <w:color w:val="auto"/>
              </w:rPr>
            </w:pPr>
            <w:r>
              <w:rPr>
                <w:rFonts w:ascii="Arial" w:cs="Arial" w:eastAsia="Arial" w:hAnsi="Arial"/>
                <w:sz w:val="16"/>
                <w:szCs w:val="16"/>
                <w:color w:val="auto"/>
              </w:rPr>
              <w:t xml:space="preserve">(7.0) </w:t>
            </w:r>
            <w:r>
              <w:rPr>
                <w:rFonts w:ascii="Arial" w:cs="Arial" w:eastAsia="Arial" w:hAnsi="Arial"/>
                <w:sz w:val="26"/>
                <w:szCs w:val="26"/>
                <w:color w:val="auto"/>
                <w:vertAlign w:val="superscript"/>
              </w:rPr>
              <w:t>(3)</w:t>
            </w:r>
          </w:p>
        </w:tc>
        <w:tc>
          <w:tcPr>
            <w:tcW w:w="1800" w:type="dxa"/>
            <w:vAlign w:val="bottom"/>
            <w:gridSpan w:val="2"/>
          </w:tcPr>
          <w:p>
            <w:pPr>
              <w:jc w:val="right"/>
              <w:ind w:right="60"/>
              <w:spacing w:after="0" w:line="228" w:lineRule="exact"/>
              <w:rPr>
                <w:sz w:val="20"/>
                <w:szCs w:val="20"/>
                <w:color w:val="auto"/>
              </w:rPr>
            </w:pPr>
            <w:r>
              <w:rPr>
                <w:rFonts w:ascii="Arial" w:cs="Arial" w:eastAsia="Arial" w:hAnsi="Arial"/>
                <w:sz w:val="16"/>
                <w:szCs w:val="16"/>
                <w:color w:val="auto"/>
              </w:rPr>
              <w:t xml:space="preserve">(5.0) </w:t>
            </w:r>
            <w:r>
              <w:rPr>
                <w:rFonts w:ascii="Arial" w:cs="Arial" w:eastAsia="Arial" w:hAnsi="Arial"/>
                <w:sz w:val="26"/>
                <w:szCs w:val="26"/>
                <w:color w:val="auto"/>
                <w:vertAlign w:val="superscript"/>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Domestic production activities deduction</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w:t>
            </w:r>
          </w:p>
        </w:tc>
        <w:tc>
          <w:tcPr>
            <w:tcW w:w="1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tcPr>
          <w:p>
            <w:pPr>
              <w:ind w:left="260"/>
              <w:spacing w:after="0"/>
              <w:rPr>
                <w:sz w:val="20"/>
                <w:szCs w:val="20"/>
                <w:color w:val="auto"/>
              </w:rPr>
            </w:pPr>
            <w:r>
              <w:rPr>
                <w:rFonts w:ascii="Arial" w:cs="Arial" w:eastAsia="Arial" w:hAnsi="Arial"/>
                <w:sz w:val="16"/>
                <w:szCs w:val="16"/>
                <w:color w:val="auto"/>
              </w:rPr>
              <w:t>Income tax benefits from R&amp;D tax credits</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(3.7)</w:t>
            </w:r>
          </w:p>
        </w:tc>
        <w:tc>
          <w:tcPr>
            <w:tcW w:w="1920" w:type="dxa"/>
            <w:vAlign w:val="bottom"/>
            <w:gridSpan w:val="2"/>
          </w:tcPr>
          <w:p>
            <w:pPr>
              <w:jc w:val="right"/>
              <w:ind w:right="420"/>
              <w:spacing w:after="0"/>
              <w:rPr>
                <w:sz w:val="20"/>
                <w:szCs w:val="20"/>
                <w:color w:val="auto"/>
              </w:rPr>
            </w:pPr>
            <w:r>
              <w:rPr>
                <w:rFonts w:ascii="Arial" w:cs="Arial" w:eastAsia="Arial" w:hAnsi="Arial"/>
                <w:sz w:val="16"/>
                <w:szCs w:val="16"/>
                <w:color w:val="auto"/>
              </w:rPr>
              <w:t>(3.3)</w:t>
            </w:r>
          </w:p>
        </w:tc>
        <w:tc>
          <w:tcPr>
            <w:tcW w:w="1800" w:type="dxa"/>
            <w:vAlign w:val="bottom"/>
            <w:gridSpan w:val="2"/>
          </w:tcPr>
          <w:p>
            <w:pPr>
              <w:jc w:val="right"/>
              <w:ind w:right="30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 benefits from foreign tax credits</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(0.3)</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tcPr>
          <w:p>
            <w:pPr>
              <w:ind w:left="260"/>
              <w:spacing w:after="0" w:line="228" w:lineRule="exact"/>
              <w:rPr>
                <w:sz w:val="20"/>
                <w:szCs w:val="20"/>
                <w:color w:val="auto"/>
              </w:rPr>
            </w:pPr>
            <w:r>
              <w:rPr>
                <w:rFonts w:ascii="Arial" w:cs="Arial" w:eastAsia="Arial" w:hAnsi="Arial"/>
                <w:sz w:val="16"/>
                <w:szCs w:val="16"/>
                <w:color w:val="auto"/>
              </w:rPr>
              <w:t>Share-Based Payments</w:t>
            </w:r>
            <w:r>
              <w:rPr>
                <w:rFonts w:ascii="Arial" w:cs="Arial" w:eastAsia="Arial" w:hAnsi="Arial"/>
                <w:sz w:val="26"/>
                <w:szCs w:val="26"/>
                <w:color w:val="auto"/>
                <w:vertAlign w:val="superscript"/>
              </w:rPr>
              <w:t>(1)</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(2.7)</w:t>
            </w:r>
          </w:p>
        </w:tc>
        <w:tc>
          <w:tcPr>
            <w:tcW w:w="19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shd w:val="clear" w:color="auto" w:fill="CCEEFF"/>
          </w:tcPr>
          <w:p>
            <w:pPr>
              <w:ind w:left="260"/>
              <w:spacing w:after="0" w:line="228" w:lineRule="exact"/>
              <w:rPr>
                <w:sz w:val="20"/>
                <w:szCs w:val="20"/>
                <w:color w:val="auto"/>
              </w:rPr>
            </w:pPr>
            <w:r>
              <w:rPr>
                <w:rFonts w:ascii="Arial" w:cs="Arial" w:eastAsia="Arial" w:hAnsi="Arial"/>
                <w:sz w:val="16"/>
                <w:szCs w:val="16"/>
                <w:color w:val="auto"/>
              </w:rPr>
              <w:t>One-time transition tax from TCJA</w:t>
            </w:r>
            <w:r>
              <w:rPr>
                <w:rFonts w:ascii="Arial" w:cs="Arial" w:eastAsia="Arial" w:hAnsi="Arial"/>
                <w:sz w:val="26"/>
                <w:szCs w:val="26"/>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0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0.9</w:t>
            </w:r>
          </w:p>
        </w:tc>
        <w:tc>
          <w:tcPr>
            <w:tcW w:w="460" w:type="dxa"/>
            <w:vAlign w:val="bottom"/>
          </w:tcPr>
          <w:p>
            <w:pPr>
              <w:spacing w:after="0"/>
              <w:rPr>
                <w:sz w:val="16"/>
                <w:szCs w:val="16"/>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6"/>
                <w:szCs w:val="16"/>
                <w:i w:val="1"/>
                <w:iCs w:val="1"/>
                <w:color w:val="auto"/>
              </w:rPr>
              <w:t>Effective tax rate</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w:t>
            </w:r>
          </w:p>
        </w:tc>
        <w:tc>
          <w:tcPr>
            <w:tcW w:w="19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25.0%</w:t>
            </w:r>
          </w:p>
        </w:tc>
        <w:tc>
          <w:tcPr>
            <w:tcW w:w="1800" w:type="dxa"/>
            <w:vAlign w:val="bottom"/>
            <w:gridSpan w:val="2"/>
            <w:shd w:val="clear" w:color="auto" w:fill="CCEEFF"/>
          </w:tcPr>
          <w:p>
            <w:pPr>
              <w:jc w:val="right"/>
              <w:ind w:right="60"/>
              <w:spacing w:after="0" w:line="220" w:lineRule="exact"/>
              <w:rPr>
                <w:sz w:val="20"/>
                <w:szCs w:val="20"/>
                <w:color w:val="auto"/>
              </w:rPr>
            </w:pPr>
            <w:r>
              <w:rPr>
                <w:rFonts w:ascii="Arial" w:cs="Arial" w:eastAsia="Arial" w:hAnsi="Arial"/>
                <w:sz w:val="16"/>
                <w:szCs w:val="16"/>
                <w:color w:val="auto"/>
              </w:rPr>
              <w:t>26.5%</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420" w:right="140" w:hanging="280"/>
        <w:spacing w:after="0" w:line="231" w:lineRule="auto"/>
        <w:tabs>
          <w:tab w:leader="none" w:pos="42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During the first quarter of fiscal 2018, FactSet adopted an accounting standard that requires all excess tax benefits or deficiencies related to share-based payments to be reported within the consolidated statement of income that were previously reported within equity. The adoption of this standard resulted in the recognition of $9.5 million of excess tax benefits to FactSet’s provision for income taxes during fiscal 2018.</w:t>
      </w:r>
    </w:p>
    <w:p>
      <w:pPr>
        <w:spacing w:after="0" w:line="61" w:lineRule="exact"/>
        <w:rPr>
          <w:rFonts w:ascii="Arial" w:cs="Arial" w:eastAsia="Arial" w:hAnsi="Arial"/>
          <w:sz w:val="21"/>
          <w:szCs w:val="21"/>
          <w:i w:val="1"/>
          <w:iCs w:val="1"/>
          <w:color w:val="auto"/>
          <w:vertAlign w:val="superscript"/>
        </w:rPr>
      </w:pPr>
    </w:p>
    <w:p>
      <w:pPr>
        <w:ind w:left="420" w:hanging="280"/>
        <w:spacing w:after="0"/>
        <w:tabs>
          <w:tab w:leader="none" w:pos="42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enactment of the TCJA resulted in a one-time transition tax expense of $23.2 million during the second quarter of fiscal 2018.</w:t>
      </w:r>
    </w:p>
    <w:p>
      <w:pPr>
        <w:spacing w:after="0" w:line="95" w:lineRule="exact"/>
        <w:rPr>
          <w:rFonts w:ascii="Arial" w:cs="Arial" w:eastAsia="Arial" w:hAnsi="Arial"/>
          <w:sz w:val="21"/>
          <w:szCs w:val="21"/>
          <w:i w:val="1"/>
          <w:iCs w:val="1"/>
          <w:color w:val="auto"/>
          <w:vertAlign w:val="superscript"/>
        </w:rPr>
      </w:pPr>
    </w:p>
    <w:p>
      <w:pPr>
        <w:ind w:left="420" w:right="60" w:hanging="280"/>
        <w:spacing w:after="0" w:line="236" w:lineRule="auto"/>
        <w:tabs>
          <w:tab w:leader="none" w:pos="42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a 200 basis point benefit as a result of FactSet’s global realignment. Effective September 1, 2016, FactSet realigned certain aspects of its global operations from FactSet Research Systems Inc., its U.S. parent company, to FactSet UK Limited, a U.K. operating company, to better position the Company to serve its growing client base outside the U.S. This realignment allows the Company to further implement strategic corporate objectives and helps achieve operational and financial efficiencies, while complementing FactSet’s increasing global growth and reach.</w:t>
      </w:r>
    </w:p>
    <w:p>
      <w:pPr>
        <w:spacing w:after="0" w:line="59" w:lineRule="exact"/>
        <w:rPr>
          <w:rFonts w:ascii="Arial" w:cs="Arial" w:eastAsia="Arial" w:hAnsi="Arial"/>
          <w:sz w:val="21"/>
          <w:szCs w:val="21"/>
          <w:i w:val="1"/>
          <w:iCs w:val="1"/>
          <w:color w:val="auto"/>
          <w:vertAlign w:val="superscript"/>
        </w:rPr>
      </w:pPr>
    </w:p>
    <w:p>
      <w:pPr>
        <w:ind w:left="420" w:hanging="280"/>
        <w:spacing w:after="0"/>
        <w:tabs>
          <w:tab w:leader="none" w:pos="42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a portion of the gain from the sale of the Market Metrics business that was not taxable in the UK</w:t>
      </w:r>
    </w:p>
    <w:p>
      <w:pPr>
        <w:spacing w:after="0" w:line="95" w:lineRule="exact"/>
        <w:rPr>
          <w:rFonts w:ascii="Arial" w:cs="Arial" w:eastAsia="Arial" w:hAnsi="Arial"/>
          <w:sz w:val="21"/>
          <w:szCs w:val="21"/>
          <w:i w:val="1"/>
          <w:iCs w:val="1"/>
          <w:color w:val="auto"/>
          <w:vertAlign w:val="superscript"/>
        </w:rPr>
      </w:pPr>
    </w:p>
    <w:p>
      <w:pPr>
        <w:ind w:left="420" w:right="80" w:hanging="280"/>
        <w:spacing w:after="0" w:line="231" w:lineRule="auto"/>
        <w:tabs>
          <w:tab w:leader="none" w:pos="42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fiscal 2016 effective tax rate of 26.5% includes income tax benefits of $10.5 million primarily from the permanent reenactment of the U.S. Federal R&amp;D Tax Credit (“R&amp;D tax credit”) in December 2015, finalizing the fiscal 2015 tax returns and other discrete items. The reenactment of the R&amp;D tax credit was retroactive to January 1, 2015, and eliminates the yearly uncertainty surrounding the extension of the credit.</w:t>
      </w:r>
    </w:p>
    <w:p>
      <w:pPr>
        <w:spacing w:after="0" w:line="242"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On December 22, 2017, the U.S. government enacted comprehensive tax legislation through the TCJA. The TCJA significantly revises the U.S. corporate income tax including, lowering the statutory U.S. corporate income tax rate from 35% to 21%, effective January 1, 2018, implementing a modified territorial tax system and imposing a mandatory one-time transition tax on accumulated earnings and profits (“E&amp;P”) of foreign subsidiaries that were previously deferred from U.S. income taxes. While the company has not finalized the accounting for the tax effects of the enactment of the TCJA, FactSet has made a reasonable estimate of the effects on the existing U.S. deferred tax balances and the one-time transition tax. The Company will continue to refine its calculations as additional analyses are completed. In addition, the estimates may also be affected by changes in interpretations at the federal and state levels, and any additional regulatory guidance that may be issued.</w:t>
      </w:r>
    </w:p>
    <w:p>
      <w:pPr>
        <w:spacing w:after="0" w:line="160"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FactSet had approximately $250.0 million in undistributed foreign E&amp;P generated prior to December 31, 2017, which resulted in a one-time transition tax expense of $23.2 million recorded during the second quarter of fiscal 2018, payable over an eight-year period. This amount may change as the Company finalizes the calculation of foreign E&amp;P previously deferred from U.S. federal taxation, as well as the analysis of available foreign tax credits. Due to the changes in taxation of undistributed foreign earnings under the TCJA, FactSet will continue to analyze foreign subsidiary earnings, as well as global working capital requirements, and may repatriate earnings when the amounts are remitted substantially free of additional tax.</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83" w:name="page84"/>
    <w:bookmarkEnd w:id="83"/>
    <w:p>
      <w:pPr>
        <w:ind w:right="40"/>
        <w:spacing w:after="0" w:line="233" w:lineRule="auto"/>
        <w:rPr>
          <w:sz w:val="20"/>
          <w:szCs w:val="20"/>
          <w:color w:val="auto"/>
        </w:rPr>
      </w:pPr>
      <w:r>
        <w:rPr>
          <w:rFonts w:ascii="Arial" w:cs="Arial" w:eastAsia="Arial" w:hAnsi="Arial"/>
          <w:sz w:val="16"/>
          <w:szCs w:val="16"/>
          <w:color w:val="auto"/>
        </w:rPr>
        <w:t>Due to FactSet’s August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fiscal year-end, the lower tax rate was phased in, resulting in a blended U.S. statutory federal rate of 25.7% for the full fiscal 2018 year and a 21% rate for subsequent years. The reduction in the statutory federal rate also required the remeasurement of the Company’s net U.S. deferred tax position, which resulted in a non-recurring tax charge of $2.3 million. The provisional expense related to the one-time transition tax on the undistributed foreign earnings and the non-recurring tax charge from the remeasurement of deferred taxes were partially offset by the lower blended U.S. statutory rate and the recognition of excess tax benefits from the adoption of the employee share-based payment accounting standard.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00" w:type="dxa"/>
            <w:vAlign w:val="bottom"/>
            <w:gridSpan w:val="2"/>
          </w:tcPr>
          <w:p>
            <w:pPr>
              <w:spacing w:after="0"/>
              <w:rPr>
                <w:sz w:val="20"/>
                <w:szCs w:val="20"/>
                <w:color w:val="auto"/>
              </w:rPr>
            </w:pPr>
            <w:r>
              <w:rPr>
                <w:rFonts w:ascii="Arial" w:cs="Arial" w:eastAsia="Arial" w:hAnsi="Arial"/>
                <w:sz w:val="16"/>
                <w:szCs w:val="16"/>
                <w:color w:val="auto"/>
              </w:rPr>
              <w:t>Deferred Tax Assets and Liabilities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4"/>
        </w:trPr>
        <w:tc>
          <w:tcPr>
            <w:tcW w:w="7900" w:type="dxa"/>
            <w:vAlign w:val="bottom"/>
            <w:gridSpan w:val="2"/>
          </w:tcPr>
          <w:p>
            <w:pPr>
              <w:spacing w:after="0"/>
              <w:rPr>
                <w:sz w:val="20"/>
                <w:szCs w:val="20"/>
                <w:color w:val="auto"/>
              </w:rPr>
            </w:pPr>
            <w:r>
              <w:rPr>
                <w:rFonts w:ascii="Arial" w:cs="Arial" w:eastAsia="Arial" w:hAnsi="Arial"/>
                <w:sz w:val="16"/>
                <w:szCs w:val="16"/>
                <w:color w:val="auto"/>
                <w:w w:val="92"/>
              </w:rPr>
              <w:t>The significant components of deferred tax assets that recorded within the Consolidated Balance Sheet were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4"/>
          </w:tcPr>
          <w:p>
            <w:pPr>
              <w:jc w:val="right"/>
              <w:ind w:right="245"/>
              <w:spacing w:after="0"/>
              <w:rPr>
                <w:sz w:val="20"/>
                <w:szCs w:val="20"/>
                <w:color w:val="auto"/>
              </w:rPr>
            </w:pPr>
            <w:r>
              <w:rPr>
                <w:rFonts w:ascii="Arial" w:cs="Arial" w:eastAsia="Arial" w:hAnsi="Arial"/>
                <w:sz w:val="16"/>
                <w:szCs w:val="16"/>
                <w:color w:val="auto"/>
              </w:rPr>
              <w:t>At August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79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80" w:type="dxa"/>
            <w:vAlign w:val="bottom"/>
          </w:tcPr>
          <w:p>
            <w:pPr>
              <w:ind w:left="400"/>
              <w:spacing w:after="0"/>
              <w:rPr>
                <w:sz w:val="20"/>
                <w:szCs w:val="20"/>
                <w:color w:val="auto"/>
              </w:rPr>
            </w:pPr>
            <w:r>
              <w:rPr>
                <w:rFonts w:ascii="Arial" w:cs="Arial" w:eastAsia="Arial" w:hAnsi="Arial"/>
                <w:sz w:val="16"/>
                <w:szCs w:val="16"/>
                <w:color w:val="auto"/>
              </w:rPr>
              <w:t>Receivable reserve</w:t>
            </w:r>
          </w:p>
        </w:tc>
        <w:tc>
          <w:tcPr>
            <w:tcW w:w="780" w:type="dxa"/>
            <w:vAlign w:val="bottom"/>
            <w:gridSpan w:val="2"/>
          </w:tcPr>
          <w:p>
            <w:pPr>
              <w:jc w:val="right"/>
              <w:ind w:right="405"/>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599</w:t>
            </w:r>
          </w:p>
        </w:tc>
        <w:tc>
          <w:tcPr>
            <w:tcW w:w="740" w:type="dxa"/>
            <w:vAlign w:val="bottom"/>
            <w:gridSpan w:val="2"/>
          </w:tcPr>
          <w:p>
            <w:pPr>
              <w:jc w:val="right"/>
              <w:ind w:right="50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811</w:t>
            </w: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on property, equipment and leasehold improvements</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2,220</w:t>
            </w:r>
          </w:p>
        </w:tc>
      </w:tr>
      <w:tr>
        <w:trPr>
          <w:trHeight w:val="192"/>
        </w:trPr>
        <w:tc>
          <w:tcPr>
            <w:tcW w:w="20" w:type="dxa"/>
            <w:vAlign w:val="bottom"/>
          </w:tcPr>
          <w:p>
            <w:pPr>
              <w:spacing w:after="0"/>
              <w:rPr>
                <w:sz w:val="16"/>
                <w:szCs w:val="16"/>
                <w:color w:val="auto"/>
              </w:rPr>
            </w:pPr>
          </w:p>
        </w:tc>
        <w:tc>
          <w:tcPr>
            <w:tcW w:w="7880" w:type="dxa"/>
            <w:vAlign w:val="bottom"/>
          </w:tcPr>
          <w:p>
            <w:pPr>
              <w:ind w:left="400"/>
              <w:spacing w:after="0"/>
              <w:rPr>
                <w:sz w:val="20"/>
                <w:szCs w:val="20"/>
                <w:color w:val="auto"/>
              </w:rPr>
            </w:pPr>
            <w:r>
              <w:rPr>
                <w:rFonts w:ascii="Arial" w:cs="Arial" w:eastAsia="Arial" w:hAnsi="Arial"/>
                <w:sz w:val="16"/>
                <w:szCs w:val="16"/>
                <w:color w:val="auto"/>
              </w:rPr>
              <w:t>Deferred rent</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7,711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11,615</w:t>
            </w: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14,827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20,117</w:t>
            </w:r>
          </w:p>
        </w:tc>
      </w:tr>
      <w:tr>
        <w:trPr>
          <w:trHeight w:val="192"/>
        </w:trPr>
        <w:tc>
          <w:tcPr>
            <w:tcW w:w="20" w:type="dxa"/>
            <w:vAlign w:val="bottom"/>
          </w:tcPr>
          <w:p>
            <w:pPr>
              <w:spacing w:after="0"/>
              <w:rPr>
                <w:sz w:val="16"/>
                <w:szCs w:val="16"/>
                <w:color w:val="auto"/>
              </w:rPr>
            </w:pPr>
          </w:p>
        </w:tc>
        <w:tc>
          <w:tcPr>
            <w:tcW w:w="7880" w:type="dxa"/>
            <w:vAlign w:val="bottom"/>
          </w:tcPr>
          <w:p>
            <w:pPr>
              <w:ind w:left="400"/>
              <w:spacing w:after="0"/>
              <w:rPr>
                <w:sz w:val="20"/>
                <w:szCs w:val="20"/>
                <w:color w:val="auto"/>
              </w:rPr>
            </w:pPr>
            <w:r>
              <w:rPr>
                <w:rFonts w:ascii="Arial" w:cs="Arial" w:eastAsia="Arial" w:hAnsi="Arial"/>
                <w:sz w:val="16"/>
                <w:szCs w:val="16"/>
                <w:color w:val="auto"/>
              </w:rPr>
              <w:t>Purchased intangible assets, including acquired technology</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(24,059)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(32,742)</w:t>
            </w: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8,059</w:t>
            </w:r>
          </w:p>
        </w:tc>
      </w:tr>
      <w:tr>
        <w:trPr>
          <w:trHeight w:val="20"/>
        </w:trPr>
        <w:tc>
          <w:tcPr>
            <w:tcW w:w="20" w:type="dxa"/>
            <w:vAlign w:val="bottom"/>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tcPr>
          <w:p>
            <w:pPr>
              <w:ind w:left="700"/>
              <w:spacing w:after="0"/>
              <w:rPr>
                <w:sz w:val="20"/>
                <w:szCs w:val="20"/>
                <w:color w:val="auto"/>
              </w:rPr>
            </w:pPr>
            <w:r>
              <w:rPr>
                <w:rFonts w:ascii="Arial" w:cs="Arial" w:eastAsia="Arial" w:hAnsi="Arial"/>
                <w:sz w:val="16"/>
                <w:szCs w:val="16"/>
                <w:i w:val="1"/>
                <w:iCs w:val="1"/>
                <w:color w:val="auto"/>
              </w:rPr>
              <w:t>Total deferred tax assets</w:t>
            </w:r>
          </w:p>
        </w:tc>
        <w:tc>
          <w:tcPr>
            <w:tcW w:w="220" w:type="dxa"/>
            <w:vAlign w:val="bottom"/>
          </w:tcPr>
          <w:p>
            <w:pPr>
              <w:spacing w:after="0"/>
              <w:rPr>
                <w:sz w:val="17"/>
                <w:szCs w:val="17"/>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10,080</w:t>
            </w:r>
          </w:p>
        </w:tc>
      </w:tr>
      <w:tr>
        <w:trPr>
          <w:trHeight w:val="372"/>
        </w:trPr>
        <w:tc>
          <w:tcPr>
            <w:tcW w:w="7900" w:type="dxa"/>
            <w:vAlign w:val="bottom"/>
            <w:gridSpan w:val="2"/>
          </w:tcPr>
          <w:p>
            <w:pPr>
              <w:spacing w:after="0"/>
              <w:rPr>
                <w:sz w:val="20"/>
                <w:szCs w:val="20"/>
                <w:color w:val="auto"/>
              </w:rPr>
            </w:pPr>
            <w:r>
              <w:rPr>
                <w:rFonts w:ascii="Arial" w:cs="Arial" w:eastAsia="Arial" w:hAnsi="Arial"/>
                <w:sz w:val="16"/>
                <w:szCs w:val="16"/>
                <w:color w:val="auto"/>
                <w:w w:val="94"/>
              </w:rPr>
              <w:t>The significant components of deferred tax liabilities recorded within the Consolidated Balance Sheet were as follows: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4"/>
          </w:tcPr>
          <w:p>
            <w:pPr>
              <w:jc w:val="right"/>
              <w:ind w:right="245"/>
              <w:spacing w:after="0"/>
              <w:rPr>
                <w:sz w:val="20"/>
                <w:szCs w:val="20"/>
                <w:color w:val="auto"/>
              </w:rPr>
            </w:pPr>
            <w:r>
              <w:rPr>
                <w:rFonts w:ascii="Arial" w:cs="Arial" w:eastAsia="Arial" w:hAnsi="Arial"/>
                <w:sz w:val="16"/>
                <w:szCs w:val="16"/>
                <w:color w:val="auto"/>
              </w:rPr>
              <w:t>At August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79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80" w:type="dxa"/>
            <w:vAlign w:val="bottom"/>
          </w:tcPr>
          <w:p>
            <w:pPr>
              <w:ind w:left="40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tcPr>
          <w:p>
            <w:pPr>
              <w:jc w:val="right"/>
              <w:ind w:right="405"/>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(946)</w:t>
            </w:r>
          </w:p>
        </w:tc>
        <w:tc>
          <w:tcPr>
            <w:tcW w:w="740" w:type="dxa"/>
            <w:vAlign w:val="bottom"/>
            <w:gridSpan w:val="2"/>
          </w:tcPr>
          <w:p>
            <w:pPr>
              <w:jc w:val="right"/>
              <w:ind w:right="50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(815)</w:t>
            </w:r>
          </w:p>
        </w:tc>
      </w:tr>
      <w:tr>
        <w:trPr>
          <w:trHeight w:val="192"/>
        </w:trPr>
        <w:tc>
          <w:tcPr>
            <w:tcW w:w="20" w:type="dxa"/>
            <w:vAlign w:val="bottom"/>
          </w:tcPr>
          <w:p>
            <w:pPr>
              <w:spacing w:after="0"/>
              <w:rPr>
                <w:sz w:val="16"/>
                <w:szCs w:val="16"/>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Purchased intangible assets, including acquired technology</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22,429</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26,231</w:t>
            </w:r>
          </w:p>
        </w:tc>
      </w:tr>
      <w:tr>
        <w:trPr>
          <w:trHeight w:val="192"/>
        </w:trPr>
        <w:tc>
          <w:tcPr>
            <w:tcW w:w="20" w:type="dxa"/>
            <w:vAlign w:val="bottom"/>
          </w:tcPr>
          <w:p>
            <w:pPr>
              <w:spacing w:after="0"/>
              <w:rPr>
                <w:sz w:val="16"/>
                <w:szCs w:val="16"/>
                <w:color w:val="auto"/>
              </w:rPr>
            </w:pPr>
          </w:p>
        </w:tc>
        <w:tc>
          <w:tcPr>
            <w:tcW w:w="7880" w:type="dxa"/>
            <w:vAlign w:val="bottom"/>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1,858</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880" w:type="dxa"/>
            <w:vAlign w:val="bottom"/>
            <w:shd w:val="clear" w:color="auto" w:fill="CCEEFF"/>
          </w:tcPr>
          <w:p>
            <w:pPr>
              <w:ind w:left="700"/>
              <w:spacing w:after="0"/>
              <w:rPr>
                <w:sz w:val="20"/>
                <w:szCs w:val="20"/>
                <w:color w:val="auto"/>
              </w:rPr>
            </w:pPr>
            <w:r>
              <w:rPr>
                <w:rFonts w:ascii="Arial" w:cs="Arial" w:eastAsia="Arial" w:hAnsi="Arial"/>
                <w:sz w:val="16"/>
                <w:szCs w:val="16"/>
                <w:i w:val="1"/>
                <w:iCs w:val="1"/>
                <w:color w:val="auto"/>
              </w:rPr>
              <w:t>Total deferred tax liabilities</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27,274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Positions</w:t>
      </w:r>
    </w:p>
    <w:p>
      <w:pPr>
        <w:spacing w:after="0" w:line="200" w:lineRule="exact"/>
        <w:rPr>
          <w:sz w:val="20"/>
          <w:szCs w:val="20"/>
          <w:color w:val="auto"/>
        </w:rPr>
      </w:pPr>
    </w:p>
    <w:p>
      <w:pPr>
        <w:ind w:right="120"/>
        <w:spacing w:after="0" w:line="302" w:lineRule="auto"/>
        <w:rPr>
          <w:sz w:val="20"/>
          <w:szCs w:val="20"/>
          <w:color w:val="auto"/>
        </w:rPr>
      </w:pPr>
      <w:r>
        <w:rPr>
          <w:rFonts w:ascii="Arial" w:cs="Arial" w:eastAsia="Arial" w:hAnsi="Arial"/>
          <w:sz w:val="14"/>
          <w:szCs w:val="14"/>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5"/>
          <w:szCs w:val="15"/>
          <w:color w:val="auto"/>
        </w:rPr>
        <w:t xml:space="preserve">As of August 31, 2018, the Company had gross unrecognized tax benefits totaling $9.2 million, including $1.1 million of accrued interest, recorded as </w:t>
      </w:r>
      <w:r>
        <w:rPr>
          <w:rFonts w:ascii="Arial" w:cs="Arial" w:eastAsia="Arial" w:hAnsi="Arial"/>
          <w:sz w:val="15"/>
          <w:szCs w:val="15"/>
          <w:i w:val="1"/>
          <w:iCs w:val="1"/>
          <w:color w:val="auto"/>
        </w:rPr>
        <w:t>Non-current taxes payable</w:t>
      </w:r>
      <w:r>
        <w:rPr>
          <w:rFonts w:ascii="Arial" w:cs="Arial" w:eastAsia="Arial" w:hAnsi="Arial"/>
          <w:sz w:val="15"/>
          <w:szCs w:val="15"/>
          <w:color w:val="auto"/>
        </w:rPr>
        <w:t xml:space="preserve"> within the Consolidated Balance Sheet. Unrecognized tax benefits represent tax positions taken on tax returns but not yet recognized in the consolidated financial statements.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The following table summarizes the changes in the balance of gross unrecognized tax benefits: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94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94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Unrecognized income tax benefits at August 31, 2015</w:t>
            </w:r>
          </w:p>
        </w:tc>
        <w:tc>
          <w:tcPr>
            <w:tcW w:w="3440" w:type="dxa"/>
            <w:vAlign w:val="bottom"/>
            <w:gridSpan w:val="2"/>
            <w:shd w:val="clear" w:color="auto" w:fill="CCEEFF"/>
          </w:tcPr>
          <w:p>
            <w:pPr>
              <w:jc w:val="right"/>
              <w:ind w:right="405"/>
              <w:spacing w:after="0" w:line="165"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line="165" w:lineRule="exact"/>
              <w:rPr>
                <w:sz w:val="20"/>
                <w:szCs w:val="20"/>
                <w:color w:val="auto"/>
              </w:rPr>
            </w:pPr>
            <w:r>
              <w:rPr>
                <w:rFonts w:ascii="Arial" w:cs="Arial" w:eastAsia="Arial" w:hAnsi="Arial"/>
                <w:sz w:val="16"/>
                <w:szCs w:val="16"/>
                <w:color w:val="auto"/>
              </w:rPr>
              <w:t>6,776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Additions based on tax positions related to the current year</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for tax positions of prior years</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Statute of limitations lapse</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Unrecognized income tax benefits at August 31, 2016</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Additions based on tax positions related to the current year</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for tax positions of prior years</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Statute of limitations lapse</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Unrecognized income tax benefits at August 31, 2017</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Additions based on tax positions related to the current year</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Additions for tax positions of prior years</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tcPr>
          <w:p>
            <w:pPr>
              <w:ind w:left="260"/>
              <w:spacing w:after="0"/>
              <w:rPr>
                <w:sz w:val="20"/>
                <w:szCs w:val="20"/>
                <w:color w:val="auto"/>
              </w:rPr>
            </w:pPr>
            <w:r>
              <w:rPr>
                <w:rFonts w:ascii="Arial" w:cs="Arial" w:eastAsia="Arial" w:hAnsi="Arial"/>
                <w:sz w:val="16"/>
                <w:szCs w:val="16"/>
                <w:color w:val="auto"/>
              </w:rPr>
              <w:t>Statute of limitations lapse</w:t>
            </w:r>
          </w:p>
        </w:tc>
        <w:tc>
          <w:tcPr>
            <w:tcW w:w="2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Reductions from settlements with Taxing Authorities</w:t>
            </w:r>
          </w:p>
        </w:tc>
        <w:tc>
          <w:tcPr>
            <w:tcW w:w="2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40" w:type="dxa"/>
            <w:vAlign w:val="bottom"/>
          </w:tcPr>
          <w:p>
            <w:pPr>
              <w:spacing w:after="0"/>
              <w:rPr>
                <w:sz w:val="20"/>
                <w:szCs w:val="20"/>
                <w:color w:val="auto"/>
              </w:rPr>
            </w:pPr>
            <w:r>
              <w:rPr>
                <w:rFonts w:ascii="Arial" w:cs="Arial" w:eastAsia="Arial" w:hAnsi="Arial"/>
                <w:sz w:val="16"/>
                <w:szCs w:val="16"/>
                <w:color w:val="auto"/>
              </w:rPr>
              <w:t>Unrecognized income tax benefits at August 31, 2018</w:t>
            </w:r>
          </w:p>
        </w:tc>
        <w:tc>
          <w:tcPr>
            <w:tcW w:w="2880" w:type="dxa"/>
            <w:vAlign w:val="bottom"/>
          </w:tcPr>
          <w:p>
            <w:pPr>
              <w:spacing w:after="0"/>
              <w:rPr>
                <w:sz w:val="17"/>
                <w:szCs w:val="17"/>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9,223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In the normal course of business, the Company’s tax filings are subject to audit by federal, state and foreign tax authorities. At August 31, 2018, the Company remained subject to examination in the following major tax jurisdictions for the tax years as indicated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80" w:type="dxa"/>
            <w:vAlign w:val="bottom"/>
            <w:gridSpan w:val="2"/>
          </w:tcPr>
          <w:p>
            <w:pPr>
              <w:spacing w:after="0"/>
              <w:rPr>
                <w:sz w:val="20"/>
                <w:szCs w:val="20"/>
                <w:color w:val="auto"/>
              </w:rPr>
            </w:pPr>
            <w:r>
              <w:rPr>
                <w:rFonts w:ascii="Arial" w:cs="Arial" w:eastAsia="Arial" w:hAnsi="Arial"/>
                <w:sz w:val="16"/>
                <w:szCs w:val="16"/>
                <w:color w:val="auto"/>
              </w:rPr>
              <w:t>Major Tax Jurisdictions</w:t>
            </w: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gridSpan w:val="5"/>
          </w:tcPr>
          <w:p>
            <w:pPr>
              <w:ind w:left="240"/>
              <w:spacing w:after="0"/>
              <w:rPr>
                <w:sz w:val="20"/>
                <w:szCs w:val="20"/>
                <w:color w:val="auto"/>
              </w:rPr>
            </w:pPr>
            <w:r>
              <w:rPr>
                <w:rFonts w:ascii="Arial" w:cs="Arial" w:eastAsia="Arial" w:hAnsi="Arial"/>
                <w:sz w:val="16"/>
                <w:szCs w:val="16"/>
                <w:color w:val="auto"/>
              </w:rPr>
              <w:t>Open Tax Years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22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tcPr>
          <w:p>
            <w:pPr>
              <w:ind w:left="400"/>
              <w:spacing w:after="0"/>
              <w:rPr>
                <w:sz w:val="20"/>
                <w:szCs w:val="20"/>
                <w:color w:val="auto"/>
              </w:rPr>
            </w:pPr>
            <w:r>
              <w:rPr>
                <w:rFonts w:ascii="Arial" w:cs="Arial" w:eastAsia="Arial" w:hAnsi="Arial"/>
                <w:sz w:val="16"/>
                <w:szCs w:val="16"/>
                <w:color w:val="auto"/>
              </w:rPr>
              <w:t>Federal</w:t>
            </w:r>
          </w:p>
        </w:tc>
        <w:tc>
          <w:tcPr>
            <w:tcW w:w="2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2015</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through</w:t>
            </w:r>
          </w:p>
        </w:tc>
        <w:tc>
          <w:tcPr>
            <w:tcW w:w="520" w:type="dxa"/>
            <w:vAlign w:val="bottom"/>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State (various)</w:t>
            </w:r>
          </w:p>
        </w:tc>
        <w:tc>
          <w:tcPr>
            <w:tcW w:w="2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through</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tcPr>
          <w:p>
            <w:pPr>
              <w:ind w:left="400"/>
              <w:spacing w:after="0"/>
              <w:rPr>
                <w:sz w:val="20"/>
                <w:szCs w:val="20"/>
                <w:color w:val="auto"/>
              </w:rPr>
            </w:pPr>
            <w:r>
              <w:rPr>
                <w:rFonts w:ascii="Arial" w:cs="Arial" w:eastAsia="Arial" w:hAnsi="Arial"/>
                <w:sz w:val="16"/>
                <w:szCs w:val="16"/>
                <w:color w:val="auto"/>
              </w:rPr>
              <w:t>United Kingdom</w:t>
            </w:r>
          </w:p>
        </w:tc>
        <w:tc>
          <w:tcPr>
            <w:tcW w:w="2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2015</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through</w:t>
            </w:r>
          </w:p>
        </w:tc>
        <w:tc>
          <w:tcPr>
            <w:tcW w:w="520" w:type="dxa"/>
            <w:vAlign w:val="bottom"/>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France</w:t>
            </w:r>
          </w:p>
        </w:tc>
        <w:tc>
          <w:tcPr>
            <w:tcW w:w="2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through</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60" w:type="dxa"/>
            <w:vAlign w:val="bottom"/>
          </w:tcPr>
          <w:p>
            <w:pPr>
              <w:ind w:left="400"/>
              <w:spacing w:after="0"/>
              <w:rPr>
                <w:sz w:val="20"/>
                <w:szCs w:val="20"/>
                <w:color w:val="auto"/>
              </w:rPr>
            </w:pPr>
            <w:r>
              <w:rPr>
                <w:rFonts w:ascii="Arial" w:cs="Arial" w:eastAsia="Arial" w:hAnsi="Arial"/>
                <w:sz w:val="16"/>
                <w:szCs w:val="16"/>
                <w:color w:val="auto"/>
              </w:rPr>
              <w:t>Germany</w:t>
            </w: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2017</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through</w:t>
            </w:r>
          </w:p>
        </w:tc>
        <w:tc>
          <w:tcPr>
            <w:tcW w:w="520" w:type="dxa"/>
            <w:vAlign w:val="bottom"/>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6180" w:type="dxa"/>
            <w:vAlign w:val="bottom"/>
            <w:gridSpan w:val="2"/>
          </w:tcPr>
          <w:p>
            <w:pPr>
              <w:spacing w:after="0"/>
              <w:rPr>
                <w:sz w:val="20"/>
                <w:szCs w:val="20"/>
                <w:color w:val="auto"/>
              </w:rPr>
            </w:pPr>
            <w:r>
              <w:rPr>
                <w:rFonts w:ascii="Arial" w:cs="Arial" w:eastAsia="Arial" w:hAnsi="Arial"/>
                <w:sz w:val="16"/>
                <w:szCs w:val="16"/>
                <w:color w:val="auto"/>
              </w:rPr>
              <w:t>18. DEBT</w:t>
            </w:r>
          </w:p>
        </w:tc>
        <w:tc>
          <w:tcPr>
            <w:tcW w:w="2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180" w:type="dxa"/>
            <w:vAlign w:val="bottom"/>
            <w:gridSpan w:val="2"/>
          </w:tcPr>
          <w:p>
            <w:pPr>
              <w:spacing w:after="0"/>
              <w:rPr>
                <w:sz w:val="20"/>
                <w:szCs w:val="20"/>
                <w:color w:val="auto"/>
              </w:rPr>
            </w:pPr>
            <w:r>
              <w:rPr>
                <w:rFonts w:ascii="Arial" w:cs="Arial" w:eastAsia="Arial" w:hAnsi="Arial"/>
                <w:sz w:val="16"/>
                <w:szCs w:val="16"/>
                <w:color w:val="auto"/>
              </w:rPr>
              <w:t>FactSet’s debt obligations consisted of the following:</w:t>
            </w:r>
          </w:p>
        </w:tc>
        <w:tc>
          <w:tcPr>
            <w:tcW w:w="2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At August 31,</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1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60" w:type="dxa"/>
            <w:vAlign w:val="bottom"/>
          </w:tcPr>
          <w:p>
            <w:pPr>
              <w:spacing w:after="0"/>
              <w:rPr>
                <w:sz w:val="17"/>
                <w:szCs w:val="17"/>
                <w:color w:val="auto"/>
              </w:rPr>
            </w:pPr>
          </w:p>
        </w:tc>
        <w:tc>
          <w:tcPr>
            <w:tcW w:w="1280" w:type="dxa"/>
            <w:vAlign w:val="bottom"/>
          </w:tcPr>
          <w:p>
            <w:pPr>
              <w:jc w:val="right"/>
              <w:ind w:right="660"/>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2017 Revolving Credit Facility (maturity date of March 17, 2020)</w:t>
            </w:r>
          </w:p>
        </w:tc>
        <w:tc>
          <w:tcPr>
            <w:tcW w:w="22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575,000</w:t>
            </w:r>
          </w:p>
        </w:tc>
        <w:tc>
          <w:tcPr>
            <w:tcW w:w="5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575,000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On March 17, 2017, the Company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conjunction with FactSet’s entrance into the 2017 Credit Agreement, the Company borrowed $575.0 million in the form of a LIBOR rate loan under the 2017 Revolving Credit Facility and retired the outstanding debt under its previous credit agreement between FactSet, as the borrower, and Bank of America, N.A., as the lender. The total principal amount of the debt outstanding at the time of retirement was $365.0 million and there were no prepayment penalties. Proceeds from the 2017 Revolving Credit Facility were also used to fund FactSet’s acquisition of BISAM.</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All outstanding loan amounts are reported as Long-term debt within the Consolidated Balance Sheet at August 31, 2018. During fiscal years 2018, 2017 and 2016, FactSet recorded interest expense of $15.9 million, $8.4 million and $3.0 million, respectively, on its outstanding debt amounts. The principal balance is payable in full on the maturity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85" w:name="page86"/>
    <w:bookmarkEnd w:id="85"/>
    <w:p>
      <w:pPr>
        <w:ind w:right="260"/>
        <w:spacing w:after="0" w:line="264" w:lineRule="auto"/>
        <w:rPr>
          <w:sz w:val="20"/>
          <w:szCs w:val="20"/>
          <w:color w:val="auto"/>
        </w:rPr>
      </w:pPr>
      <w:r>
        <w:rPr>
          <w:rFonts w:ascii="Arial" w:cs="Arial" w:eastAsia="Arial" w:hAnsi="Arial"/>
          <w:sz w:val="16"/>
          <w:szCs w:val="16"/>
          <w:color w:val="auto"/>
        </w:rPr>
        <w:t>As of August 31, 2018, no commitment fee was owed by FactSet since it borrowed the full amount under the 2017 Credit Agreement. In fiscal 2017, FactSet incurred approximately $0.4 million in legal costs to draft and review the 2017 Credit Agreement. These costs were capitalized as loan origination fees and are amortized into interest expense over the term of the loan using the effective interest method.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w:t>
      </w:r>
    </w:p>
    <w:p>
      <w:pPr>
        <w:spacing w:after="0" w:line="20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addition, the 2017 Credit Agreement required that FactSet maintain a consolidated leverage ratio, as measured by total funded debt/EBITDA below a specified level as of the end of each fiscal quarter. The Company was in compliance with all the covenants of the 2017 Credit Agreement as of August 31, 2018.</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19. COMMITMENTS AND CONTINGENCIES</w:t>
      </w:r>
    </w:p>
    <w:p>
      <w:pPr>
        <w:spacing w:after="0" w:line="20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 FactSet records liabilities for commitments when incurred (i.e., when the goods or services are received).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Lease Commitments</w:t>
      </w:r>
    </w:p>
    <w:p>
      <w:pPr>
        <w:spacing w:after="0" w:line="200"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At August 31, 2018, FactSet was leasing approximately 202,000 square feet of existing office space for its headquarters at 601 Merritt 7, Norwalk, Connecticut. On February 14, 2018, the Company entered a new lease to relocate its corporate headquarters to 45 Glover Avenue in Norwalk, Connecticut. The new location will comprise approximately 173,000 square feet of office space. FactSet expects to take possession of the newly leased property on or around January 1, 2019, for fit-out purposes. The Company will continue to occupy its existing headquarters space until the new headquarters property is ready for occupancy, currently estimated to be in the second quarter of fiscal 2020.</w:t>
      </w:r>
    </w:p>
    <w:p>
      <w:pPr>
        <w:spacing w:after="0" w:line="13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 xml:space="preserve">Including new lease agreements executed during fiscal 2018, the Company’s worldwide leased office space increased to approximately 1,750,000 square feet of office space under various non-cancelable operating leases which expire on various dates through 2031. Total minimum rental payments associated with the leases are recorded as rent expense (a component of </w:t>
      </w:r>
      <w:r>
        <w:rPr>
          <w:rFonts w:ascii="Arial" w:cs="Arial" w:eastAsia="Arial" w:hAnsi="Arial"/>
          <w:sz w:val="16"/>
          <w:szCs w:val="16"/>
          <w:i w:val="1"/>
          <w:iCs w:val="1"/>
          <w:color w:val="auto"/>
        </w:rPr>
        <w:t>Selling, General &amp; Administrative</w:t>
      </w:r>
      <w:r>
        <w:rPr>
          <w:rFonts w:ascii="Arial" w:cs="Arial" w:eastAsia="Arial" w:hAnsi="Arial"/>
          <w:sz w:val="16"/>
          <w:szCs w:val="16"/>
          <w:color w:val="auto"/>
        </w:rPr>
        <w:t xml:space="preserve"> expense) on a straight-line basis over the periods of the respective non-cancelable lease terms. Future minimum commitments for the Company’s operating leases in place as of August 31, 2018, including the fully executed lease for its new headquarters in Norwalk, Connecticut are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5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2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Minimum Lease</w:t>
            </w:r>
          </w:p>
        </w:tc>
      </w:tr>
      <w:tr>
        <w:trPr>
          <w:trHeight w:val="205"/>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Years ended August 31,</w:t>
            </w:r>
          </w:p>
        </w:tc>
        <w:tc>
          <w:tcPr>
            <w:tcW w:w="3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Payments</w:t>
            </w:r>
          </w:p>
        </w:tc>
        <w:tc>
          <w:tcPr>
            <w:tcW w:w="80" w:type="dxa"/>
            <w:vAlign w:val="bottom"/>
          </w:tcPr>
          <w:p>
            <w:pPr>
              <w:spacing w:after="0"/>
              <w:rPr>
                <w:sz w:val="17"/>
                <w:szCs w:val="17"/>
                <w:color w:val="auto"/>
              </w:rPr>
            </w:pPr>
          </w:p>
        </w:tc>
      </w:tr>
      <w:tr>
        <w:trPr>
          <w:trHeight w:val="18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3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41,094</w:t>
            </w:r>
          </w:p>
        </w:tc>
      </w:tr>
      <w:tr>
        <w:trPr>
          <w:trHeight w:val="192"/>
        </w:trPr>
        <w:tc>
          <w:tcPr>
            <w:tcW w:w="4520" w:type="dxa"/>
            <w:vAlign w:val="bottom"/>
          </w:tcPr>
          <w:p>
            <w:pPr>
              <w:spacing w:after="0"/>
              <w:rPr>
                <w:sz w:val="20"/>
                <w:szCs w:val="20"/>
                <w:color w:val="auto"/>
              </w:rPr>
            </w:pPr>
            <w:r>
              <w:rPr>
                <w:rFonts w:ascii="Arial" w:cs="Arial" w:eastAsia="Arial" w:hAnsi="Arial"/>
                <w:sz w:val="16"/>
                <w:szCs w:val="16"/>
                <w:color w:val="auto"/>
              </w:rPr>
              <w:t>2020</w:t>
            </w:r>
          </w:p>
        </w:tc>
        <w:tc>
          <w:tcPr>
            <w:tcW w:w="32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37,846</w:t>
            </w:r>
          </w:p>
        </w:tc>
      </w:tr>
      <w:tr>
        <w:trPr>
          <w:trHeight w:val="192"/>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35,505</w:t>
            </w:r>
          </w:p>
        </w:tc>
      </w:tr>
      <w:tr>
        <w:trPr>
          <w:trHeight w:val="192"/>
        </w:trPr>
        <w:tc>
          <w:tcPr>
            <w:tcW w:w="4520" w:type="dxa"/>
            <w:vAlign w:val="bottom"/>
          </w:tcPr>
          <w:p>
            <w:pPr>
              <w:spacing w:after="0"/>
              <w:rPr>
                <w:sz w:val="20"/>
                <w:szCs w:val="20"/>
                <w:color w:val="auto"/>
              </w:rPr>
            </w:pPr>
            <w:r>
              <w:rPr>
                <w:rFonts w:ascii="Arial" w:cs="Arial" w:eastAsia="Arial" w:hAnsi="Arial"/>
                <w:sz w:val="16"/>
                <w:szCs w:val="16"/>
                <w:color w:val="auto"/>
              </w:rPr>
              <w:t>2022</w:t>
            </w:r>
          </w:p>
        </w:tc>
        <w:tc>
          <w:tcPr>
            <w:tcW w:w="3280" w:type="dxa"/>
            <w:vAlign w:val="bottom"/>
          </w:tcPr>
          <w:p>
            <w:pPr>
              <w:spacing w:after="0"/>
              <w:rPr>
                <w:sz w:val="16"/>
                <w:szCs w:val="16"/>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32,819</w:t>
            </w:r>
          </w:p>
        </w:tc>
      </w:tr>
      <w:tr>
        <w:trPr>
          <w:trHeight w:val="192"/>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30,524</w:t>
            </w:r>
          </w:p>
        </w:tc>
      </w:tr>
      <w:tr>
        <w:trPr>
          <w:trHeight w:val="192"/>
        </w:trPr>
        <w:tc>
          <w:tcPr>
            <w:tcW w:w="4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229,977</w:t>
            </w:r>
          </w:p>
        </w:tc>
        <w:tc>
          <w:tcPr>
            <w:tcW w:w="80" w:type="dxa"/>
            <w:vAlign w:val="bottom"/>
          </w:tcPr>
          <w:p>
            <w:pPr>
              <w:spacing w:after="0"/>
              <w:rPr>
                <w:sz w:val="16"/>
                <w:szCs w:val="16"/>
                <w:color w:val="auto"/>
              </w:rPr>
            </w:pPr>
          </w:p>
        </w:tc>
      </w:tr>
      <w:tr>
        <w:trPr>
          <w:trHeight w:val="184"/>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407,765</w:t>
            </w:r>
          </w:p>
        </w:tc>
      </w:tr>
    </w:tbl>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During fiscal 2018, 2017 and 2016, rent expense (including operating costs) for all operating leases amounted to $54.6 million, $48.4 million and $43.2 million, respectively. At August 31, 2018 and 2017, deferred rent reported within the Consolidated Balance Sheets totaled $39.4 million and $37.4 million, of which $33.6 million and $33.5 million, respectively, was reported as a non-current liability within the line item Deferred Rent and Other Non-Current Liabilities</w:t>
      </w:r>
      <w:r>
        <w:rPr>
          <w:rFonts w:ascii="Arial" w:cs="Arial" w:eastAsia="Arial" w:hAnsi="Arial"/>
          <w:sz w:val="16"/>
          <w:szCs w:val="16"/>
          <w:i w:val="1"/>
          <w:iCs w:val="1"/>
          <w:color w:val="auto"/>
        </w:rPr>
        <w:t>.</w:t>
      </w:r>
    </w:p>
    <w:p>
      <w:pPr>
        <w:spacing w:after="0" w:line="162" w:lineRule="exact"/>
        <w:rPr>
          <w:sz w:val="20"/>
          <w:szCs w:val="20"/>
          <w:color w:val="auto"/>
        </w:rPr>
      </w:pPr>
    </w:p>
    <w:p>
      <w:pPr>
        <w:jc w:val="both"/>
        <w:spacing w:after="0" w:line="319" w:lineRule="auto"/>
        <w:rPr>
          <w:sz w:val="20"/>
          <w:szCs w:val="20"/>
          <w:color w:val="auto"/>
        </w:rPr>
      </w:pPr>
      <w:r>
        <w:rPr>
          <w:rFonts w:ascii="Arial" w:cs="Arial" w:eastAsia="Arial" w:hAnsi="Arial"/>
          <w:sz w:val="14"/>
          <w:szCs w:val="14"/>
          <w:color w:val="auto"/>
        </w:rPr>
        <w:t>Approximately $2.0 million of standby letters of credit have been issued during the ordinary course of business in connection with the Company’s current leased office space as of August 31, 2018. These standby letters of credit contain covenants that, among other things, require FactSet to maintain minimum levels of consolidated net worth and certain leverage and fixed charge ratios. As of August 31, 2018 and 2017, FactSet was in compliance with all covenants contained in the standby letters of credit.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Purchase Commitments with Suppliers</w:t>
      </w:r>
    </w:p>
    <w:p>
      <w:pPr>
        <w:spacing w:after="0" w:line="200"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2018 and 2017, the Company had total purchase commitments with suppliers of $79.0 million and $81.0 million, respectively. There were no material changes in the Company’s purchase commitments with suppliers during fiscal 2018.</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40"/>
          </w:cols>
          <w:pgMar w:left="240" w:top="536" w:right="319" w:bottom="1440" w:gutter="0" w:footer="0" w:header="0"/>
        </w:sectPr>
      </w:pPr>
    </w:p>
    <w:bookmarkStart w:id="86" w:name="page87"/>
    <w:bookmarkEnd w:id="86"/>
    <w:p>
      <w:pPr>
        <w:ind w:left="4"/>
        <w:spacing w:after="0"/>
        <w:rPr>
          <w:sz w:val="20"/>
          <w:szCs w:val="20"/>
          <w:color w:val="auto"/>
        </w:rPr>
      </w:pPr>
      <w:r>
        <w:rPr>
          <w:rFonts w:ascii="Arial" w:cs="Arial" w:eastAsia="Arial" w:hAnsi="Arial"/>
          <w:sz w:val="16"/>
          <w:szCs w:val="16"/>
          <w:color w:val="auto"/>
        </w:rPr>
        <w:t>Contingencies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Income Taxes</w:t>
      </w:r>
    </w:p>
    <w:p>
      <w:pPr>
        <w:spacing w:after="0" w:line="204" w:lineRule="exact"/>
        <w:rPr>
          <w:sz w:val="20"/>
          <w:szCs w:val="20"/>
          <w:color w:val="auto"/>
        </w:rPr>
      </w:pPr>
    </w:p>
    <w:p>
      <w:pPr>
        <w:ind w:left="4" w:right="80"/>
        <w:spacing w:after="0" w:line="302" w:lineRule="auto"/>
        <w:rPr>
          <w:sz w:val="20"/>
          <w:szCs w:val="20"/>
          <w:color w:val="auto"/>
        </w:rPr>
      </w:pPr>
      <w:r>
        <w:rPr>
          <w:rFonts w:ascii="Arial" w:cs="Arial" w:eastAsia="Arial" w:hAnsi="Arial"/>
          <w:sz w:val="14"/>
          <w:szCs w:val="14"/>
          <w:color w:val="auto"/>
        </w:rPr>
        <w:t>Uncertain income tax positions are accounted for in accordance with applicable accounting guidance (see Note 17).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left="4" w:right="140"/>
        <w:spacing w:after="0" w:line="302" w:lineRule="auto"/>
        <w:rPr>
          <w:sz w:val="20"/>
          <w:szCs w:val="20"/>
          <w:color w:val="auto"/>
        </w:rPr>
      </w:pPr>
      <w:r>
        <w:rPr>
          <w:rFonts w:ascii="Arial" w:cs="Arial" w:eastAsia="Arial" w:hAnsi="Arial"/>
          <w:sz w:val="14"/>
          <w:szCs w:val="14"/>
          <w:color w:val="auto"/>
        </w:rPr>
        <w:t>FactSet accrues non 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August 31, 2018,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Sales Tax Matters</w:t>
      </w:r>
    </w:p>
    <w:p>
      <w:pPr>
        <w:spacing w:after="0" w:line="204"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In the third quarter of fiscal 2018, FactSet received a letter from the Massachusetts Department of Revenue relating to prior tax periods. The letter requested additional sales information in order to determine if a notice of intent to assess should be issued to FactSet. Based upon a preliminary review of their request, the Company believes the state may assess sales tax, and underpayment penalties and interest, on previously recorded sales transactions. Due to the uncertainty surrounding the assessment process, the Company is unable to reasonably estimate the ultimate outcome of this matter and, as such, has not recorded a liability as of August 31, 2018. While FactSet believes that it will ultimately prevail if the Company is presented with a formal assessment and is required to pay it, the amount could have a material impact on the Company’s consolidated financial position, cash flows and results of operations.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Indemnifications</w:t>
      </w:r>
    </w:p>
    <w:p>
      <w:pPr>
        <w:spacing w:after="0" w:line="204" w:lineRule="exact"/>
        <w:rPr>
          <w:sz w:val="20"/>
          <w:szCs w:val="20"/>
          <w:color w:val="auto"/>
        </w:rPr>
      </w:pPr>
    </w:p>
    <w:p>
      <w:pPr>
        <w:ind w:left="4" w:right="20"/>
        <w:spacing w:after="0" w:line="299" w:lineRule="auto"/>
        <w:rPr>
          <w:sz w:val="20"/>
          <w:szCs w:val="20"/>
          <w:color w:val="auto"/>
        </w:rPr>
      </w:pPr>
      <w:r>
        <w:rPr>
          <w:rFonts w:ascii="Arial" w:cs="Arial" w:eastAsia="Arial" w:hAnsi="Arial"/>
          <w:sz w:val="14"/>
          <w:szCs w:val="14"/>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358" w:lineRule="exact"/>
        <w:rPr>
          <w:sz w:val="20"/>
          <w:szCs w:val="20"/>
          <w:color w:val="auto"/>
        </w:rPr>
      </w:pPr>
    </w:p>
    <w:p>
      <w:pPr>
        <w:ind w:left="4" w:right="7600" w:hanging="4"/>
        <w:spacing w:after="0" w:line="498" w:lineRule="auto"/>
        <w:tabs>
          <w:tab w:leader="none" w:pos="2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RISKS AND CONCENTRATIONS OF CREDIT RISK Financial Risk Management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ind w:left="4" w:right="20"/>
        <w:spacing w:after="0" w:line="254" w:lineRule="auto"/>
        <w:rPr>
          <w:sz w:val="20"/>
          <w:szCs w:val="20"/>
          <w:color w:val="auto"/>
        </w:rPr>
      </w:pPr>
      <w:r>
        <w:rPr>
          <w:rFonts w:ascii="Arial" w:cs="Arial" w:eastAsia="Arial" w:hAnsi="Arial"/>
          <w:sz w:val="16"/>
          <w:szCs w:val="16"/>
          <w:color w:val="auto"/>
        </w:rPr>
        <w:t>The Company conducts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To manage the exposures related to the effects of foreign exchange rate fluctuations, the Company utilizes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FactSet does not believe there is significant risk of loss in the event of non-performance by the counterparties associated with these instruments because these transactions are executed with a major financial institution. Further, the Company’s policy is to deal with counterparties having a minimum investment grade or better credit rating. Credit risk is managed through the continuous monitoring of exposures to such counterparties. FactSet’s primary objective in holding derivatives is to reduce the volatility of earnings associated with changes in foreign currency.</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35" w:right="2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color w:val="auto"/>
        </w:rPr>
        <w:t>Interest Rate Risk</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5"/>
          <w:szCs w:val="15"/>
          <w:i w:val="1"/>
          <w:iCs w:val="1"/>
          <w:color w:val="auto"/>
        </w:rPr>
        <w:t xml:space="preserve">Cash and Cash Equivalents </w:t>
      </w:r>
      <w:r>
        <w:rPr>
          <w:rFonts w:ascii="Arial" w:cs="Arial" w:eastAsia="Arial" w:hAnsi="Arial"/>
          <w:sz w:val="15"/>
          <w:szCs w:val="15"/>
          <w:color w:val="auto"/>
        </w:rPr>
        <w:t>- The fair market value of FactSet’s cash and investments at August 31, 2018 was $237.9 million. The Company’s cash and cash equivalents consist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of demand deposits and money market funds with original maturities of three months or less and are reported at fair value. The Company’s investments consist of both mutual funds and certificates of deposit as both are part of the Company’s investment strategy. These mutual funds and certificates of deposit are included as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(short term) on the Company’s Consolidated Balance Sheet as the certificates of deposit have original maturities greater than three months, but less than one year and the mutual funds can be liquidated at the Company’s discretion. The mutual funds and certificates of deposit are held for investment and are not considered debt securities. It is anticipated that the fair market value of the Company’s cash and investments will continue to be immaterially affected by fluctuations in interest rates. Preservation of principal is the primary goal of FactSet’s cash and investment policy. Pursuant to established investment guidelines, the Company tries to achieve high levels of credit quality, liquidity and diversification. Its investment guidelines do not permit FactSet to invest in puts, calls, strips, short sales, straddles, options, commodities, precious metals, futures or investments on margin. Because the Company has a restrictive investment policy, its financial exposure to fluctuations in interest rates is expected to remain low. The Company does not believe that the value or liquidity of its cash and investments have been significantly impacted by current market events.</w:t>
      </w:r>
    </w:p>
    <w:p>
      <w:pPr>
        <w:spacing w:after="0" w:line="159" w:lineRule="exact"/>
        <w:rPr>
          <w:sz w:val="20"/>
          <w:szCs w:val="20"/>
          <w:color w:val="auto"/>
        </w:rPr>
      </w:pPr>
    </w:p>
    <w:p>
      <w:pPr>
        <w:spacing w:after="0" w:line="299" w:lineRule="auto"/>
        <w:rPr>
          <w:sz w:val="20"/>
          <w:szCs w:val="20"/>
          <w:color w:val="auto"/>
        </w:rPr>
      </w:pPr>
      <w:r>
        <w:rPr>
          <w:rFonts w:ascii="Arial" w:cs="Arial" w:eastAsia="Arial" w:hAnsi="Arial"/>
          <w:sz w:val="14"/>
          <w:szCs w:val="14"/>
          <w:i w:val="1"/>
          <w:iCs w:val="1"/>
          <w:color w:val="auto"/>
        </w:rPr>
        <w:t xml:space="preserve">Debt </w:t>
      </w:r>
      <w:r>
        <w:rPr>
          <w:rFonts w:ascii="Arial" w:cs="Arial" w:eastAsia="Arial" w:hAnsi="Arial"/>
          <w:sz w:val="14"/>
          <w:szCs w:val="14"/>
          <w:color w:val="auto"/>
        </w:rPr>
        <w:t>- As of August 31, 2018, the fair value of FactSet’s long-term debt was $575.0 million, which approximated its carrying amount and was determined based on quoted</w:t>
      </w:r>
      <w:r>
        <w:rPr>
          <w:rFonts w:ascii="Arial" w:cs="Arial" w:eastAsia="Arial" w:hAnsi="Arial"/>
          <w:sz w:val="14"/>
          <w:szCs w:val="14"/>
          <w:i w:val="1"/>
          <w:iCs w:val="1"/>
          <w:color w:val="auto"/>
        </w:rPr>
        <w:t xml:space="preserve"> </w:t>
      </w:r>
      <w:r>
        <w:rPr>
          <w:rFonts w:ascii="Arial" w:cs="Arial" w:eastAsia="Arial" w:hAnsi="Arial"/>
          <w:sz w:val="14"/>
          <w:szCs w:val="14"/>
          <w:color w:val="auto"/>
        </w:rPr>
        <w:t>market prices for debt with a similar maturity. It is anticipated that the fair market value of FactSet’s debt will continue to be immaterially affected by fluctuations in interest rates and the Company does not believe that the value of its debt has been significantly impacted by current market events. The debt bears interest on the outstanding principal amount at a rate equal to the daily LIBOR rate plus a spread using a debt leverage pricing grid currently at 1.00%. During fiscal 2018 and fiscal 2017, the Company recorded interest expense of $15.9 million and $8.4 million in interest on its outstanding debt amounts, respectively. Assuming all terms of the Company’s outstanding long-term debt remained the same, a hypothetical 25 basis point change (up or down) in the one-month LIBOR rate would result in a $1.4 million change in its annual interest expense.</w:t>
      </w:r>
    </w:p>
    <w:p>
      <w:pPr>
        <w:spacing w:after="0" w:line="142"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Current market events have not required the Company to modify materially or change its financial risk management strategies with respect to its exposures to foreign currency exchange risk and interest rate risk.</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Concentrations of Credit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04"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204"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Accounts receivable are unsecured and are derived from revenues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revenues in any fiscal year presented. At August 31, 2018, the Company’s largest individual client accounted for approximately 2% of total annual subscriptions, and subscriptions from the ten largest clients did not surpass 15% of total annual subscriptions, consistent with August 31, 2017. As of August 31, 2018 and 2017, the receivable reserve was $3.5 million and $2.7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20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Concentrations of Other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Content Providers</w:t>
      </w:r>
    </w:p>
    <w:p>
      <w:pPr>
        <w:spacing w:after="0" w:line="204"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Certain data sets that FactSet relies on have a limited number of suppliers, although the Company makes every effort to assure that, where reasonable, alternative sources are available. However, FactSet is not dependent on any one third-party data supplier in order to meet the needs of its clients. FactSet combines the data from these commercial databases into its own dedicated single online service, which the client accesses to perform their analysis. No single vendor or data supplier represented more than 10% of FactSet's total data expenses in any fiscal year presented.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21. UNAUDITED QUARTERLY FINANCIAL DATA</w:t>
      </w:r>
    </w:p>
    <w:p>
      <w:pPr>
        <w:spacing w:after="0" w:line="200" w:lineRule="exact"/>
        <w:rPr>
          <w:sz w:val="20"/>
          <w:szCs w:val="20"/>
          <w:color w:val="auto"/>
        </w:rPr>
      </w:pPr>
    </w:p>
    <w:p>
      <w:pPr>
        <w:ind w:right="180"/>
        <w:spacing w:after="0" w:line="351" w:lineRule="auto"/>
        <w:rPr>
          <w:sz w:val="20"/>
          <w:szCs w:val="20"/>
          <w:color w:val="auto"/>
        </w:rPr>
      </w:pPr>
      <w:r>
        <w:rPr>
          <w:rFonts w:ascii="Arial" w:cs="Arial" w:eastAsia="Arial" w:hAnsi="Arial"/>
          <w:sz w:val="14"/>
          <w:szCs w:val="14"/>
          <w:color w:val="auto"/>
        </w:rPr>
        <w:t>The following table presents selected unaudited financial information for each of the quarterly periods in the years ended August 31, 2018 and 2017. The results for any quarter are not necessarily indicative of future quarterly results and, accordingly, period-to-period comparisons should not be relied upon as an indication of future performance.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Arial" w:cs="Arial" w:eastAsia="Arial" w:hAnsi="Arial"/>
                <w:sz w:val="16"/>
                <w:szCs w:val="16"/>
                <w:color w:val="auto"/>
              </w:rPr>
              <w:t>First</w:t>
            </w:r>
          </w:p>
        </w:tc>
        <w:tc>
          <w:tcPr>
            <w:tcW w:w="340" w:type="dxa"/>
            <w:vAlign w:val="bottom"/>
          </w:tcPr>
          <w:p>
            <w:pPr>
              <w:spacing w:after="0"/>
              <w:rPr>
                <w:sz w:val="16"/>
                <w:szCs w:val="16"/>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Second</w:t>
            </w:r>
          </w:p>
        </w:tc>
        <w:tc>
          <w:tcPr>
            <w:tcW w:w="300" w:type="dxa"/>
            <w:vAlign w:val="bottom"/>
          </w:tcPr>
          <w:p>
            <w:pPr>
              <w:spacing w:after="0"/>
              <w:rPr>
                <w:sz w:val="16"/>
                <w:szCs w:val="16"/>
                <w:color w:val="auto"/>
              </w:rPr>
            </w:pPr>
          </w:p>
        </w:tc>
        <w:tc>
          <w:tcPr>
            <w:tcW w:w="1040" w:type="dxa"/>
            <w:vAlign w:val="bottom"/>
          </w:tcPr>
          <w:p>
            <w:pPr>
              <w:jc w:val="center"/>
              <w:ind w:right="200"/>
              <w:spacing w:after="0"/>
              <w:rPr>
                <w:sz w:val="20"/>
                <w:szCs w:val="20"/>
                <w:color w:val="auto"/>
              </w:rPr>
            </w:pPr>
            <w:r>
              <w:rPr>
                <w:rFonts w:ascii="Arial" w:cs="Arial" w:eastAsia="Arial" w:hAnsi="Arial"/>
                <w:sz w:val="16"/>
                <w:szCs w:val="16"/>
                <w:color w:val="auto"/>
                <w:w w:val="98"/>
              </w:rPr>
              <w:t>Third</w:t>
            </w:r>
          </w:p>
        </w:tc>
        <w:tc>
          <w:tcPr>
            <w:tcW w:w="3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95"/>
              </w:rPr>
              <w:t>Fourth</w:t>
            </w:r>
          </w:p>
        </w:tc>
        <w:tc>
          <w:tcPr>
            <w:tcW w:w="0" w:type="dxa"/>
            <w:vAlign w:val="bottom"/>
          </w:tcPr>
          <w:p>
            <w:pPr>
              <w:spacing w:after="0"/>
              <w:rPr>
                <w:sz w:val="1"/>
                <w:szCs w:val="1"/>
                <w:color w:val="auto"/>
              </w:rPr>
            </w:pPr>
          </w:p>
        </w:tc>
      </w:tr>
      <w:tr>
        <w:trPr>
          <w:trHeight w:val="205"/>
        </w:trPr>
        <w:tc>
          <w:tcPr>
            <w:tcW w:w="4620" w:type="dxa"/>
            <w:vAlign w:val="bottom"/>
            <w:gridSpan w:val="2"/>
          </w:tcPr>
          <w:p>
            <w:pPr>
              <w:spacing w:after="0"/>
              <w:rPr>
                <w:sz w:val="20"/>
                <w:szCs w:val="20"/>
                <w:color w:val="auto"/>
              </w:rPr>
            </w:pPr>
            <w:r>
              <w:rPr>
                <w:rFonts w:ascii="Arial" w:cs="Arial" w:eastAsia="Arial" w:hAnsi="Arial"/>
                <w:sz w:val="16"/>
                <w:szCs w:val="16"/>
                <w:color w:val="auto"/>
              </w:rPr>
              <w:t xml:space="preserve">Fiscal 2018 </w:t>
            </w:r>
            <w:r>
              <w:rPr>
                <w:rFonts w:ascii="Arial" w:cs="Arial" w:eastAsia="Arial" w:hAnsi="Arial"/>
                <w:sz w:val="16"/>
                <w:szCs w:val="16"/>
                <w:i w:val="1"/>
                <w:iCs w:val="1"/>
                <w:color w:val="auto"/>
              </w:rPr>
              <w:t>(in thousands, except per share data)</w:t>
            </w:r>
          </w:p>
        </w:tc>
        <w:tc>
          <w:tcPr>
            <w:tcW w:w="1640" w:type="dxa"/>
            <w:vAlign w:val="bottom"/>
          </w:tcPr>
          <w:p>
            <w:pPr>
              <w:spacing w:after="0"/>
              <w:rPr>
                <w:sz w:val="17"/>
                <w:szCs w:val="17"/>
                <w:color w:val="auto"/>
              </w:rPr>
            </w:pPr>
          </w:p>
        </w:tc>
        <w:tc>
          <w:tcPr>
            <w:tcW w:w="1080" w:type="dxa"/>
            <w:vAlign w:val="bottom"/>
          </w:tcPr>
          <w:p>
            <w:pPr>
              <w:jc w:val="right"/>
              <w:ind w:right="360"/>
              <w:spacing w:after="0"/>
              <w:rPr>
                <w:sz w:val="20"/>
                <w:szCs w:val="20"/>
                <w:color w:val="auto"/>
              </w:rPr>
            </w:pPr>
            <w:r>
              <w:rPr>
                <w:rFonts w:ascii="Arial" w:cs="Arial" w:eastAsia="Arial" w:hAnsi="Arial"/>
                <w:sz w:val="16"/>
                <w:szCs w:val="16"/>
                <w:color w:val="auto"/>
              </w:rPr>
              <w:t>Quarter</w:t>
            </w:r>
          </w:p>
        </w:tc>
        <w:tc>
          <w:tcPr>
            <w:tcW w:w="34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Quarter</w:t>
            </w:r>
          </w:p>
        </w:tc>
        <w:tc>
          <w:tcPr>
            <w:tcW w:w="300" w:type="dxa"/>
            <w:vAlign w:val="bottom"/>
          </w:tcPr>
          <w:p>
            <w:pPr>
              <w:spacing w:after="0"/>
              <w:rPr>
                <w:sz w:val="17"/>
                <w:szCs w:val="17"/>
                <w:color w:val="auto"/>
              </w:rPr>
            </w:pPr>
          </w:p>
        </w:tc>
        <w:tc>
          <w:tcPr>
            <w:tcW w:w="1040" w:type="dxa"/>
            <w:vAlign w:val="bottom"/>
          </w:tcPr>
          <w:p>
            <w:pPr>
              <w:jc w:val="center"/>
              <w:ind w:right="220"/>
              <w:spacing w:after="0"/>
              <w:rPr>
                <w:sz w:val="20"/>
                <w:szCs w:val="20"/>
                <w:color w:val="auto"/>
              </w:rPr>
            </w:pPr>
            <w:r>
              <w:rPr>
                <w:rFonts w:ascii="Arial" w:cs="Arial" w:eastAsia="Arial" w:hAnsi="Arial"/>
                <w:sz w:val="16"/>
                <w:szCs w:val="16"/>
                <w:color w:val="auto"/>
                <w:w w:val="92"/>
              </w:rPr>
              <w:t>Quarter</w:t>
            </w:r>
          </w:p>
        </w:tc>
        <w:tc>
          <w:tcPr>
            <w:tcW w:w="3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329,141</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335,231</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339,911</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345,861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Cost of services</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161,524</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163,232</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165,073</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169,467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78,519</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76,514</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81,573</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88,038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Operating income</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89,098</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95,485</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93,265</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88,356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70,379</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53,137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74,746</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68,823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line="228" w:lineRule="exact"/>
              <w:rPr>
                <w:sz w:val="20"/>
                <w:szCs w:val="20"/>
                <w:color w:val="auto"/>
              </w:rPr>
            </w:pPr>
            <w:r>
              <w:rPr>
                <w:rFonts w:ascii="Arial" w:cs="Arial" w:eastAsia="Arial" w:hAnsi="Arial"/>
                <w:sz w:val="16"/>
                <w:szCs w:val="16"/>
                <w:color w:val="auto"/>
              </w:rPr>
              <w:t>Diluted EPS</w:t>
            </w:r>
            <w:r>
              <w:rPr>
                <w:rFonts w:ascii="Arial" w:cs="Arial" w:eastAsia="Arial" w:hAnsi="Arial"/>
                <w:sz w:val="26"/>
                <w:szCs w:val="26"/>
                <w:color w:val="auto"/>
                <w:vertAlign w:val="superscript"/>
              </w:rPr>
              <w:t>(1)</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1.33</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common shares</w:t>
            </w:r>
          </w:p>
        </w:tc>
        <w:tc>
          <w:tcPr>
            <w:tcW w:w="1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39,680</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39,846</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39,104</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38,879</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jc w:val="right"/>
              <w:ind w:right="520"/>
              <w:spacing w:after="0"/>
              <w:rPr>
                <w:sz w:val="20"/>
                <w:szCs w:val="20"/>
                <w:color w:val="auto"/>
              </w:rPr>
            </w:pPr>
            <w:r>
              <w:rPr>
                <w:rFonts w:ascii="Arial" w:cs="Arial" w:eastAsia="Arial" w:hAnsi="Arial"/>
                <w:sz w:val="16"/>
                <w:szCs w:val="16"/>
                <w:color w:val="auto"/>
              </w:rPr>
              <w:t>First</w:t>
            </w:r>
          </w:p>
        </w:tc>
        <w:tc>
          <w:tcPr>
            <w:tcW w:w="34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Second</w:t>
            </w:r>
          </w:p>
        </w:tc>
        <w:tc>
          <w:tcPr>
            <w:tcW w:w="300" w:type="dxa"/>
            <w:vAlign w:val="bottom"/>
          </w:tcPr>
          <w:p>
            <w:pPr>
              <w:spacing w:after="0"/>
              <w:rPr>
                <w:sz w:val="24"/>
                <w:szCs w:val="24"/>
                <w:color w:val="auto"/>
              </w:rPr>
            </w:pPr>
          </w:p>
        </w:tc>
        <w:tc>
          <w:tcPr>
            <w:tcW w:w="1040" w:type="dxa"/>
            <w:vAlign w:val="bottom"/>
          </w:tcPr>
          <w:p>
            <w:pPr>
              <w:jc w:val="center"/>
              <w:ind w:right="240"/>
              <w:spacing w:after="0"/>
              <w:rPr>
                <w:sz w:val="20"/>
                <w:szCs w:val="20"/>
                <w:color w:val="auto"/>
              </w:rPr>
            </w:pPr>
            <w:r>
              <w:rPr>
                <w:rFonts w:ascii="Arial" w:cs="Arial" w:eastAsia="Arial" w:hAnsi="Arial"/>
                <w:sz w:val="16"/>
                <w:szCs w:val="16"/>
                <w:color w:val="auto"/>
                <w:w w:val="98"/>
              </w:rPr>
              <w:t>Third</w:t>
            </w:r>
          </w:p>
        </w:tc>
        <w:tc>
          <w:tcPr>
            <w:tcW w:w="3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95"/>
              </w:rPr>
              <w:t>Fourth</w:t>
            </w:r>
          </w:p>
        </w:tc>
        <w:tc>
          <w:tcPr>
            <w:tcW w:w="0" w:type="dxa"/>
            <w:vAlign w:val="bottom"/>
          </w:tcPr>
          <w:p>
            <w:pPr>
              <w:spacing w:after="0"/>
              <w:rPr>
                <w:sz w:val="1"/>
                <w:szCs w:val="1"/>
                <w:color w:val="auto"/>
              </w:rPr>
            </w:pPr>
          </w:p>
        </w:tc>
      </w:tr>
      <w:tr>
        <w:trPr>
          <w:trHeight w:val="205"/>
        </w:trPr>
        <w:tc>
          <w:tcPr>
            <w:tcW w:w="4620" w:type="dxa"/>
            <w:vAlign w:val="bottom"/>
            <w:gridSpan w:val="2"/>
          </w:tcPr>
          <w:p>
            <w:pPr>
              <w:spacing w:after="0"/>
              <w:rPr>
                <w:sz w:val="20"/>
                <w:szCs w:val="20"/>
                <w:color w:val="auto"/>
              </w:rPr>
            </w:pPr>
            <w:r>
              <w:rPr>
                <w:rFonts w:ascii="Arial" w:cs="Arial" w:eastAsia="Arial" w:hAnsi="Arial"/>
                <w:sz w:val="16"/>
                <w:szCs w:val="16"/>
                <w:color w:val="auto"/>
              </w:rPr>
              <w:t xml:space="preserve">Fiscal 2017 </w:t>
            </w:r>
            <w:r>
              <w:rPr>
                <w:rFonts w:ascii="Arial" w:cs="Arial" w:eastAsia="Arial" w:hAnsi="Arial"/>
                <w:sz w:val="16"/>
                <w:szCs w:val="16"/>
                <w:i w:val="1"/>
                <w:iCs w:val="1"/>
                <w:color w:val="auto"/>
              </w:rPr>
              <w:t>(in thousands, except per share data)</w:t>
            </w:r>
          </w:p>
        </w:tc>
        <w:tc>
          <w:tcPr>
            <w:tcW w:w="1640" w:type="dxa"/>
            <w:vAlign w:val="bottom"/>
          </w:tcPr>
          <w:p>
            <w:pPr>
              <w:spacing w:after="0"/>
              <w:rPr>
                <w:sz w:val="17"/>
                <w:szCs w:val="17"/>
                <w:color w:val="auto"/>
              </w:rPr>
            </w:pPr>
          </w:p>
        </w:tc>
        <w:tc>
          <w:tcPr>
            <w:tcW w:w="1080" w:type="dxa"/>
            <w:vAlign w:val="bottom"/>
          </w:tcPr>
          <w:p>
            <w:pPr>
              <w:jc w:val="right"/>
              <w:ind w:right="420"/>
              <w:spacing w:after="0"/>
              <w:rPr>
                <w:sz w:val="20"/>
                <w:szCs w:val="20"/>
                <w:color w:val="auto"/>
              </w:rPr>
            </w:pPr>
            <w:r>
              <w:rPr>
                <w:rFonts w:ascii="Arial" w:cs="Arial" w:eastAsia="Arial" w:hAnsi="Arial"/>
                <w:sz w:val="16"/>
                <w:szCs w:val="16"/>
                <w:color w:val="auto"/>
              </w:rPr>
              <w:t>Quarter</w:t>
            </w:r>
          </w:p>
        </w:tc>
        <w:tc>
          <w:tcPr>
            <w:tcW w:w="340" w:type="dxa"/>
            <w:vAlign w:val="bottom"/>
          </w:tcPr>
          <w:p>
            <w:pPr>
              <w:spacing w:after="0"/>
              <w:rPr>
                <w:sz w:val="17"/>
                <w:szCs w:val="17"/>
                <w:color w:val="auto"/>
              </w:rPr>
            </w:pPr>
          </w:p>
        </w:tc>
        <w:tc>
          <w:tcPr>
            <w:tcW w:w="1060" w:type="dxa"/>
            <w:vAlign w:val="bottom"/>
          </w:tcPr>
          <w:p>
            <w:pPr>
              <w:ind w:left="120"/>
              <w:spacing w:after="0"/>
              <w:rPr>
                <w:sz w:val="20"/>
                <w:szCs w:val="20"/>
                <w:color w:val="auto"/>
              </w:rPr>
            </w:pPr>
            <w:r>
              <w:rPr>
                <w:rFonts w:ascii="Arial" w:cs="Arial" w:eastAsia="Arial" w:hAnsi="Arial"/>
                <w:sz w:val="16"/>
                <w:szCs w:val="16"/>
                <w:color w:val="auto"/>
              </w:rPr>
              <w:t>Quarter</w:t>
            </w:r>
          </w:p>
        </w:tc>
        <w:tc>
          <w:tcPr>
            <w:tcW w:w="300" w:type="dxa"/>
            <w:vAlign w:val="bottom"/>
          </w:tcPr>
          <w:p>
            <w:pPr>
              <w:spacing w:after="0"/>
              <w:rPr>
                <w:sz w:val="17"/>
                <w:szCs w:val="17"/>
                <w:color w:val="auto"/>
              </w:rPr>
            </w:pPr>
          </w:p>
        </w:tc>
        <w:tc>
          <w:tcPr>
            <w:tcW w:w="1040" w:type="dxa"/>
            <w:vAlign w:val="bottom"/>
          </w:tcPr>
          <w:p>
            <w:pPr>
              <w:jc w:val="center"/>
              <w:ind w:right="220"/>
              <w:spacing w:after="0"/>
              <w:rPr>
                <w:sz w:val="20"/>
                <w:szCs w:val="20"/>
                <w:color w:val="auto"/>
              </w:rPr>
            </w:pPr>
            <w:r>
              <w:rPr>
                <w:rFonts w:ascii="Arial" w:cs="Arial" w:eastAsia="Arial" w:hAnsi="Arial"/>
                <w:sz w:val="16"/>
                <w:szCs w:val="16"/>
                <w:color w:val="auto"/>
                <w:w w:val="92"/>
              </w:rPr>
              <w:t>Quarter</w:t>
            </w:r>
          </w:p>
        </w:tc>
        <w:tc>
          <w:tcPr>
            <w:tcW w:w="3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288,063</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294,354</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312,120</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326,642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Cost of services</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127,250</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131,635</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146,426</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161,269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70,494</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70,973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78,052</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Operating income</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90,319</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91,746</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87,642</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82,428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66,583</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66,710</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65,414</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line="228" w:lineRule="exact"/>
              <w:rPr>
                <w:sz w:val="20"/>
                <w:szCs w:val="20"/>
                <w:color w:val="auto"/>
              </w:rPr>
            </w:pPr>
            <w:r>
              <w:rPr>
                <w:rFonts w:ascii="Arial" w:cs="Arial" w:eastAsia="Arial" w:hAnsi="Arial"/>
                <w:sz w:val="16"/>
                <w:szCs w:val="16"/>
                <w:color w:val="auto"/>
              </w:rPr>
              <w:t>Diluted EPS</w:t>
            </w:r>
            <w:r>
              <w:rPr>
                <w:rFonts w:ascii="Arial" w:cs="Arial" w:eastAsia="Arial" w:hAnsi="Arial"/>
                <w:sz w:val="26"/>
                <w:szCs w:val="26"/>
                <w:color w:val="auto"/>
                <w:vertAlign w:val="superscript"/>
              </w:rPr>
              <w:t>(1)</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3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1.68</w:t>
            </w:r>
          </w:p>
        </w:tc>
        <w:tc>
          <w:tcPr>
            <w:tcW w:w="3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1.66</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Diluted weighted average common shares</w:t>
            </w:r>
          </w:p>
        </w:tc>
        <w:tc>
          <w:tcPr>
            <w:tcW w:w="1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40,100</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39,700</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39,457</w:t>
            </w: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39,281</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right="220" w:hanging="280"/>
        <w:spacing w:after="0" w:line="223" w:lineRule="auto"/>
        <w:tabs>
          <w:tab w:leader="none" w:pos="420" w:val="left"/>
        </w:tabs>
        <w:numPr>
          <w:ilvl w:val="0"/>
          <w:numId w:val="3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Diluted earnings per common share is calculated independently for each of the periods presented. Accordingly, the sum of the quarterly EPS amounts may not equal the total for the fiscal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ITEM 9. 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ITEM 9A. CONTROLS AND PROCEDURES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Evaluation of Disclosure Controls and Procedures</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Under the supervision and with the participation of our management, including the principal executive officer and principal financial officer, we have evaluated the effectiveness of our disclosure controls and procedures pursuant to Rules 13a-15(e) and 15d-15(e) under the Securities Exchange Act of 1934, as of the end of the annual period covered by this report. Based on that evaluation, the principal executive officer and principal financial officer have concluded that our disclosure controls and procedures as defined in Rules 13a-15(e) and 15d-15(e) under the Securities Exchange Act of 1934, as amended, (the “Exchange Act”) are effective to ensure that information required to be disclosed by us in reports that it files or submits under the Exchange Act is recorded, processed, summarized and reported within the time periods specified in Securities and Exchange Commission rules and forms and is accumulated and communicated to our management, including our principal executive officer and principal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Changes in Internal Control over Financial Reporting</w:t>
      </w:r>
    </w:p>
    <w:p>
      <w:pPr>
        <w:spacing w:after="0" w:line="200"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Rules 13a-15(f) and 15d-15(f) under the Exchange Act) during the fourth quarter of fiscal 2018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Report on Internal Control over Financial Reporting under Item 8 of this Report on Form 10-K, which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See Report of Independent Registered Public Accounting Firm under Item 8 of this Report on Form 10-K, which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ITEM 9B. OTHER INFORMATION</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the Current Report on Form 8-K filed on September 6, 2018, the Company reported in connection with her hiring that Helen L. Shan, its Executive Vice President and Chief Financial Officer, would be granted an annual equity award with a grant date value of $400,000 in conjunction with the Company’s fiscal 2019 equity grant and that such grant was estimated to be made in early November 2018. In fact, this grant is expected to be made in November 2019 in connection with the Company’s 2019 equity grants at the same time as all other annual option grants are made to executives in calendar year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968" w:right="219" w:bottom="1440" w:gutter="0" w:footer="0" w:header="0"/>
        </w:sectPr>
      </w:pPr>
    </w:p>
    <w:bookmarkStart w:id="90" w:name="page91"/>
    <w:bookmarkEnd w:id="90"/>
    <w:p>
      <w:pPr>
        <w:ind w:left="40"/>
        <w:spacing w:after="0"/>
        <w:rPr>
          <w:sz w:val="20"/>
          <w:szCs w:val="20"/>
          <w:color w:val="auto"/>
        </w:rPr>
      </w:pPr>
      <w:r>
        <w:rPr>
          <w:rFonts w:ascii="Arial" w:cs="Arial" w:eastAsia="Arial" w:hAnsi="Arial"/>
          <w:sz w:val="16"/>
          <w:szCs w:val="16"/>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ITEM 10. DIRECTORS, EXECUTIVE OFFICERS AND CORPORATE GOVERNANCE</w:t>
      </w:r>
    </w:p>
    <w:p>
      <w:pPr>
        <w:spacing w:after="0" w:line="200" w:lineRule="exact"/>
        <w:rPr>
          <w:sz w:val="20"/>
          <w:szCs w:val="20"/>
          <w:color w:val="auto"/>
        </w:rPr>
      </w:pPr>
    </w:p>
    <w:p>
      <w:pPr>
        <w:jc w:val="both"/>
        <w:ind w:right="280"/>
        <w:spacing w:after="0" w:line="264" w:lineRule="auto"/>
        <w:rPr>
          <w:sz w:val="20"/>
          <w:szCs w:val="20"/>
          <w:color w:val="auto"/>
        </w:rPr>
      </w:pPr>
      <w:r>
        <w:rPr>
          <w:rFonts w:ascii="Arial" w:cs="Arial" w:eastAsia="Arial" w:hAnsi="Arial"/>
          <w:sz w:val="16"/>
          <w:szCs w:val="16"/>
          <w:color w:val="auto"/>
        </w:rPr>
        <w:t>The information required by this item relating to our directors and nominees, relating to compliance with Section 16(a) of the Securities Act of 1934, and relating to our Audit Committee is included under the captions “Corporate Governance” and “Section 16(a) Beneficial Ownership Reporting Compliance” in the definitive Proxy Statement dated October 30, 2018, and all such information is incorporated herein by reference.</w:t>
      </w:r>
    </w:p>
    <w:p>
      <w:pPr>
        <w:spacing w:after="0" w:line="162"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Pursuant to General Instruction G(3) of Form 10-K, the information required by this item relating to our executive officers is included under the caption “Executive Officers of the Registrant” in Part I of this Report on Form 10-K.</w:t>
      </w:r>
    </w:p>
    <w:p>
      <w:pPr>
        <w:spacing w:after="0" w:line="152" w:lineRule="exact"/>
        <w:rPr>
          <w:sz w:val="20"/>
          <w:szCs w:val="20"/>
          <w:color w:val="auto"/>
        </w:rPr>
      </w:pPr>
    </w:p>
    <w:p>
      <w:pPr>
        <w:ind w:right="180"/>
        <w:spacing w:after="0" w:line="308" w:lineRule="auto"/>
        <w:rPr>
          <w:sz w:val="20"/>
          <w:szCs w:val="20"/>
          <w:color w:val="auto"/>
        </w:rPr>
      </w:pPr>
      <w:r>
        <w:rPr>
          <w:rFonts w:ascii="Arial" w:cs="Arial" w:eastAsia="Arial" w:hAnsi="Arial"/>
          <w:sz w:val="14"/>
          <w:szCs w:val="14"/>
          <w:color w:val="auto"/>
        </w:rPr>
        <w:t>The Company has adopted a Code of Business Conduct and Ethics that applies to all employees, including the Company’s principal executive officer, principal financial officer and principal accounting officer, all other officers and the Company’s directors. A copy of this code is available on the Company’s website at https://investor.factset.com on the Leadership and Corporate Governance page. The Company intends to satisfy any disclosure requirement under Item 5.05 of Form 8-K regarding an amendment to, or waiver from, a provision of this code of ethics by posting such information on our website at the address and general location specified above.</w:t>
      </w:r>
    </w:p>
    <w:p>
      <w:pPr>
        <w:spacing w:after="0" w:line="13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Corporate Governance Guidelines and the charters of the committees of our Board of Directors, including the Audit Committee, Compensation and Talent Committee and Nominating and Corporate Governance Committee are also available on our website at https://investor.factset.com on the Leadership and Corporate Governance page. The guidelines, charters and code of ethics are also available in print free of charge to any stockholder who submits a written request to our Investor Relations department at our corporate headquarters at 601 Merritt 7, Norwalk, Connecticut 06851.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ITEM 11. EXECUTIVE COMPENSATION</w:t>
      </w:r>
    </w:p>
    <w:p>
      <w:pPr>
        <w:spacing w:after="0" w:line="200"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auto"/>
        </w:rPr>
        <w:t>The information required by this item relating to compensation is included under the captions “Executive Compensation,” “Compensation Discussion and Analysis,” “Compensation and Talent Committee Report,” “Director Compensation Program,” including “Equity Compensation,” and “Director Compensation Table” of the definitive Proxy Statement dated October 30, 2018, and all such information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ITEM 12. SECURITY OWNERSHIP OF CERTAIN BENEFICIAL OWNERS AND MANAGEMENT AND RELATED STOCKHOLDER MATTERS</w:t>
      </w:r>
    </w:p>
    <w:p>
      <w:pPr>
        <w:spacing w:after="0" w:line="200"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The information required by this item relating to security ownership of certain beneficial owners and management is included under the caption “Security Ownership of Certain Beneficial Owners and Management”, in the definitive Proxy Statement dated October 30, 2018, and such information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 Information</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following table summarizes as of August 31, 2018, the number of outstanding equity awards granted to employees and non-employee directors, as well as the number of equity awards remaining available for future issuance, under FactSet’s equity compensation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gridSpan w:val="2"/>
          </w:tcPr>
          <w:p>
            <w:pPr>
              <w:spacing w:after="0"/>
              <w:rPr>
                <w:sz w:val="20"/>
                <w:szCs w:val="20"/>
                <w:color w:val="auto"/>
              </w:rPr>
            </w:pPr>
            <w:r>
              <w:rPr>
                <w:rFonts w:ascii="Arial" w:cs="Arial" w:eastAsia="Arial" w:hAnsi="Arial"/>
                <w:sz w:val="16"/>
                <w:szCs w:val="16"/>
                <w:color w:val="auto"/>
              </w:rPr>
              <w:t>(In thousands, except per share data)</w:t>
            </w:r>
          </w:p>
        </w:tc>
        <w:tc>
          <w:tcPr>
            <w:tcW w:w="2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Number of securities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7"/>
              </w:rPr>
              <w:t>(b)</w:t>
            </w:r>
          </w:p>
        </w:tc>
        <w:tc>
          <w:tcPr>
            <w:tcW w:w="3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Number of securities remaining</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to be issued upon exercise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Weighted-average</w:t>
            </w:r>
          </w:p>
        </w:tc>
        <w:tc>
          <w:tcPr>
            <w:tcW w:w="3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available for future issuances under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of outstanding options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7"/>
              </w:rPr>
              <w:t>exercise price of</w:t>
            </w:r>
          </w:p>
        </w:tc>
        <w:tc>
          <w:tcPr>
            <w:tcW w:w="3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equity compensation plans (excluding</w:t>
            </w:r>
          </w:p>
        </w:tc>
        <w:tc>
          <w:tcPr>
            <w:tcW w:w="0" w:type="dxa"/>
            <w:vAlign w:val="bottom"/>
          </w:tcPr>
          <w:p>
            <w:pPr>
              <w:spacing w:after="0"/>
              <w:rPr>
                <w:sz w:val="1"/>
                <w:szCs w:val="1"/>
                <w:color w:val="auto"/>
              </w:rPr>
            </w:pPr>
          </w:p>
        </w:tc>
      </w:tr>
      <w:tr>
        <w:trPr>
          <w:trHeight w:val="209"/>
        </w:trPr>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Plan category</w:t>
            </w:r>
          </w:p>
        </w:tc>
        <w:tc>
          <w:tcPr>
            <w:tcW w:w="2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restricted stock vesting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7"/>
              </w:rPr>
              <w:t>outstanding options</w:t>
            </w:r>
          </w:p>
        </w:tc>
        <w:tc>
          <w:tcPr>
            <w:tcW w:w="3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securities 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Equity compensation plans approved by security</w:t>
            </w:r>
          </w:p>
        </w:tc>
        <w:tc>
          <w:tcPr>
            <w:tcW w:w="2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3,286 </w:t>
            </w:r>
            <w:r>
              <w:rPr>
                <w:rFonts w:ascii="Arial" w:cs="Arial" w:eastAsia="Arial" w:hAnsi="Arial"/>
                <w:sz w:val="26"/>
                <w:szCs w:val="26"/>
                <w:color w:val="auto"/>
                <w:vertAlign w:val="superscript"/>
              </w:rPr>
              <w:t>(1)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153.05 </w:t>
            </w:r>
            <w:r>
              <w:rPr>
                <w:rFonts w:ascii="Arial" w:cs="Arial" w:eastAsia="Arial" w:hAnsi="Arial"/>
                <w:sz w:val="26"/>
                <w:szCs w:val="26"/>
                <w:color w:val="auto"/>
                <w:vertAlign w:val="superscript"/>
              </w:rPr>
              <w:t>(2)</w:t>
            </w:r>
          </w:p>
        </w:tc>
        <w:tc>
          <w:tcPr>
            <w:tcW w:w="3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6,850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holders</w:t>
            </w:r>
          </w:p>
        </w:tc>
        <w:tc>
          <w:tcPr>
            <w:tcW w:w="2380" w:type="dxa"/>
            <w:vAlign w:val="bottom"/>
            <w:gridSpan w:val="2"/>
            <w:vMerge w:val="continue"/>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0" w:type="dxa"/>
            <w:vAlign w:val="bottom"/>
            <w:gridSpan w:val="2"/>
            <w:vMerge w:val="continue"/>
            <w:shd w:val="clear" w:color="auto" w:fill="CCEEFF"/>
          </w:tcPr>
          <w:p>
            <w:pPr>
              <w:spacing w:after="0"/>
              <w:rPr>
                <w:sz w:val="17"/>
                <w:szCs w:val="17"/>
                <w:color w:val="auto"/>
              </w:rPr>
            </w:pPr>
          </w:p>
        </w:tc>
        <w:tc>
          <w:tcPr>
            <w:tcW w:w="3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5"/>
              </w:rPr>
              <w:t>Equity compensation plans not approved by security</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26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300" w:type="dxa"/>
            <w:vAlign w:val="bottom"/>
            <w:vMerge w:val="restart"/>
            <w:shd w:val="clear" w:color="auto" w:fill="CCEEFF"/>
          </w:tcPr>
          <w:p>
            <w:pPr>
              <w:spacing w:after="0"/>
              <w:rPr>
                <w:sz w:val="15"/>
                <w:szCs w:val="15"/>
                <w:color w:val="auto"/>
              </w:rPr>
            </w:pPr>
          </w:p>
        </w:tc>
        <w:tc>
          <w:tcPr>
            <w:tcW w:w="3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holders</w:t>
            </w:r>
          </w:p>
        </w:tc>
        <w:tc>
          <w:tcPr>
            <w:tcW w:w="212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3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540" w:type="dxa"/>
            <w:vAlign w:val="bottom"/>
            <w:tcBorders>
              <w:top w:val="single" w:sz="8" w:color="CCEEFF"/>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380" w:type="dxa"/>
            <w:vAlign w:val="bottom"/>
            <w:gridSpan w:val="2"/>
            <w:shd w:val="clear" w:color="auto" w:fill="CCEEFF"/>
          </w:tcPr>
          <w:p>
            <w:pPr>
              <w:jc w:val="right"/>
              <w:ind w:right="60"/>
              <w:spacing w:after="0" w:line="228" w:lineRule="exact"/>
              <w:rPr>
                <w:sz w:val="20"/>
                <w:szCs w:val="20"/>
                <w:color w:val="auto"/>
              </w:rPr>
            </w:pPr>
            <w:r>
              <w:rPr>
                <w:rFonts w:ascii="Arial" w:cs="Arial" w:eastAsia="Arial" w:hAnsi="Arial"/>
                <w:sz w:val="16"/>
                <w:szCs w:val="16"/>
                <w:color w:val="auto"/>
              </w:rPr>
              <w:t xml:space="preserve">3,286 </w:t>
            </w:r>
            <w:r>
              <w:rPr>
                <w:rFonts w:ascii="Arial" w:cs="Arial" w:eastAsia="Arial" w:hAnsi="Arial"/>
                <w:sz w:val="26"/>
                <w:szCs w:val="26"/>
                <w:color w:val="auto"/>
                <w:vertAlign w:val="superscript"/>
              </w:rPr>
              <w:t>(1)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CEEFF"/>
          </w:tcPr>
          <w:p>
            <w:pPr>
              <w:jc w:val="right"/>
              <w:ind w:right="100"/>
              <w:spacing w:after="0" w:line="228" w:lineRule="exact"/>
              <w:rPr>
                <w:sz w:val="20"/>
                <w:szCs w:val="20"/>
                <w:color w:val="auto"/>
              </w:rPr>
            </w:pPr>
            <w:r>
              <w:rPr>
                <w:rFonts w:ascii="Arial" w:cs="Arial" w:eastAsia="Arial" w:hAnsi="Arial"/>
                <w:sz w:val="16"/>
                <w:szCs w:val="16"/>
                <w:color w:val="auto"/>
              </w:rPr>
              <w:t xml:space="preserve">153.05 </w:t>
            </w:r>
            <w:r>
              <w:rPr>
                <w:rFonts w:ascii="Arial" w:cs="Arial" w:eastAsia="Arial" w:hAnsi="Arial"/>
                <w:sz w:val="26"/>
                <w:szCs w:val="26"/>
                <w:color w:val="auto"/>
                <w:vertAlign w:val="superscript"/>
              </w:rPr>
              <w:t>(2)</w:t>
            </w:r>
          </w:p>
        </w:tc>
        <w:tc>
          <w:tcPr>
            <w:tcW w:w="3020" w:type="dxa"/>
            <w:vAlign w:val="bottom"/>
            <w:gridSpan w:val="2"/>
            <w:shd w:val="clear" w:color="auto" w:fill="CCEEFF"/>
          </w:tcPr>
          <w:p>
            <w:pPr>
              <w:jc w:val="right"/>
              <w:ind w:right="20"/>
              <w:spacing w:after="0" w:line="228" w:lineRule="exact"/>
              <w:rPr>
                <w:sz w:val="20"/>
                <w:szCs w:val="20"/>
                <w:color w:val="auto"/>
              </w:rPr>
            </w:pPr>
            <w:r>
              <w:rPr>
                <w:rFonts w:ascii="Arial" w:cs="Arial" w:eastAsia="Arial" w:hAnsi="Arial"/>
                <w:sz w:val="16"/>
                <w:szCs w:val="16"/>
                <w:color w:val="auto"/>
              </w:rPr>
              <w:t xml:space="preserve">6,850 </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hanging="280"/>
        <w:spacing w:after="0"/>
        <w:tabs>
          <w:tab w:leader="none" w:pos="420" w:val="left"/>
        </w:tabs>
        <w:numPr>
          <w:ilvl w:val="0"/>
          <w:numId w:val="3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shares of FactSet common stock subject to outstanding restricted stock that will entitle each holder to the issuance of one share of common stock as they vest.</w:t>
      </w:r>
    </w:p>
    <w:p>
      <w:pPr>
        <w:spacing w:after="0" w:line="179" w:lineRule="exact"/>
        <w:rPr>
          <w:rFonts w:ascii="Arial" w:cs="Arial" w:eastAsia="Arial" w:hAnsi="Arial"/>
          <w:sz w:val="19"/>
          <w:szCs w:val="19"/>
          <w:i w:val="1"/>
          <w:iCs w:val="1"/>
          <w:color w:val="auto"/>
          <w:vertAlign w:val="superscript"/>
        </w:rPr>
      </w:pPr>
    </w:p>
    <w:p>
      <w:pPr>
        <w:ind w:left="5640"/>
        <w:spacing w:after="0"/>
        <w:rPr>
          <w:rFonts w:ascii="Arial" w:cs="Arial" w:eastAsia="Arial" w:hAnsi="Arial"/>
          <w:sz w:val="19"/>
          <w:szCs w:val="19"/>
          <w:i w:val="1"/>
          <w:iCs w:val="1"/>
          <w:color w:val="auto"/>
          <w:vertAlign w:val="superscript"/>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91" w:name="page92"/>
    <w:bookmarkEnd w:id="91"/>
    <w:p>
      <w:pPr>
        <w:ind w:left="420" w:hanging="280"/>
        <w:spacing w:after="0" w:line="223" w:lineRule="auto"/>
        <w:tabs>
          <w:tab w:leader="none" w:pos="420"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Calculated without taking into account shares of FactSet common stock subject to outstanding restricted stock that will become issuable as they vest, without any cash consideration or other payment required for such shares.</w:t>
      </w:r>
    </w:p>
    <w:p>
      <w:pPr>
        <w:spacing w:after="0" w:line="181" w:lineRule="exact"/>
        <w:rPr>
          <w:rFonts w:ascii="Arial" w:cs="Arial" w:eastAsia="Arial" w:hAnsi="Arial"/>
          <w:sz w:val="21"/>
          <w:szCs w:val="21"/>
          <w:i w:val="1"/>
          <w:iCs w:val="1"/>
          <w:color w:val="auto"/>
          <w:vertAlign w:val="superscript"/>
        </w:rPr>
      </w:pPr>
    </w:p>
    <w:p>
      <w:pPr>
        <w:ind w:left="420" w:hanging="280"/>
        <w:spacing w:after="0" w:line="265" w:lineRule="auto"/>
        <w:tabs>
          <w:tab w:leader="none" w:pos="420" w:val="left"/>
        </w:tabs>
        <w:numPr>
          <w:ilvl w:val="0"/>
          <w:numId w:val="3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282,398 shares available for future issuance under the FactSet Research Systems Inc. Non-Employee Directors’ Stock Option and Award Plan, as Amended and Restated and 268,942 shares available for purchase under the FactSet Research Systems Inc. 2008 Employee Stock Purchase Plan, as Amended and Restated .</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ITEM 13. CERTAIN RELATIONSHIPS AND RELATED TRANSACTIONS, AND DIRECTOR INDEPENDENCE</w:t>
      </w:r>
    </w:p>
    <w:p>
      <w:pPr>
        <w:spacing w:after="0" w:line="200" w:lineRule="exact"/>
        <w:rPr>
          <w:sz w:val="20"/>
          <w:szCs w:val="20"/>
          <w:color w:val="auto"/>
        </w:rPr>
      </w:pPr>
    </w:p>
    <w:p>
      <w:pPr>
        <w:jc w:val="both"/>
        <w:ind w:right="340"/>
        <w:spacing w:after="0" w:line="264" w:lineRule="auto"/>
        <w:rPr>
          <w:sz w:val="20"/>
          <w:szCs w:val="20"/>
          <w:color w:val="auto"/>
        </w:rPr>
      </w:pPr>
      <w:r>
        <w:rPr>
          <w:rFonts w:ascii="Arial" w:cs="Arial" w:eastAsia="Arial" w:hAnsi="Arial"/>
          <w:sz w:val="16"/>
          <w:szCs w:val="16"/>
          <w:color w:val="auto"/>
        </w:rPr>
        <w:t>The information required by this item relating to review, approval or ratification of transactions with related persons is included under the caption “Certain Relationships and Related Transactions” and all the information required by this item relating to director independence is included under the caption “Corporate Governance” contained in the definitive Proxy Statement dated October 30, 2018, all of which information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ITEM 14. PRINCIPAL ACCOUNTING FEES AND SERVICES</w:t>
      </w:r>
    </w:p>
    <w:p>
      <w:pPr>
        <w:spacing w:after="0" w:line="200" w:lineRule="exact"/>
        <w:rPr>
          <w:sz w:val="20"/>
          <w:szCs w:val="20"/>
          <w:color w:val="auto"/>
        </w:rPr>
      </w:pPr>
    </w:p>
    <w:p>
      <w:pPr>
        <w:ind w:right="620"/>
        <w:spacing w:after="0" w:line="277" w:lineRule="auto"/>
        <w:rPr>
          <w:sz w:val="20"/>
          <w:szCs w:val="20"/>
          <w:color w:val="auto"/>
        </w:rPr>
      </w:pPr>
      <w:r>
        <w:rPr>
          <w:rFonts w:ascii="Arial" w:cs="Arial" w:eastAsia="Arial" w:hAnsi="Arial"/>
          <w:sz w:val="16"/>
          <w:szCs w:val="16"/>
          <w:color w:val="auto"/>
        </w:rPr>
        <w:t>The information required by this item is included under the caption “Proposal 2: Ratification of Independent Registered Public Accounting Firm” in the definitive Proxy Statement dated October 30, 2018, all of which information is incorporated herein by reference.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2" w:name="page93"/>
    <w:bookmarkEnd w:id="92"/>
    <w:p>
      <w:pPr>
        <w:ind w:left="4"/>
        <w:spacing w:after="0"/>
        <w:rPr>
          <w:sz w:val="20"/>
          <w:szCs w:val="20"/>
          <w:color w:val="auto"/>
        </w:rPr>
      </w:pPr>
      <w:r>
        <w:rPr>
          <w:rFonts w:ascii="Arial" w:cs="Arial" w:eastAsia="Arial" w:hAnsi="Arial"/>
          <w:sz w:val="19"/>
          <w:szCs w:val="19"/>
          <w:color w:val="auto"/>
        </w:rPr>
        <w:t>PART IV</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auto"/>
        </w:rPr>
        <w:t>ITEM 15. EXHIBITS, FINANCIAL STATEMENT SCHEDULES</w:t>
      </w:r>
    </w:p>
    <w:p>
      <w:pPr>
        <w:spacing w:after="0" w:line="200" w:lineRule="exact"/>
        <w:rPr>
          <w:sz w:val="20"/>
          <w:szCs w:val="20"/>
          <w:color w:val="auto"/>
        </w:rPr>
      </w:pPr>
    </w:p>
    <w:p>
      <w:pPr>
        <w:ind w:left="284" w:hanging="284"/>
        <w:spacing w:after="0"/>
        <w:tabs>
          <w:tab w:leader="none" w:pos="2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Documents filed as part of this Report on Form 10-K:</w:t>
      </w:r>
    </w:p>
    <w:p>
      <w:pPr>
        <w:spacing w:after="0" w:line="200" w:lineRule="exact"/>
        <w:rPr>
          <w:rFonts w:ascii="Arial" w:cs="Arial" w:eastAsia="Arial" w:hAnsi="Arial"/>
          <w:sz w:val="16"/>
          <w:szCs w:val="16"/>
          <w:color w:val="auto"/>
        </w:rPr>
      </w:pPr>
    </w:p>
    <w:p>
      <w:pPr>
        <w:ind w:left="584" w:hanging="296"/>
        <w:spacing w:after="0"/>
        <w:tabs>
          <w:tab w:leader="none" w:pos="5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Financial Statements</w:t>
      </w:r>
    </w:p>
    <w:p>
      <w:pPr>
        <w:spacing w:after="0" w:line="224"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The information required by this item is included in Item 8, Financial Statements and Supplementary Data, which is incorporated herein.</w:t>
      </w:r>
    </w:p>
    <w:p>
      <w:pPr>
        <w:spacing w:after="0" w:line="224" w:lineRule="exact"/>
        <w:rPr>
          <w:rFonts w:ascii="Arial" w:cs="Arial" w:eastAsia="Arial" w:hAnsi="Arial"/>
          <w:sz w:val="16"/>
          <w:szCs w:val="16"/>
          <w:color w:val="auto"/>
        </w:rPr>
      </w:pPr>
    </w:p>
    <w:p>
      <w:pPr>
        <w:ind w:left="584" w:hanging="296"/>
        <w:spacing w:after="0"/>
        <w:tabs>
          <w:tab w:leader="none" w:pos="5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Financial Statements Schedule</w:t>
      </w:r>
    </w:p>
    <w:p>
      <w:pPr>
        <w:spacing w:after="0" w:line="200" w:lineRule="exact"/>
        <w:rPr>
          <w:sz w:val="20"/>
          <w:szCs w:val="20"/>
          <w:color w:val="auto"/>
        </w:rPr>
      </w:pPr>
    </w:p>
    <w:p>
      <w:pPr>
        <w:spacing w:after="0" w:line="241" w:lineRule="exact"/>
        <w:rPr>
          <w:sz w:val="20"/>
          <w:szCs w:val="20"/>
          <w:color w:val="auto"/>
        </w:rPr>
      </w:pPr>
    </w:p>
    <w:tbl>
      <w:tblPr>
        <w:tblLayout w:type="fixed"/>
        <w:tblInd w:w="584" w:type="dxa"/>
        <w:tblCellMar>
          <w:top w:w="0" w:type="dxa"/>
          <w:left w:w="0" w:type="dxa"/>
          <w:bottom w:w="0" w:type="dxa"/>
          <w:right w:w="0" w:type="dxa"/>
        </w:tblCellMar>
      </w:tblPr>
      <w:tr>
        <w:trPr>
          <w:trHeight w:val="205"/>
        </w:trPr>
        <w:tc>
          <w:tcPr>
            <w:tcW w:w="4060" w:type="dxa"/>
            <w:vAlign w:val="bottom"/>
            <w:gridSpan w:val="2"/>
          </w:tcPr>
          <w:p>
            <w:pPr>
              <w:spacing w:after="0"/>
              <w:rPr>
                <w:sz w:val="20"/>
                <w:szCs w:val="20"/>
                <w:color w:val="auto"/>
              </w:rPr>
            </w:pPr>
            <w:r>
              <w:rPr>
                <w:rFonts w:ascii="Arial" w:cs="Arial" w:eastAsia="Arial" w:hAnsi="Arial"/>
                <w:sz w:val="16"/>
                <w:szCs w:val="16"/>
                <w:color w:val="auto"/>
              </w:rPr>
              <w:t>Schedule II – Valuation and Qualifying Accounts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4060" w:type="dxa"/>
            <w:vAlign w:val="bottom"/>
            <w:gridSpan w:val="2"/>
          </w:tcPr>
          <w:p>
            <w:pPr>
              <w:spacing w:after="0"/>
              <w:rPr>
                <w:sz w:val="20"/>
                <w:szCs w:val="20"/>
                <w:color w:val="auto"/>
              </w:rPr>
            </w:pPr>
            <w:r>
              <w:rPr>
                <w:rFonts w:ascii="Arial" w:cs="Arial" w:eastAsia="Arial" w:hAnsi="Arial"/>
                <w:sz w:val="16"/>
                <w:szCs w:val="16"/>
                <w:color w:val="auto"/>
                <w:w w:val="92"/>
              </w:rPr>
              <w:t>Years ended August 31, 2018, 2017 and 2016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4"/>
        </w:trPr>
        <w:tc>
          <w:tcPr>
            <w:tcW w:w="4060" w:type="dxa"/>
            <w:vAlign w:val="bottom"/>
            <w:gridSpan w:val="2"/>
          </w:tcPr>
          <w:p>
            <w:pPr>
              <w:spacing w:after="0"/>
              <w:rPr>
                <w:sz w:val="20"/>
                <w:szCs w:val="20"/>
                <w:color w:val="auto"/>
              </w:rPr>
            </w:pPr>
            <w:r>
              <w:rPr>
                <w:rFonts w:ascii="Arial" w:cs="Arial" w:eastAsia="Arial" w:hAnsi="Arial"/>
                <w:sz w:val="16"/>
                <w:szCs w:val="16"/>
                <w:color w:val="auto"/>
              </w:rPr>
              <w:t>Receivable reserve</w:t>
            </w:r>
          </w:p>
        </w:tc>
        <w:tc>
          <w:tcPr>
            <w:tcW w:w="28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Balance at</w:t>
            </w:r>
          </w:p>
        </w:tc>
        <w:tc>
          <w:tcPr>
            <w:tcW w:w="1560" w:type="dxa"/>
            <w:vAlign w:val="bottom"/>
            <w:gridSpan w:val="2"/>
          </w:tcPr>
          <w:p>
            <w:pPr>
              <w:ind w:left="120"/>
              <w:spacing w:after="0"/>
              <w:rPr>
                <w:sz w:val="20"/>
                <w:szCs w:val="20"/>
                <w:color w:val="auto"/>
              </w:rPr>
            </w:pPr>
            <w:r>
              <w:rPr>
                <w:rFonts w:ascii="Arial" w:cs="Arial" w:eastAsia="Arial" w:hAnsi="Arial"/>
                <w:sz w:val="16"/>
                <w:szCs w:val="16"/>
                <w:color w:val="auto"/>
                <w:w w:val="94"/>
              </w:rPr>
              <w:t>Charged to Expense/</w:t>
            </w:r>
          </w:p>
        </w:tc>
        <w:tc>
          <w:tcPr>
            <w:tcW w:w="220" w:type="dxa"/>
            <w:vAlign w:val="bottom"/>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Write-offs,</w:t>
            </w:r>
          </w:p>
        </w:tc>
        <w:tc>
          <w:tcPr>
            <w:tcW w:w="4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Balance at</w:t>
            </w:r>
          </w:p>
        </w:tc>
      </w:tr>
      <w:tr>
        <w:trPr>
          <w:trHeight w:val="239"/>
        </w:trPr>
        <w:tc>
          <w:tcPr>
            <w:tcW w:w="4060" w:type="dxa"/>
            <w:vAlign w:val="bottom"/>
            <w:gridSpan w:val="2"/>
          </w:tcPr>
          <w:p>
            <w:pPr>
              <w:spacing w:after="0"/>
              <w:rPr>
                <w:sz w:val="20"/>
                <w:szCs w:val="20"/>
                <w:color w:val="auto"/>
              </w:rPr>
            </w:pPr>
            <w:r>
              <w:rPr>
                <w:rFonts w:ascii="Arial" w:cs="Arial" w:eastAsia="Arial" w:hAnsi="Arial"/>
                <w:sz w:val="16"/>
                <w:szCs w:val="16"/>
                <w:color w:val="auto"/>
              </w:rPr>
              <w:t>and billing adjustments</w:t>
            </w:r>
          </w:p>
        </w:tc>
        <w:tc>
          <w:tcPr>
            <w:tcW w:w="280" w:type="dxa"/>
            <w:vAlign w:val="bottom"/>
          </w:tcPr>
          <w:p>
            <w:pPr>
              <w:spacing w:after="0"/>
              <w:rPr>
                <w:sz w:val="20"/>
                <w:szCs w:val="20"/>
                <w:color w:val="auto"/>
              </w:rPr>
            </w:pPr>
          </w:p>
        </w:tc>
        <w:tc>
          <w:tcPr>
            <w:tcW w:w="1340" w:type="dxa"/>
            <w:vAlign w:val="bottom"/>
          </w:tcPr>
          <w:p>
            <w:pPr>
              <w:jc w:val="right"/>
              <w:ind w:right="60"/>
              <w:spacing w:after="0"/>
              <w:rPr>
                <w:sz w:val="20"/>
                <w:szCs w:val="20"/>
                <w:color w:val="auto"/>
              </w:rPr>
            </w:pPr>
            <w:r>
              <w:rPr>
                <w:rFonts w:ascii="Arial" w:cs="Arial" w:eastAsia="Arial" w:hAnsi="Arial"/>
                <w:sz w:val="16"/>
                <w:szCs w:val="16"/>
                <w:color w:val="auto"/>
                <w:w w:val="92"/>
              </w:rPr>
              <w:t>Beginning of Year</w:t>
            </w:r>
          </w:p>
        </w:tc>
        <w:tc>
          <w:tcPr>
            <w:tcW w:w="180" w:type="dxa"/>
            <w:vAlign w:val="bottom"/>
          </w:tcPr>
          <w:p>
            <w:pPr>
              <w:spacing w:after="0"/>
              <w:rPr>
                <w:sz w:val="20"/>
                <w:szCs w:val="20"/>
                <w:color w:val="auto"/>
              </w:rPr>
            </w:pPr>
          </w:p>
        </w:tc>
        <w:tc>
          <w:tcPr>
            <w:tcW w:w="1380" w:type="dxa"/>
            <w:vAlign w:val="bottom"/>
          </w:tcPr>
          <w:p>
            <w:pPr>
              <w:jc w:val="right"/>
              <w:ind w:right="40"/>
              <w:spacing w:after="0" w:line="238" w:lineRule="exact"/>
              <w:rPr>
                <w:sz w:val="20"/>
                <w:szCs w:val="20"/>
                <w:color w:val="auto"/>
              </w:rPr>
            </w:pPr>
            <w:r>
              <w:rPr>
                <w:rFonts w:ascii="Arial" w:cs="Arial" w:eastAsia="Arial" w:hAnsi="Arial"/>
                <w:sz w:val="16"/>
                <w:szCs w:val="16"/>
                <w:color w:val="auto"/>
                <w:w w:val="86"/>
              </w:rPr>
              <w:t>Against Revenue</w:t>
            </w:r>
            <w:r>
              <w:rPr>
                <w:rFonts w:ascii="Arial" w:cs="Arial" w:eastAsia="Arial" w:hAnsi="Arial"/>
                <w:sz w:val="26"/>
                <w:szCs w:val="26"/>
                <w:color w:val="auto"/>
                <w:w w:val="86"/>
                <w:vertAlign w:val="superscript"/>
              </w:rPr>
              <w:t>(1)</w:t>
            </w:r>
          </w:p>
        </w:tc>
        <w:tc>
          <w:tcPr>
            <w:tcW w:w="22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w w:val="92"/>
              </w:rPr>
              <w:t>Net of Recoveries</w:t>
            </w:r>
          </w:p>
        </w:tc>
        <w:tc>
          <w:tcPr>
            <w:tcW w:w="4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End of Year</w:t>
            </w:r>
          </w:p>
        </w:tc>
      </w:tr>
      <w:tr>
        <w:trPr>
          <w:trHeight w:val="184"/>
        </w:trPr>
        <w:tc>
          <w:tcPr>
            <w:tcW w:w="20" w:type="dxa"/>
            <w:vAlign w:val="bottom"/>
          </w:tcPr>
          <w:p>
            <w:pPr>
              <w:spacing w:after="0"/>
              <w:rPr>
                <w:sz w:val="16"/>
                <w:szCs w:val="16"/>
                <w:color w:val="auto"/>
              </w:rPr>
            </w:pPr>
          </w:p>
        </w:tc>
        <w:tc>
          <w:tcPr>
            <w:tcW w:w="4040" w:type="dxa"/>
            <w:vAlign w:val="bottom"/>
            <w:tcBorders>
              <w:top w:val="single" w:sz="8" w:color="auto"/>
            </w:tcBorders>
            <w:shd w:val="clear" w:color="auto" w:fill="CCEEFF"/>
          </w:tcPr>
          <w:p>
            <w:pPr>
              <w:jc w:val="right"/>
              <w:ind w:right="3520"/>
              <w:spacing w:after="0"/>
              <w:rPr>
                <w:sz w:val="20"/>
                <w:szCs w:val="20"/>
                <w:color w:val="auto"/>
              </w:rPr>
            </w:pPr>
            <w:r>
              <w:rPr>
                <w:rFonts w:ascii="Arial" w:cs="Arial" w:eastAsia="Arial" w:hAnsi="Arial"/>
                <w:sz w:val="16"/>
                <w:szCs w:val="16"/>
                <w:color w:val="auto"/>
              </w:rPr>
              <w:t>2018</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2,738</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4,737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3,985</w:t>
            </w:r>
          </w:p>
        </w:tc>
        <w:tc>
          <w:tcPr>
            <w:tcW w:w="4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40" w:type="dxa"/>
            <w:vAlign w:val="bottom"/>
          </w:tcPr>
          <w:p>
            <w:pPr>
              <w:jc w:val="right"/>
              <w:ind w:right="3520"/>
              <w:spacing w:after="0"/>
              <w:rPr>
                <w:sz w:val="20"/>
                <w:szCs w:val="20"/>
                <w:color w:val="auto"/>
              </w:rPr>
            </w:pPr>
            <w:r>
              <w:rPr>
                <w:rFonts w:ascii="Arial" w:cs="Arial" w:eastAsia="Arial" w:hAnsi="Arial"/>
                <w:sz w:val="16"/>
                <w:szCs w:val="16"/>
                <w:color w:val="auto"/>
              </w:rPr>
              <w:t>2017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1,521</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2,164</w:t>
            </w:r>
          </w:p>
        </w:tc>
        <w:tc>
          <w:tcPr>
            <w:tcW w:w="4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040" w:type="dxa"/>
            <w:vAlign w:val="bottom"/>
            <w:shd w:val="clear" w:color="auto" w:fill="CCEEFF"/>
          </w:tcPr>
          <w:p>
            <w:pPr>
              <w:jc w:val="right"/>
              <w:ind w:right="3520"/>
              <w:spacing w:after="0"/>
              <w:rPr>
                <w:sz w:val="20"/>
                <w:szCs w:val="20"/>
                <w:color w:val="auto"/>
              </w:rPr>
            </w:pPr>
            <w:r>
              <w:rPr>
                <w:rFonts w:ascii="Arial" w:cs="Arial" w:eastAsia="Arial" w:hAnsi="Arial"/>
                <w:sz w:val="16"/>
                <w:szCs w:val="16"/>
                <w:color w:val="auto"/>
              </w:rPr>
              <w:t>2016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1,580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1,976</w:t>
            </w:r>
          </w:p>
        </w:tc>
        <w:tc>
          <w:tcPr>
            <w:tcW w:w="42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16"/>
                <w:szCs w:val="16"/>
                <w:color w:val="auto"/>
              </w:rPr>
            </w:pPr>
          </w:p>
        </w:tc>
      </w:tr>
    </w:tbl>
    <w:p>
      <w:pPr>
        <w:spacing w:after="0" w:line="252" w:lineRule="exact"/>
        <w:rPr>
          <w:sz w:val="20"/>
          <w:szCs w:val="20"/>
          <w:color w:val="auto"/>
        </w:rPr>
      </w:pPr>
    </w:p>
    <w:p>
      <w:pPr>
        <w:ind w:left="584" w:right="380" w:hanging="7"/>
        <w:spacing w:after="0" w:line="192" w:lineRule="auto"/>
        <w:tabs>
          <w:tab w:leader="none" w:pos="820" w:val="left"/>
        </w:tabs>
        <w:numPr>
          <w:ilvl w:val="0"/>
          <w:numId w:val="36"/>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Additions to the receivable reserve for doubtful accounts are charged to bad debt expense. Additions to the receivable reserve for billing adjustments are charged against revenues.</w:t>
      </w:r>
    </w:p>
    <w:p>
      <w:pPr>
        <w:spacing w:after="0" w:line="39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Additional financial statement schedules are omitted since they are either not required, not applicable, or the information is otherwise included.</w:t>
      </w:r>
    </w:p>
    <w:p>
      <w:pPr>
        <w:spacing w:after="0" w:line="200" w:lineRule="exact"/>
        <w:rPr>
          <w:sz w:val="20"/>
          <w:szCs w:val="20"/>
          <w:color w:val="auto"/>
        </w:rPr>
      </w:pPr>
    </w:p>
    <w:p>
      <w:pPr>
        <w:ind w:left="584" w:hanging="296"/>
        <w:spacing w:after="0"/>
        <w:tabs>
          <w:tab w:leader="none" w:pos="5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Exhibits</w:t>
      </w:r>
    </w:p>
    <w:p>
      <w:pPr>
        <w:spacing w:after="0" w:line="224" w:lineRule="exact"/>
        <w:rPr>
          <w:rFonts w:ascii="Arial" w:cs="Arial" w:eastAsia="Arial" w:hAnsi="Arial"/>
          <w:sz w:val="16"/>
          <w:szCs w:val="16"/>
          <w:color w:val="auto"/>
        </w:rPr>
      </w:pPr>
    </w:p>
    <w:p>
      <w:pPr>
        <w:ind w:left="584"/>
        <w:spacing w:after="0"/>
        <w:rPr>
          <w:rFonts w:ascii="Arial" w:cs="Arial" w:eastAsia="Arial" w:hAnsi="Arial"/>
          <w:sz w:val="16"/>
          <w:szCs w:val="16"/>
          <w:color w:val="auto"/>
        </w:rPr>
      </w:pPr>
      <w:r>
        <w:rPr>
          <w:rFonts w:ascii="Arial" w:cs="Arial" w:eastAsia="Arial" w:hAnsi="Arial"/>
          <w:sz w:val="16"/>
          <w:szCs w:val="16"/>
          <w:color w:val="auto"/>
        </w:rPr>
        <w:t>The information required by this Item is set forth below.</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40" w:type="dxa"/>
            <w:vAlign w:val="bottom"/>
            <w:gridSpan w:val="2"/>
          </w:tcPr>
          <w:p>
            <w:pPr>
              <w:ind w:left="360"/>
              <w:spacing w:after="0"/>
              <w:rPr>
                <w:sz w:val="20"/>
                <w:szCs w:val="20"/>
                <w:color w:val="auto"/>
              </w:rPr>
            </w:pPr>
            <w:r>
              <w:rPr>
                <w:rFonts w:ascii="Arial" w:cs="Arial" w:eastAsia="Arial" w:hAnsi="Arial"/>
                <w:sz w:val="16"/>
                <w:szCs w:val="16"/>
                <w:color w:val="auto"/>
              </w:rPr>
              <w:t>Incorporated by Reference</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Arial" w:cs="Arial" w:eastAsia="Arial" w:hAnsi="Arial"/>
                <w:sz w:val="16"/>
                <w:szCs w:val="16"/>
                <w:color w:val="auto"/>
              </w:rPr>
              <w:t>Exhibit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21"/>
          </w:tcPr>
          <w:p>
            <w:pPr>
              <w:jc w:val="center"/>
              <w:ind w:right="2100"/>
              <w:spacing w:after="0"/>
              <w:rPr>
                <w:sz w:val="20"/>
                <w:szCs w:val="20"/>
                <w:color w:val="auto"/>
              </w:rPr>
            </w:pPr>
            <w:r>
              <w:rPr>
                <w:rFonts w:ascii="Arial" w:cs="Arial" w:eastAsia="Arial" w:hAnsi="Arial"/>
                <w:sz w:val="16"/>
                <w:szCs w:val="16"/>
                <w:color w:val="auto"/>
                <w:w w:val="99"/>
              </w:rPr>
              <w:t>Exhibit</w:t>
            </w:r>
          </w:p>
        </w:tc>
        <w:tc>
          <w:tcPr>
            <w:tcW w:w="1100" w:type="dxa"/>
            <w:vAlign w:val="bottom"/>
          </w:tcPr>
          <w:p>
            <w:pPr>
              <w:jc w:val="center"/>
              <w:ind w:right="40"/>
              <w:spacing w:after="0"/>
              <w:rPr>
                <w:sz w:val="20"/>
                <w:szCs w:val="20"/>
                <w:color w:val="auto"/>
              </w:rPr>
            </w:pPr>
            <w:r>
              <w:rPr>
                <w:rFonts w:ascii="Arial" w:cs="Arial" w:eastAsia="Arial" w:hAnsi="Arial"/>
                <w:sz w:val="16"/>
                <w:szCs w:val="16"/>
                <w:color w:val="auto"/>
                <w:w w:val="90"/>
              </w:rPr>
              <w:t>Form</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File No.</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Exhibit No.</w:t>
            </w:r>
          </w:p>
        </w:tc>
        <w:tc>
          <w:tcPr>
            <w:tcW w:w="1140" w:type="dxa"/>
            <w:vAlign w:val="bottom"/>
          </w:tcPr>
          <w:p>
            <w:pPr>
              <w:ind w:left="240"/>
              <w:spacing w:after="0"/>
              <w:rPr>
                <w:sz w:val="20"/>
                <w:szCs w:val="20"/>
                <w:color w:val="auto"/>
              </w:rPr>
            </w:pPr>
            <w:r>
              <w:rPr>
                <w:rFonts w:ascii="Arial" w:cs="Arial" w:eastAsia="Arial" w:hAnsi="Arial"/>
                <w:sz w:val="16"/>
                <w:szCs w:val="16"/>
                <w:color w:val="auto"/>
              </w:rPr>
              <w:t>Filing Date</w:t>
            </w:r>
          </w:p>
        </w:tc>
        <w:tc>
          <w:tcPr>
            <w:tcW w:w="840" w:type="dxa"/>
            <w:vAlign w:val="bottom"/>
            <w:gridSpan w:val="2"/>
          </w:tcPr>
          <w:p>
            <w:pPr>
              <w:jc w:val="center"/>
              <w:ind w:left="20"/>
              <w:spacing w:after="0"/>
              <w:rPr>
                <w:sz w:val="20"/>
                <w:szCs w:val="20"/>
                <w:color w:val="auto"/>
              </w:rPr>
            </w:pPr>
            <w:r>
              <w:rPr>
                <w:rFonts w:ascii="Arial" w:cs="Arial" w:eastAsia="Arial" w:hAnsi="Arial"/>
                <w:sz w:val="16"/>
                <w:szCs w:val="16"/>
                <w:color w:val="auto"/>
                <w:w w:val="97"/>
              </w:rPr>
              <w:t>Filed</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8"/>
              </w:rPr>
              <w:t>Number</w:t>
            </w: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24"/>
          </w:tcPr>
          <w:p>
            <w:pPr>
              <w:jc w:val="center"/>
              <w:ind w:right="1960"/>
              <w:spacing w:after="0"/>
              <w:rPr>
                <w:sz w:val="20"/>
                <w:szCs w:val="20"/>
                <w:color w:val="auto"/>
              </w:rPr>
            </w:pPr>
            <w:r>
              <w:rPr>
                <w:rFonts w:ascii="Arial" w:cs="Arial" w:eastAsia="Arial" w:hAnsi="Arial"/>
                <w:sz w:val="16"/>
                <w:szCs w:val="16"/>
                <w:color w:val="auto"/>
                <w:w w:val="94"/>
              </w:rPr>
              <w:t>Description</w:t>
            </w:r>
          </w:p>
        </w:tc>
        <w:tc>
          <w:tcPr>
            <w:tcW w:w="1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left="20"/>
              <w:spacing w:after="0"/>
              <w:rPr>
                <w:sz w:val="20"/>
                <w:szCs w:val="20"/>
                <w:color w:val="auto"/>
              </w:rPr>
            </w:pPr>
            <w:r>
              <w:rPr>
                <w:rFonts w:ascii="Arial" w:cs="Arial" w:eastAsia="Arial" w:hAnsi="Arial"/>
                <w:sz w:val="16"/>
                <w:szCs w:val="16"/>
                <w:color w:val="auto"/>
                <w:w w:val="91"/>
              </w:rPr>
              <w:t>Herewith</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jc w:val="right"/>
              <w:ind w:right="140"/>
              <w:spacing w:after="0" w:line="148" w:lineRule="exact"/>
              <w:rPr>
                <w:sz w:val="20"/>
                <w:szCs w:val="20"/>
                <w:color w:val="auto"/>
              </w:rPr>
            </w:pPr>
            <w:r>
              <w:rPr>
                <w:rFonts w:ascii="Arial" w:cs="Arial" w:eastAsia="Arial" w:hAnsi="Arial"/>
                <w:sz w:val="16"/>
                <w:szCs w:val="16"/>
                <w:color w:val="auto"/>
              </w:rPr>
              <w:t>3.1</w:t>
            </w:r>
          </w:p>
        </w:tc>
        <w:tc>
          <w:tcPr>
            <w:tcW w:w="4560" w:type="dxa"/>
            <w:vAlign w:val="bottom"/>
            <w:gridSpan w:val="39"/>
          </w:tcPr>
          <w:p>
            <w:pPr>
              <w:spacing w:after="0" w:line="148" w:lineRule="exact"/>
              <w:rPr>
                <w:rFonts w:ascii="Arial" w:cs="Arial" w:eastAsia="Arial" w:hAnsi="Arial"/>
                <w:sz w:val="16"/>
                <w:szCs w:val="16"/>
                <w:color w:val="0000EE"/>
              </w:rPr>
            </w:pPr>
            <w:hyperlink r:id="rId95">
              <w:r>
                <w:rPr>
                  <w:rFonts w:ascii="Arial" w:cs="Arial" w:eastAsia="Arial" w:hAnsi="Arial"/>
                  <w:sz w:val="16"/>
                  <w:szCs w:val="16"/>
                  <w:color w:val="0000EE"/>
                </w:rPr>
                <w:t>Restated Certificate of Incorporation</w:t>
              </w:r>
            </w:hyperlink>
          </w:p>
        </w:tc>
        <w:tc>
          <w:tcPr>
            <w:tcW w:w="1100" w:type="dxa"/>
            <w:vAlign w:val="bottom"/>
          </w:tcPr>
          <w:p>
            <w:pPr>
              <w:jc w:val="center"/>
              <w:ind w:right="40"/>
              <w:spacing w:after="0" w:line="148" w:lineRule="exact"/>
              <w:rPr>
                <w:sz w:val="20"/>
                <w:szCs w:val="20"/>
                <w:color w:val="auto"/>
              </w:rPr>
            </w:pPr>
            <w:r>
              <w:rPr>
                <w:rFonts w:ascii="Arial" w:cs="Arial" w:eastAsia="Arial" w:hAnsi="Arial"/>
                <w:sz w:val="16"/>
                <w:szCs w:val="16"/>
                <w:color w:val="auto"/>
                <w:w w:val="94"/>
              </w:rPr>
              <w:t>S-1/A</w:t>
            </w:r>
          </w:p>
        </w:tc>
        <w:tc>
          <w:tcPr>
            <w:tcW w:w="1200" w:type="dxa"/>
            <w:vAlign w:val="bottom"/>
          </w:tcPr>
          <w:p>
            <w:pPr>
              <w:jc w:val="center"/>
              <w:spacing w:after="0" w:line="148" w:lineRule="exact"/>
              <w:rPr>
                <w:sz w:val="20"/>
                <w:szCs w:val="20"/>
                <w:color w:val="auto"/>
              </w:rPr>
            </w:pPr>
            <w:r>
              <w:rPr>
                <w:rFonts w:ascii="Arial" w:cs="Arial" w:eastAsia="Arial" w:hAnsi="Arial"/>
                <w:sz w:val="16"/>
                <w:szCs w:val="16"/>
                <w:color w:val="auto"/>
                <w:w w:val="88"/>
              </w:rPr>
              <w:t>333-04238</w:t>
            </w:r>
          </w:p>
        </w:tc>
        <w:tc>
          <w:tcPr>
            <w:tcW w:w="1240" w:type="dxa"/>
            <w:vAlign w:val="bottom"/>
          </w:tcPr>
          <w:p>
            <w:pPr>
              <w:jc w:val="center"/>
              <w:spacing w:after="0" w:line="148" w:lineRule="exact"/>
              <w:rPr>
                <w:sz w:val="20"/>
                <w:szCs w:val="20"/>
                <w:color w:val="auto"/>
              </w:rPr>
            </w:pPr>
            <w:r>
              <w:rPr>
                <w:rFonts w:ascii="Arial" w:cs="Arial" w:eastAsia="Arial" w:hAnsi="Arial"/>
                <w:sz w:val="16"/>
                <w:szCs w:val="16"/>
                <w:color w:val="auto"/>
                <w:w w:val="89"/>
              </w:rPr>
              <w:t>3.1</w:t>
            </w:r>
          </w:p>
        </w:tc>
        <w:tc>
          <w:tcPr>
            <w:tcW w:w="1140" w:type="dxa"/>
            <w:vAlign w:val="bottom"/>
          </w:tcPr>
          <w:p>
            <w:pPr>
              <w:jc w:val="center"/>
              <w:spacing w:after="0" w:line="148" w:lineRule="exact"/>
              <w:rPr>
                <w:sz w:val="20"/>
                <w:szCs w:val="20"/>
                <w:color w:val="auto"/>
              </w:rPr>
            </w:pPr>
            <w:r>
              <w:rPr>
                <w:rFonts w:ascii="Arial" w:cs="Arial" w:eastAsia="Arial" w:hAnsi="Arial"/>
                <w:sz w:val="16"/>
                <w:szCs w:val="16"/>
                <w:color w:val="auto"/>
                <w:w w:val="92"/>
              </w:rPr>
              <w:t>6/26/1996</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3.2</w:t>
            </w:r>
          </w:p>
        </w:tc>
        <w:tc>
          <w:tcPr>
            <w:tcW w:w="3660" w:type="dxa"/>
            <w:vAlign w:val="bottom"/>
            <w:tcBorders>
              <w:bottom w:val="single" w:sz="8" w:color="0000EE"/>
            </w:tcBorders>
            <w:gridSpan w:val="27"/>
          </w:tcPr>
          <w:p>
            <w:pPr>
              <w:spacing w:after="0" w:line="172" w:lineRule="exact"/>
              <w:rPr>
                <w:rFonts w:ascii="Arial" w:cs="Arial" w:eastAsia="Arial" w:hAnsi="Arial"/>
                <w:sz w:val="16"/>
                <w:szCs w:val="16"/>
                <w:color w:val="0000EE"/>
                <w:w w:val="93"/>
              </w:rPr>
            </w:pPr>
            <w:hyperlink r:id="rId96">
              <w:r>
                <w:rPr>
                  <w:rFonts w:ascii="Arial" w:cs="Arial" w:eastAsia="Arial" w:hAnsi="Arial"/>
                  <w:sz w:val="16"/>
                  <w:szCs w:val="16"/>
                  <w:color w:val="0000EE"/>
                  <w:w w:val="93"/>
                </w:rPr>
                <w:t>Certificate of Amendment of Certificate of Incorporation</w:t>
              </w:r>
            </w:hyperlink>
          </w:p>
        </w:tc>
        <w:tc>
          <w:tcPr>
            <w:tcW w:w="900" w:type="dxa"/>
            <w:vAlign w:val="bottom"/>
            <w:gridSpan w:val="12"/>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rPr>
              <w:t>10-K</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333-22319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3.12</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89"/>
              </w:rPr>
              <w:t>11/20/2001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3.3</w:t>
            </w:r>
          </w:p>
        </w:tc>
        <w:tc>
          <w:tcPr>
            <w:tcW w:w="4120" w:type="dxa"/>
            <w:vAlign w:val="bottom"/>
            <w:tcBorders>
              <w:bottom w:val="single" w:sz="8" w:color="0000EE"/>
            </w:tcBorders>
            <w:gridSpan w:val="30"/>
          </w:tcPr>
          <w:p>
            <w:pPr>
              <w:spacing w:after="0" w:line="172" w:lineRule="exact"/>
              <w:rPr>
                <w:rFonts w:ascii="Arial" w:cs="Arial" w:eastAsia="Arial" w:hAnsi="Arial"/>
                <w:sz w:val="16"/>
                <w:szCs w:val="16"/>
                <w:color w:val="0000EE"/>
                <w:w w:val="91"/>
              </w:rPr>
            </w:pPr>
            <w:hyperlink r:id="rId97">
              <w:r>
                <w:rPr>
                  <w:rFonts w:ascii="Arial" w:cs="Arial" w:eastAsia="Arial" w:hAnsi="Arial"/>
                  <w:sz w:val="16"/>
                  <w:szCs w:val="16"/>
                  <w:color w:val="0000EE"/>
                  <w:w w:val="91"/>
                </w:rPr>
                <w:t>Second Amendment to the Restated Certificate of Incorporation</w:t>
              </w:r>
            </w:hyperlink>
          </w:p>
        </w:tc>
        <w:tc>
          <w:tcPr>
            <w:tcW w:w="440" w:type="dxa"/>
            <w:vAlign w:val="bottom"/>
            <w:gridSpan w:val="9"/>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89"/>
              </w:rPr>
              <w:t>12/16/2011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3.4</w:t>
            </w:r>
          </w:p>
        </w:tc>
        <w:tc>
          <w:tcPr>
            <w:tcW w:w="4420" w:type="dxa"/>
            <w:vAlign w:val="bottom"/>
            <w:tcBorders>
              <w:bottom w:val="single" w:sz="8" w:color="0000EE"/>
            </w:tcBorders>
            <w:gridSpan w:val="37"/>
          </w:tcPr>
          <w:p>
            <w:pPr>
              <w:spacing w:after="0" w:line="172" w:lineRule="exact"/>
              <w:rPr>
                <w:rFonts w:ascii="Arial" w:cs="Arial" w:eastAsia="Arial" w:hAnsi="Arial"/>
                <w:sz w:val="16"/>
                <w:szCs w:val="16"/>
                <w:color w:val="0000EE"/>
                <w:w w:val="88"/>
              </w:rPr>
            </w:pPr>
            <w:hyperlink r:id="rId98">
              <w:r>
                <w:rPr>
                  <w:rFonts w:ascii="Arial" w:cs="Arial" w:eastAsia="Arial" w:hAnsi="Arial"/>
                  <w:sz w:val="16"/>
                  <w:szCs w:val="16"/>
                  <w:color w:val="0000EE"/>
                  <w:w w:val="88"/>
                </w:rPr>
                <w:t>Amended and Restated By-laws of FactSet Research Systems Inc. as</w:t>
              </w:r>
            </w:hyperlink>
          </w:p>
        </w:tc>
        <w:tc>
          <w:tcPr>
            <w:tcW w:w="140" w:type="dxa"/>
            <w:vAlign w:val="bottom"/>
            <w:gridSpan w:val="2"/>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9/06/2018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Borders>
              <w:bottom w:val="single" w:sz="8" w:color="0000EE"/>
            </w:tcBorders>
            <w:gridSpan w:val="15"/>
          </w:tcPr>
          <w:p>
            <w:pPr>
              <w:spacing w:after="0" w:line="172" w:lineRule="exact"/>
              <w:rPr>
                <w:rFonts w:ascii="Arial" w:cs="Arial" w:eastAsia="Arial" w:hAnsi="Arial"/>
                <w:sz w:val="16"/>
                <w:szCs w:val="16"/>
                <w:color w:val="0000EE"/>
                <w:w w:val="87"/>
              </w:rPr>
            </w:pPr>
            <w:hyperlink r:id="rId98">
              <w:r>
                <w:rPr>
                  <w:rFonts w:ascii="Arial" w:cs="Arial" w:eastAsia="Arial" w:hAnsi="Arial"/>
                  <w:sz w:val="16"/>
                  <w:szCs w:val="16"/>
                  <w:color w:val="0000EE"/>
                  <w:w w:val="87"/>
                </w:rPr>
                <w:t>amended September 1, 2018</w:t>
              </w:r>
            </w:hyperlink>
          </w:p>
        </w:tc>
        <w:tc>
          <w:tcPr>
            <w:tcW w:w="2720" w:type="dxa"/>
            <w:vAlign w:val="bottom"/>
            <w:gridSpan w:val="24"/>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4.0</w:t>
            </w:r>
          </w:p>
        </w:tc>
        <w:tc>
          <w:tcPr>
            <w:tcW w:w="1560" w:type="dxa"/>
            <w:vAlign w:val="bottom"/>
            <w:tcBorders>
              <w:bottom w:val="single" w:sz="8" w:color="0000EE"/>
            </w:tcBorders>
            <w:gridSpan w:val="8"/>
          </w:tcPr>
          <w:p>
            <w:pPr>
              <w:spacing w:after="0" w:line="172" w:lineRule="exact"/>
              <w:rPr>
                <w:rFonts w:ascii="Arial" w:cs="Arial" w:eastAsia="Arial" w:hAnsi="Arial"/>
                <w:sz w:val="16"/>
                <w:szCs w:val="16"/>
                <w:color w:val="0000EE"/>
                <w:w w:val="91"/>
              </w:rPr>
            </w:pPr>
            <w:hyperlink r:id="rId95">
              <w:r>
                <w:rPr>
                  <w:rFonts w:ascii="Arial" w:cs="Arial" w:eastAsia="Arial" w:hAnsi="Arial"/>
                  <w:sz w:val="16"/>
                  <w:szCs w:val="16"/>
                  <w:color w:val="0000EE"/>
                  <w:w w:val="91"/>
                </w:rPr>
                <w:t>Form of Common Stock</w:t>
              </w:r>
            </w:hyperlink>
          </w:p>
        </w:tc>
        <w:tc>
          <w:tcPr>
            <w:tcW w:w="3000" w:type="dxa"/>
            <w:vAlign w:val="bottom"/>
            <w:gridSpan w:val="31"/>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4"/>
              </w:rPr>
              <w:t>S-1/A</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333-04238</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4.1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6/26/1996</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10.1</w:t>
            </w:r>
          </w:p>
        </w:tc>
        <w:tc>
          <w:tcPr>
            <w:tcW w:w="4180" w:type="dxa"/>
            <w:vAlign w:val="bottom"/>
            <w:tcBorders>
              <w:bottom w:val="single" w:sz="8" w:color="0000EE"/>
            </w:tcBorders>
            <w:gridSpan w:val="32"/>
          </w:tcPr>
          <w:p>
            <w:pPr>
              <w:spacing w:after="0" w:line="172" w:lineRule="exact"/>
              <w:rPr>
                <w:rFonts w:ascii="Arial" w:cs="Arial" w:eastAsia="Arial" w:hAnsi="Arial"/>
                <w:sz w:val="16"/>
                <w:szCs w:val="16"/>
                <w:color w:val="0000EE"/>
                <w:w w:val="89"/>
              </w:rPr>
            </w:pPr>
            <w:hyperlink r:id="rId99">
              <w:r>
                <w:rPr>
                  <w:rFonts w:ascii="Arial" w:cs="Arial" w:eastAsia="Arial" w:hAnsi="Arial"/>
                  <w:sz w:val="16"/>
                  <w:szCs w:val="16"/>
                  <w:color w:val="0000EE"/>
                  <w:w w:val="89"/>
                </w:rPr>
                <w:t>FactSet Research Systems Inc. 2004 Employee Stock Option and</w:t>
              </w:r>
            </w:hyperlink>
          </w:p>
        </w:tc>
        <w:tc>
          <w:tcPr>
            <w:tcW w:w="380" w:type="dxa"/>
            <w:vAlign w:val="bottom"/>
            <w:gridSpan w:val="7"/>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4"/>
              </w:rPr>
              <w:t>DEF-14A</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rPr>
              <w:t>Exhibit A</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89"/>
              </w:rPr>
              <w:t>11/10/2004</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vMerge w:val="restart"/>
          </w:tcPr>
          <w:p>
            <w:pPr>
              <w:spacing w:after="0"/>
              <w:rPr>
                <w:rFonts w:ascii="Arial" w:cs="Arial" w:eastAsia="Arial" w:hAnsi="Arial"/>
                <w:sz w:val="16"/>
                <w:szCs w:val="16"/>
                <w:color w:val="0000EE"/>
                <w:w w:val="87"/>
              </w:rPr>
            </w:pPr>
            <w:hyperlink r:id="rId99">
              <w:r>
                <w:rPr>
                  <w:rFonts w:ascii="Arial" w:cs="Arial" w:eastAsia="Arial" w:hAnsi="Arial"/>
                  <w:sz w:val="16"/>
                  <w:szCs w:val="16"/>
                  <w:color w:val="0000EE"/>
                  <w:w w:val="87"/>
                </w:rPr>
                <w:t>Award Plan</w:t>
              </w:r>
            </w:hyperlink>
          </w:p>
        </w:tc>
        <w:tc>
          <w:tcPr>
            <w:tcW w:w="160" w:type="dxa"/>
            <w:vAlign w:val="bottom"/>
            <w:tcBorders>
              <w:bottom w:val="single" w:sz="8" w:color="0000EE"/>
            </w:tcBorders>
            <w:gridSpan w:val="3"/>
          </w:tcPr>
          <w:p>
            <w:pPr>
              <w:jc w:val="right"/>
              <w:spacing w:after="0" w:line="136" w:lineRule="exact"/>
              <w:rPr>
                <w:rFonts w:ascii="Arial" w:cs="Arial" w:eastAsia="Arial" w:hAnsi="Arial"/>
                <w:sz w:val="13"/>
                <w:szCs w:val="13"/>
                <w:color w:val="0000EE"/>
                <w:w w:val="87"/>
              </w:rPr>
            </w:pPr>
            <w:hyperlink r:id="rId99">
              <w:r>
                <w:rPr>
                  <w:rFonts w:ascii="Arial" w:cs="Arial" w:eastAsia="Arial" w:hAnsi="Arial"/>
                  <w:sz w:val="13"/>
                  <w:szCs w:val="13"/>
                  <w:color w:val="0000EE"/>
                  <w:w w:val="87"/>
                </w:rPr>
                <w:t>(1)</w:t>
              </w:r>
            </w:hyperlink>
          </w:p>
        </w:tc>
        <w:tc>
          <w:tcPr>
            <w:tcW w:w="20" w:type="dxa"/>
            <w:vAlign w:val="bottom"/>
            <w:vMerge w:val="restart"/>
          </w:tcPr>
          <w:p>
            <w:pPr>
              <w:spacing w:after="0"/>
              <w:rPr>
                <w:sz w:val="12"/>
                <w:szCs w:val="12"/>
                <w:color w:val="auto"/>
              </w:rPr>
            </w:pPr>
          </w:p>
        </w:tc>
        <w:tc>
          <w:tcPr>
            <w:tcW w:w="5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9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10.2</w:t>
            </w:r>
          </w:p>
        </w:tc>
        <w:tc>
          <w:tcPr>
            <w:tcW w:w="4560" w:type="dxa"/>
            <w:vAlign w:val="bottom"/>
            <w:gridSpan w:val="39"/>
          </w:tcPr>
          <w:p>
            <w:pPr>
              <w:spacing w:after="0" w:line="172" w:lineRule="exact"/>
              <w:rPr>
                <w:rFonts w:ascii="Arial" w:cs="Arial" w:eastAsia="Arial" w:hAnsi="Arial"/>
                <w:sz w:val="16"/>
                <w:szCs w:val="16"/>
                <w:color w:val="0000EE"/>
                <w:w w:val="94"/>
              </w:rPr>
            </w:pPr>
            <w:hyperlink r:id="rId100">
              <w:r>
                <w:rPr>
                  <w:rFonts w:ascii="Arial" w:cs="Arial" w:eastAsia="Arial" w:hAnsi="Arial"/>
                  <w:sz w:val="16"/>
                  <w:szCs w:val="16"/>
                  <w:color w:val="0000EE"/>
                  <w:w w:val="94"/>
                </w:rPr>
                <w:t>FactSet Research Systems Inc. 2004 Stock Option and Award Plan,</w:t>
              </w:r>
            </w:hyperlink>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5"/>
              </w:rPr>
              <w:t>DEFR-14A</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97"/>
              </w:rPr>
              <w:t>Appendix A</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12/06/2010</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Borders>
              <w:top w:val="single" w:sz="8" w:color="0000EE"/>
              <w:bottom w:val="single" w:sz="8" w:color="0000EE"/>
            </w:tcBorders>
            <w:gridSpan w:val="10"/>
            <w:vMerge w:val="restart"/>
          </w:tcPr>
          <w:p>
            <w:pPr>
              <w:spacing w:after="0"/>
              <w:rPr>
                <w:rFonts w:ascii="Arial" w:cs="Arial" w:eastAsia="Arial" w:hAnsi="Arial"/>
                <w:sz w:val="16"/>
                <w:szCs w:val="16"/>
                <w:color w:val="0000EE"/>
                <w:w w:val="86"/>
              </w:rPr>
            </w:pPr>
            <w:hyperlink r:id="rId100">
              <w:r>
                <w:rPr>
                  <w:rFonts w:ascii="Arial" w:cs="Arial" w:eastAsia="Arial" w:hAnsi="Arial"/>
                  <w:sz w:val="16"/>
                  <w:szCs w:val="16"/>
                  <w:color w:val="0000EE"/>
                  <w:w w:val="86"/>
                </w:rPr>
                <w:t>as Amended and Restated</w:t>
              </w:r>
            </w:hyperlink>
          </w:p>
        </w:tc>
        <w:tc>
          <w:tcPr>
            <w:tcW w:w="160" w:type="dxa"/>
            <w:vAlign w:val="bottom"/>
            <w:tcBorders>
              <w:top w:val="single" w:sz="8" w:color="0000EE"/>
              <w:bottom w:val="single" w:sz="8" w:color="0000EE"/>
            </w:tcBorders>
            <w:gridSpan w:val="4"/>
          </w:tcPr>
          <w:p>
            <w:pPr>
              <w:jc w:val="right"/>
              <w:spacing w:after="0" w:line="136" w:lineRule="exact"/>
              <w:rPr>
                <w:rFonts w:ascii="Arial" w:cs="Arial" w:eastAsia="Arial" w:hAnsi="Arial"/>
                <w:sz w:val="13"/>
                <w:szCs w:val="13"/>
                <w:color w:val="0000EE"/>
                <w:w w:val="87"/>
              </w:rPr>
            </w:pPr>
            <w:hyperlink r:id="rId100">
              <w:r>
                <w:rPr>
                  <w:rFonts w:ascii="Arial" w:cs="Arial" w:eastAsia="Arial" w:hAnsi="Arial"/>
                  <w:sz w:val="13"/>
                  <w:szCs w:val="13"/>
                  <w:color w:val="0000EE"/>
                  <w:w w:val="87"/>
                </w:rPr>
                <w:t>(1)</w:t>
              </w:r>
            </w:hyperlink>
          </w:p>
        </w:tc>
        <w:tc>
          <w:tcPr>
            <w:tcW w:w="100" w:type="dxa"/>
            <w:vAlign w:val="bottom"/>
            <w:tcBorders>
              <w:top w:val="single" w:sz="8" w:color="0000EE"/>
              <w:bottom w:val="single" w:sz="8" w:color="0000EE"/>
            </w:tcBorders>
            <w:gridSpan w:val="2"/>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90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80" w:type="dxa"/>
            <w:vAlign w:val="bottom"/>
            <w:tcBorders>
              <w:top w:val="single" w:sz="8" w:color="0000EE"/>
              <w:bottom w:val="single" w:sz="8" w:color="0000EE"/>
            </w:tcBorders>
            <w:gridSpan w:val="2"/>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gridSpan w:val="2"/>
            <w:vMerge w:val="restart"/>
          </w:tcPr>
          <w:p>
            <w:pPr>
              <w:spacing w:after="0"/>
              <w:rPr>
                <w:sz w:val="12"/>
                <w:szCs w:val="12"/>
                <w:color w:val="auto"/>
              </w:rPr>
            </w:pPr>
          </w:p>
        </w:tc>
        <w:tc>
          <w:tcPr>
            <w:tcW w:w="140" w:type="dxa"/>
            <w:vAlign w:val="bottom"/>
            <w:tcBorders>
              <w:top w:val="single" w:sz="8" w:color="0000EE"/>
              <w:bottom w:val="single" w:sz="8" w:color="0000EE"/>
            </w:tcBorders>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60" w:type="dxa"/>
            <w:vAlign w:val="bottom"/>
            <w:tcBorders>
              <w:bottom w:val="single" w:sz="8" w:color="0000EE"/>
            </w:tcBorders>
            <w:gridSpan w:val="1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10.3</w:t>
            </w:r>
          </w:p>
        </w:tc>
        <w:tc>
          <w:tcPr>
            <w:tcW w:w="4100" w:type="dxa"/>
            <w:vAlign w:val="bottom"/>
            <w:tcBorders>
              <w:bottom w:val="single" w:sz="8" w:color="0000EE"/>
            </w:tcBorders>
            <w:gridSpan w:val="29"/>
          </w:tcPr>
          <w:p>
            <w:pPr>
              <w:spacing w:after="0" w:line="172" w:lineRule="exact"/>
              <w:rPr>
                <w:rFonts w:ascii="Arial" w:cs="Arial" w:eastAsia="Arial" w:hAnsi="Arial"/>
                <w:sz w:val="16"/>
                <w:szCs w:val="16"/>
                <w:color w:val="0000EE"/>
                <w:w w:val="88"/>
              </w:rPr>
            </w:pPr>
            <w:hyperlink r:id="rId101">
              <w:r>
                <w:rPr>
                  <w:rFonts w:ascii="Arial" w:cs="Arial" w:eastAsia="Arial" w:hAnsi="Arial"/>
                  <w:sz w:val="16"/>
                  <w:szCs w:val="16"/>
                  <w:color w:val="0000EE"/>
                  <w:w w:val="88"/>
                </w:rPr>
                <w:t>FactSet Research Systems Inc. Stock Option and Award Plan as</w:t>
              </w:r>
            </w:hyperlink>
          </w:p>
        </w:tc>
        <w:tc>
          <w:tcPr>
            <w:tcW w:w="460" w:type="dxa"/>
            <w:vAlign w:val="bottom"/>
            <w:gridSpan w:val="10"/>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rPr>
              <w:t>8-K</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12/21/2017</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6"/>
            <w:vMerge w:val="restart"/>
          </w:tcPr>
          <w:p>
            <w:pPr>
              <w:spacing w:after="0"/>
              <w:rPr>
                <w:rFonts w:ascii="Arial" w:cs="Arial" w:eastAsia="Arial" w:hAnsi="Arial"/>
                <w:sz w:val="16"/>
                <w:szCs w:val="16"/>
                <w:color w:val="0000EE"/>
                <w:w w:val="86"/>
              </w:rPr>
            </w:pPr>
            <w:hyperlink r:id="rId101">
              <w:r>
                <w:rPr>
                  <w:rFonts w:ascii="Arial" w:cs="Arial" w:eastAsia="Arial" w:hAnsi="Arial"/>
                  <w:sz w:val="16"/>
                  <w:szCs w:val="16"/>
                  <w:color w:val="0000EE"/>
                  <w:w w:val="86"/>
                </w:rPr>
                <w:t>Amended and Restated</w:t>
              </w:r>
            </w:hyperlink>
          </w:p>
        </w:tc>
        <w:tc>
          <w:tcPr>
            <w:tcW w:w="160" w:type="dxa"/>
            <w:vAlign w:val="bottom"/>
            <w:tcBorders>
              <w:bottom w:val="single" w:sz="8" w:color="0000EE"/>
            </w:tcBorders>
            <w:gridSpan w:val="3"/>
          </w:tcPr>
          <w:p>
            <w:pPr>
              <w:jc w:val="right"/>
              <w:spacing w:after="0" w:line="136" w:lineRule="exact"/>
              <w:rPr>
                <w:rFonts w:ascii="Arial" w:cs="Arial" w:eastAsia="Arial" w:hAnsi="Arial"/>
                <w:sz w:val="13"/>
                <w:szCs w:val="13"/>
                <w:color w:val="0000EE"/>
                <w:w w:val="87"/>
              </w:rPr>
            </w:pPr>
            <w:hyperlink r:id="rId101">
              <w:r>
                <w:rPr>
                  <w:rFonts w:ascii="Arial" w:cs="Arial" w:eastAsia="Arial" w:hAnsi="Arial"/>
                  <w:sz w:val="13"/>
                  <w:szCs w:val="13"/>
                  <w:color w:val="0000EE"/>
                  <w:w w:val="87"/>
                </w:rPr>
                <w:t>(1)</w:t>
              </w:r>
            </w:hyperlink>
          </w:p>
        </w:tc>
        <w:tc>
          <w:tcPr>
            <w:tcW w:w="12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9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80" w:type="dxa"/>
            <w:vAlign w:val="bottom"/>
            <w:tcBorders>
              <w:bottom w:val="single" w:sz="8" w:color="0000EE"/>
            </w:tcBorders>
            <w:gridSpan w:val="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0" w:type="dxa"/>
            <w:vAlign w:val="bottom"/>
            <w:gridSpan w:val="3"/>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10.4</w:t>
            </w:r>
          </w:p>
        </w:tc>
        <w:tc>
          <w:tcPr>
            <w:tcW w:w="4440" w:type="dxa"/>
            <w:vAlign w:val="bottom"/>
            <w:tcBorders>
              <w:bottom w:val="single" w:sz="8" w:color="0000EE"/>
            </w:tcBorders>
            <w:gridSpan w:val="38"/>
          </w:tcPr>
          <w:p>
            <w:pPr>
              <w:spacing w:after="0" w:line="172" w:lineRule="exact"/>
              <w:rPr>
                <w:rFonts w:ascii="Arial" w:cs="Arial" w:eastAsia="Arial" w:hAnsi="Arial"/>
                <w:sz w:val="16"/>
                <w:szCs w:val="16"/>
                <w:color w:val="0000EE"/>
                <w:w w:val="90"/>
              </w:rPr>
            </w:pPr>
            <w:hyperlink r:id="rId102">
              <w:r>
                <w:rPr>
                  <w:rFonts w:ascii="Arial" w:cs="Arial" w:eastAsia="Arial" w:hAnsi="Arial"/>
                  <w:sz w:val="16"/>
                  <w:szCs w:val="16"/>
                  <w:color w:val="0000EE"/>
                  <w:w w:val="90"/>
                </w:rPr>
                <w:t>FactSet Research Systems Inc. 2008 Non-Employee Directors’ Stock</w:t>
              </w:r>
            </w:hyperlink>
          </w:p>
        </w:tc>
        <w:tc>
          <w:tcPr>
            <w:tcW w:w="120" w:type="dxa"/>
            <w:vAlign w:val="bottom"/>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4"/>
              </w:rPr>
              <w:t>DEF-14A</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97"/>
              </w:rPr>
              <w:t>Appendix A</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10/30/2008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gridSpan w:val="2"/>
            <w:vMerge w:val="restart"/>
          </w:tcPr>
          <w:p>
            <w:pPr>
              <w:spacing w:after="0"/>
              <w:rPr>
                <w:rFonts w:ascii="Arial" w:cs="Arial" w:eastAsia="Arial" w:hAnsi="Arial"/>
                <w:sz w:val="16"/>
                <w:szCs w:val="16"/>
                <w:color w:val="0000EE"/>
                <w:w w:val="88"/>
              </w:rPr>
            </w:pPr>
            <w:hyperlink r:id="rId102">
              <w:r>
                <w:rPr>
                  <w:rFonts w:ascii="Arial" w:cs="Arial" w:eastAsia="Arial" w:hAnsi="Arial"/>
                  <w:sz w:val="16"/>
                  <w:szCs w:val="16"/>
                  <w:color w:val="0000EE"/>
                  <w:w w:val="88"/>
                </w:rPr>
                <w:t>Option Plan</w:t>
              </w:r>
            </w:hyperlink>
          </w:p>
        </w:tc>
        <w:tc>
          <w:tcPr>
            <w:tcW w:w="160" w:type="dxa"/>
            <w:vAlign w:val="bottom"/>
            <w:tcBorders>
              <w:bottom w:val="single" w:sz="8" w:color="0000EE"/>
            </w:tcBorders>
            <w:gridSpan w:val="3"/>
          </w:tcPr>
          <w:p>
            <w:pPr>
              <w:jc w:val="right"/>
              <w:spacing w:after="0" w:line="136" w:lineRule="exact"/>
              <w:rPr>
                <w:rFonts w:ascii="Arial" w:cs="Arial" w:eastAsia="Arial" w:hAnsi="Arial"/>
                <w:sz w:val="13"/>
                <w:szCs w:val="13"/>
                <w:color w:val="0000EE"/>
                <w:w w:val="87"/>
              </w:rPr>
            </w:pPr>
            <w:hyperlink r:id="rId102">
              <w:r>
                <w:rPr>
                  <w:rFonts w:ascii="Arial" w:cs="Arial" w:eastAsia="Arial" w:hAnsi="Arial"/>
                  <w:sz w:val="13"/>
                  <w:szCs w:val="13"/>
                  <w:color w:val="0000EE"/>
                  <w:w w:val="87"/>
                </w:rPr>
                <w:t>(1)</w:t>
              </w:r>
            </w:hyperlink>
          </w:p>
        </w:tc>
        <w:tc>
          <w:tcPr>
            <w:tcW w:w="840" w:type="dxa"/>
            <w:vAlign w:val="bottom"/>
            <w:gridSpan w:val="7"/>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9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80" w:type="dxa"/>
            <w:vAlign w:val="bottom"/>
            <w:gridSpan w:val="2"/>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Borders>
              <w:bottom w:val="single" w:sz="8" w:color="0000EE"/>
            </w:tcBorders>
            <w:gridSpan w:val="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gridSpan w:val="2"/>
          </w:tcPr>
          <w:p>
            <w:pPr>
              <w:spacing w:after="0"/>
              <w:rPr>
                <w:sz w:val="3"/>
                <w:szCs w:val="3"/>
                <w:color w:val="auto"/>
              </w:rPr>
            </w:pPr>
          </w:p>
        </w:tc>
        <w:tc>
          <w:tcPr>
            <w:tcW w:w="840" w:type="dxa"/>
            <w:vAlign w:val="bottom"/>
            <w:gridSpan w:val="7"/>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0" w:type="dxa"/>
            <w:vAlign w:val="bottom"/>
            <w:gridSpan w:val="3"/>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10.5</w:t>
            </w:r>
          </w:p>
        </w:tc>
        <w:tc>
          <w:tcPr>
            <w:tcW w:w="4080" w:type="dxa"/>
            <w:vAlign w:val="bottom"/>
            <w:tcBorders>
              <w:bottom w:val="single" w:sz="8" w:color="0000EE"/>
            </w:tcBorders>
            <w:gridSpan w:val="28"/>
          </w:tcPr>
          <w:p>
            <w:pPr>
              <w:spacing w:after="0" w:line="172" w:lineRule="exact"/>
              <w:rPr>
                <w:rFonts w:ascii="Arial" w:cs="Arial" w:eastAsia="Arial" w:hAnsi="Arial"/>
                <w:sz w:val="16"/>
                <w:szCs w:val="16"/>
                <w:color w:val="0000EE"/>
                <w:w w:val="90"/>
              </w:rPr>
            </w:pPr>
            <w:hyperlink r:id="rId103">
              <w:r>
                <w:rPr>
                  <w:rFonts w:ascii="Arial" w:cs="Arial" w:eastAsia="Arial" w:hAnsi="Arial"/>
                  <w:sz w:val="16"/>
                  <w:szCs w:val="16"/>
                  <w:color w:val="0000EE"/>
                  <w:w w:val="90"/>
                </w:rPr>
                <w:t>FactSet Research Systems Inc. Non-Employee Directors’ Stock</w:t>
              </w:r>
            </w:hyperlink>
          </w:p>
        </w:tc>
        <w:tc>
          <w:tcPr>
            <w:tcW w:w="480" w:type="dxa"/>
            <w:vAlign w:val="bottom"/>
            <w:gridSpan w:val="11"/>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rPr>
              <w:t>8-K</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12/21/2017</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40" w:type="dxa"/>
            <w:vAlign w:val="bottom"/>
            <w:gridSpan w:val="24"/>
            <w:vMerge w:val="restart"/>
          </w:tcPr>
          <w:p>
            <w:pPr>
              <w:spacing w:after="0"/>
              <w:rPr>
                <w:rFonts w:ascii="Arial" w:cs="Arial" w:eastAsia="Arial" w:hAnsi="Arial"/>
                <w:sz w:val="16"/>
                <w:szCs w:val="16"/>
                <w:color w:val="0000EE"/>
                <w:w w:val="88"/>
              </w:rPr>
            </w:pPr>
            <w:hyperlink r:id="rId103">
              <w:r>
                <w:rPr>
                  <w:rFonts w:ascii="Arial" w:cs="Arial" w:eastAsia="Arial" w:hAnsi="Arial"/>
                  <w:sz w:val="16"/>
                  <w:szCs w:val="16"/>
                  <w:color w:val="0000EE"/>
                  <w:w w:val="88"/>
                </w:rPr>
                <w:t>Option and Award Plan, as Amended and Restated</w:t>
              </w:r>
            </w:hyperlink>
          </w:p>
        </w:tc>
        <w:tc>
          <w:tcPr>
            <w:tcW w:w="160" w:type="dxa"/>
            <w:vAlign w:val="bottom"/>
            <w:tcBorders>
              <w:bottom w:val="single" w:sz="8" w:color="0000EE"/>
            </w:tcBorders>
            <w:gridSpan w:val="2"/>
          </w:tcPr>
          <w:p>
            <w:pPr>
              <w:jc w:val="right"/>
              <w:spacing w:after="0" w:line="136" w:lineRule="exact"/>
              <w:rPr>
                <w:rFonts w:ascii="Arial" w:cs="Arial" w:eastAsia="Arial" w:hAnsi="Arial"/>
                <w:sz w:val="13"/>
                <w:szCs w:val="13"/>
                <w:color w:val="0000EE"/>
                <w:w w:val="87"/>
              </w:rPr>
            </w:pPr>
            <w:hyperlink r:id="rId103">
              <w:r>
                <w:rPr>
                  <w:rFonts w:ascii="Arial" w:cs="Arial" w:eastAsia="Arial" w:hAnsi="Arial"/>
                  <w:sz w:val="13"/>
                  <w:szCs w:val="13"/>
                  <w:color w:val="0000EE"/>
                  <w:w w:val="87"/>
                </w:rPr>
                <w:t>(1)</w:t>
              </w:r>
            </w:hyperlink>
          </w:p>
        </w:tc>
        <w:tc>
          <w:tcPr>
            <w:tcW w:w="760" w:type="dxa"/>
            <w:vAlign w:val="bottom"/>
            <w:gridSpan w:val="5"/>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40" w:type="dxa"/>
            <w:vAlign w:val="bottom"/>
            <w:tcBorders>
              <w:bottom w:val="single" w:sz="8" w:color="0000EE"/>
            </w:tcBorders>
            <w:gridSpan w:val="2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5"/>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10.6</w:t>
            </w:r>
          </w:p>
        </w:tc>
        <w:tc>
          <w:tcPr>
            <w:tcW w:w="4560" w:type="dxa"/>
            <w:vAlign w:val="bottom"/>
            <w:gridSpan w:val="39"/>
          </w:tcPr>
          <w:p>
            <w:pPr>
              <w:spacing w:after="0" w:line="172" w:lineRule="exact"/>
              <w:rPr>
                <w:rFonts w:ascii="Arial" w:cs="Arial" w:eastAsia="Arial" w:hAnsi="Arial"/>
                <w:sz w:val="16"/>
                <w:szCs w:val="16"/>
                <w:color w:val="0000EE"/>
                <w:w w:val="98"/>
              </w:rPr>
            </w:pPr>
            <w:hyperlink r:id="rId104">
              <w:r>
                <w:rPr>
                  <w:rFonts w:ascii="Arial" w:cs="Arial" w:eastAsia="Arial" w:hAnsi="Arial"/>
                  <w:sz w:val="16"/>
                  <w:szCs w:val="16"/>
                  <w:color w:val="0000EE"/>
                  <w:w w:val="98"/>
                </w:rPr>
                <w:t>Separation Agreement and General Release of Claims with Mark</w:t>
              </w:r>
            </w:hyperlink>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5"/>
              </w:rPr>
              <w:t>10-Q</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1/09/2018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17"/>
            <w:vMerge w:val="restart"/>
          </w:tcPr>
          <w:p>
            <w:pPr>
              <w:spacing w:after="0"/>
              <w:rPr>
                <w:rFonts w:ascii="Arial" w:cs="Arial" w:eastAsia="Arial" w:hAnsi="Arial"/>
                <w:sz w:val="16"/>
                <w:szCs w:val="16"/>
                <w:color w:val="0000EE"/>
                <w:w w:val="89"/>
              </w:rPr>
            </w:pPr>
            <w:hyperlink r:id="rId104">
              <w:r>
                <w:rPr>
                  <w:rFonts w:ascii="Arial" w:cs="Arial" w:eastAsia="Arial" w:hAnsi="Arial"/>
                  <w:sz w:val="16"/>
                  <w:szCs w:val="16"/>
                  <w:color w:val="0000EE"/>
                  <w:w w:val="89"/>
                </w:rPr>
                <w:t>Hale as of November 13, 2017</w:t>
              </w:r>
            </w:hyperlink>
          </w:p>
        </w:tc>
        <w:tc>
          <w:tcPr>
            <w:tcW w:w="160" w:type="dxa"/>
            <w:vAlign w:val="bottom"/>
            <w:tcBorders>
              <w:top w:val="single" w:sz="8" w:color="0000EE"/>
              <w:bottom w:val="single" w:sz="8" w:color="0000EE"/>
            </w:tcBorders>
            <w:gridSpan w:val="3"/>
          </w:tcPr>
          <w:p>
            <w:pPr>
              <w:jc w:val="right"/>
              <w:spacing w:after="0" w:line="136" w:lineRule="exact"/>
              <w:rPr>
                <w:rFonts w:ascii="Arial" w:cs="Arial" w:eastAsia="Arial" w:hAnsi="Arial"/>
                <w:sz w:val="13"/>
                <w:szCs w:val="13"/>
                <w:color w:val="0000EE"/>
                <w:w w:val="87"/>
              </w:rPr>
            </w:pPr>
            <w:hyperlink r:id="rId104">
              <w:r>
                <w:rPr>
                  <w:rFonts w:ascii="Arial" w:cs="Arial" w:eastAsia="Arial" w:hAnsi="Arial"/>
                  <w:sz w:val="13"/>
                  <w:szCs w:val="13"/>
                  <w:color w:val="0000EE"/>
                  <w:w w:val="87"/>
                </w:rPr>
                <w:t>(1)</w:t>
              </w:r>
            </w:hyperlink>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820" w:type="dxa"/>
            <w:vAlign w:val="bottom"/>
            <w:tcBorders>
              <w:top w:val="single" w:sz="8" w:color="0000EE"/>
              <w:bottom w:val="single" w:sz="8" w:color="0000EE"/>
            </w:tcBorders>
            <w:gridSpan w:val="8"/>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960" w:type="dxa"/>
            <w:vAlign w:val="bottom"/>
            <w:tcBorders>
              <w:bottom w:val="single" w:sz="8" w:color="0000EE"/>
            </w:tcBorders>
            <w:gridSpan w:val="1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20" w:type="dxa"/>
            <w:vAlign w:val="bottom"/>
            <w:gridSpan w:val="8"/>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10.7</w:t>
            </w:r>
          </w:p>
        </w:tc>
        <w:tc>
          <w:tcPr>
            <w:tcW w:w="4560" w:type="dxa"/>
            <w:vAlign w:val="bottom"/>
            <w:gridSpan w:val="39"/>
          </w:tcPr>
          <w:p>
            <w:pPr>
              <w:spacing w:after="0" w:line="172" w:lineRule="exact"/>
              <w:rPr>
                <w:rFonts w:ascii="Arial" w:cs="Arial" w:eastAsia="Arial" w:hAnsi="Arial"/>
                <w:sz w:val="16"/>
                <w:szCs w:val="16"/>
                <w:color w:val="0000EE"/>
                <w:w w:val="93"/>
              </w:rPr>
            </w:pPr>
            <w:hyperlink r:id="rId105">
              <w:r>
                <w:rPr>
                  <w:rFonts w:ascii="Arial" w:cs="Arial" w:eastAsia="Arial" w:hAnsi="Arial"/>
                  <w:sz w:val="16"/>
                  <w:szCs w:val="16"/>
                  <w:color w:val="0000EE"/>
                  <w:w w:val="93"/>
                </w:rPr>
                <w:t>Separation Agreement and General Release of Claims with Maurizio</w:t>
              </w:r>
            </w:hyperlink>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5"/>
              </w:rPr>
              <w:t>10-Q</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7/10/2018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tcBorders>
              <w:top w:val="single" w:sz="8" w:color="0000EE"/>
              <w:bottom w:val="single" w:sz="8" w:color="0000EE"/>
            </w:tcBorders>
            <w:gridSpan w:val="12"/>
            <w:vMerge w:val="restart"/>
          </w:tcPr>
          <w:p>
            <w:pPr>
              <w:spacing w:after="0"/>
              <w:rPr>
                <w:rFonts w:ascii="Arial" w:cs="Arial" w:eastAsia="Arial" w:hAnsi="Arial"/>
                <w:sz w:val="16"/>
                <w:szCs w:val="16"/>
                <w:color w:val="0000EE"/>
                <w:w w:val="93"/>
              </w:rPr>
            </w:pPr>
            <w:hyperlink r:id="rId105">
              <w:r>
                <w:rPr>
                  <w:rFonts w:ascii="Arial" w:cs="Arial" w:eastAsia="Arial" w:hAnsi="Arial"/>
                  <w:sz w:val="16"/>
                  <w:szCs w:val="16"/>
                  <w:color w:val="0000EE"/>
                  <w:w w:val="93"/>
                </w:rPr>
                <w:t>Nicolelli as of May 8, 2018</w:t>
              </w:r>
            </w:hyperlink>
          </w:p>
        </w:tc>
        <w:tc>
          <w:tcPr>
            <w:tcW w:w="160" w:type="dxa"/>
            <w:vAlign w:val="bottom"/>
            <w:tcBorders>
              <w:top w:val="single" w:sz="8" w:color="0000EE"/>
              <w:bottom w:val="single" w:sz="8" w:color="0000EE"/>
            </w:tcBorders>
            <w:gridSpan w:val="4"/>
          </w:tcPr>
          <w:p>
            <w:pPr>
              <w:jc w:val="right"/>
              <w:spacing w:after="0" w:line="136" w:lineRule="exact"/>
              <w:rPr>
                <w:rFonts w:ascii="Arial" w:cs="Arial" w:eastAsia="Arial" w:hAnsi="Arial"/>
                <w:sz w:val="13"/>
                <w:szCs w:val="13"/>
                <w:color w:val="0000EE"/>
                <w:w w:val="87"/>
              </w:rPr>
            </w:pPr>
            <w:hyperlink r:id="rId105">
              <w:r>
                <w:rPr>
                  <w:rFonts w:ascii="Arial" w:cs="Arial" w:eastAsia="Arial" w:hAnsi="Arial"/>
                  <w:sz w:val="13"/>
                  <w:szCs w:val="13"/>
                  <w:color w:val="0000EE"/>
                  <w:w w:val="87"/>
                </w:rPr>
                <w:t>(1)</w:t>
              </w:r>
            </w:hyperlink>
          </w:p>
        </w:tc>
        <w:tc>
          <w:tcPr>
            <w:tcW w:w="140" w:type="dxa"/>
            <w:vAlign w:val="bottom"/>
            <w:tcBorders>
              <w:top w:val="single" w:sz="8" w:color="0000EE"/>
              <w:bottom w:val="single" w:sz="8" w:color="0000EE"/>
            </w:tcBorders>
            <w:gridSpan w:val="3"/>
            <w:vMerge w:val="restart"/>
          </w:tcPr>
          <w:p>
            <w:pPr>
              <w:spacing w:after="0"/>
              <w:rPr>
                <w:sz w:val="12"/>
                <w:szCs w:val="12"/>
                <w:color w:val="auto"/>
              </w:rPr>
            </w:pPr>
          </w:p>
        </w:tc>
        <w:tc>
          <w:tcPr>
            <w:tcW w:w="80" w:type="dxa"/>
            <w:vAlign w:val="bottom"/>
            <w:tcBorders>
              <w:top w:val="single" w:sz="8" w:color="0000EE"/>
              <w:bottom w:val="single" w:sz="8" w:color="0000EE"/>
            </w:tcBorders>
            <w:gridSpan w:val="2"/>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1980" w:type="dxa"/>
            <w:vAlign w:val="bottom"/>
            <w:tcBorders>
              <w:top w:val="single" w:sz="8" w:color="0000EE"/>
              <w:bottom w:val="single" w:sz="8" w:color="0000EE"/>
            </w:tcBorders>
            <w:gridSpan w:val="11"/>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60" w:type="dxa"/>
            <w:vAlign w:val="bottom"/>
            <w:tcBorders>
              <w:bottom w:val="single" w:sz="8" w:color="0000EE"/>
            </w:tcBorders>
            <w:gridSpan w:val="1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gridSpan w:val="3"/>
          </w:tcPr>
          <w:p>
            <w:pPr>
              <w:spacing w:after="0"/>
              <w:rPr>
                <w:sz w:val="3"/>
                <w:szCs w:val="3"/>
                <w:color w:val="auto"/>
              </w:rPr>
            </w:pPr>
          </w:p>
        </w:tc>
        <w:tc>
          <w:tcPr>
            <w:tcW w:w="140" w:type="dxa"/>
            <w:vAlign w:val="bottom"/>
            <w:gridSpan w:val="3"/>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980" w:type="dxa"/>
            <w:vAlign w:val="bottom"/>
            <w:gridSpan w:val="11"/>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10.8</w:t>
            </w:r>
          </w:p>
        </w:tc>
        <w:tc>
          <w:tcPr>
            <w:tcW w:w="4320" w:type="dxa"/>
            <w:vAlign w:val="bottom"/>
            <w:tcBorders>
              <w:bottom w:val="single" w:sz="8" w:color="0000EE"/>
            </w:tcBorders>
            <w:gridSpan w:val="34"/>
          </w:tcPr>
          <w:p>
            <w:pPr>
              <w:spacing w:after="0" w:line="172" w:lineRule="exact"/>
              <w:rPr>
                <w:rFonts w:ascii="Arial" w:cs="Arial" w:eastAsia="Arial" w:hAnsi="Arial"/>
                <w:sz w:val="16"/>
                <w:szCs w:val="16"/>
                <w:color w:val="0000EE"/>
                <w:w w:val="89"/>
              </w:rPr>
            </w:pPr>
            <w:hyperlink r:id="rId106">
              <w:r>
                <w:rPr>
                  <w:rFonts w:ascii="Arial" w:cs="Arial" w:eastAsia="Arial" w:hAnsi="Arial"/>
                  <w:sz w:val="16"/>
                  <w:szCs w:val="16"/>
                  <w:color w:val="0000EE"/>
                  <w:w w:val="89"/>
                </w:rPr>
                <w:t>Separation Agreement and General Release of Claims with Edward</w:t>
              </w:r>
            </w:hyperlink>
          </w:p>
        </w:tc>
        <w:tc>
          <w:tcPr>
            <w:tcW w:w="240" w:type="dxa"/>
            <w:vAlign w:val="bottom"/>
            <w:gridSpan w:val="5"/>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5"/>
              </w:rPr>
              <w:t>10-Q</w:t>
            </w:r>
          </w:p>
        </w:tc>
        <w:tc>
          <w:tcPr>
            <w:tcW w:w="120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7/10/2018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60" w:type="dxa"/>
            <w:vAlign w:val="bottom"/>
            <w:gridSpan w:val="19"/>
            <w:vMerge w:val="restart"/>
          </w:tcPr>
          <w:p>
            <w:pPr>
              <w:spacing w:after="0"/>
              <w:rPr>
                <w:rFonts w:ascii="Arial" w:cs="Arial" w:eastAsia="Arial" w:hAnsi="Arial"/>
                <w:sz w:val="16"/>
                <w:szCs w:val="16"/>
                <w:color w:val="0000EE"/>
                <w:w w:val="88"/>
              </w:rPr>
            </w:pPr>
            <w:hyperlink r:id="rId106">
              <w:r>
                <w:rPr>
                  <w:rFonts w:ascii="Arial" w:cs="Arial" w:eastAsia="Arial" w:hAnsi="Arial"/>
                  <w:sz w:val="16"/>
                  <w:szCs w:val="16"/>
                  <w:color w:val="0000EE"/>
                  <w:w w:val="88"/>
                </w:rPr>
                <w:t>Baker-Greene as of July 5, 2018</w:t>
              </w:r>
            </w:hyperlink>
          </w:p>
        </w:tc>
        <w:tc>
          <w:tcPr>
            <w:tcW w:w="160" w:type="dxa"/>
            <w:vAlign w:val="bottom"/>
            <w:tcBorders>
              <w:bottom w:val="single" w:sz="8" w:color="0000EE"/>
            </w:tcBorders>
            <w:gridSpan w:val="3"/>
          </w:tcPr>
          <w:p>
            <w:pPr>
              <w:jc w:val="right"/>
              <w:spacing w:after="0" w:line="136" w:lineRule="exact"/>
              <w:rPr>
                <w:rFonts w:ascii="Arial" w:cs="Arial" w:eastAsia="Arial" w:hAnsi="Arial"/>
                <w:sz w:val="13"/>
                <w:szCs w:val="13"/>
                <w:color w:val="0000EE"/>
                <w:w w:val="87"/>
              </w:rPr>
            </w:pPr>
            <w:hyperlink r:id="rId106">
              <w:r>
                <w:rPr>
                  <w:rFonts w:ascii="Arial" w:cs="Arial" w:eastAsia="Arial" w:hAnsi="Arial"/>
                  <w:sz w:val="13"/>
                  <w:szCs w:val="13"/>
                  <w:color w:val="0000EE"/>
                  <w:w w:val="87"/>
                </w:rPr>
                <w:t>(1)</w:t>
              </w:r>
            </w:hyperlink>
          </w:p>
        </w:tc>
        <w:tc>
          <w:tcPr>
            <w:tcW w:w="120" w:type="dxa"/>
            <w:vAlign w:val="bottom"/>
            <w:vMerge w:val="restart"/>
          </w:tcPr>
          <w:p>
            <w:pPr>
              <w:spacing w:after="0"/>
              <w:rPr>
                <w:sz w:val="12"/>
                <w:szCs w:val="12"/>
                <w:color w:val="auto"/>
              </w:rPr>
            </w:pPr>
          </w:p>
        </w:tc>
        <w:tc>
          <w:tcPr>
            <w:tcW w:w="2020" w:type="dxa"/>
            <w:vAlign w:val="bottom"/>
            <w:gridSpan w:val="12"/>
            <w:vMerge w:val="restart"/>
          </w:tcPr>
          <w:p>
            <w:pPr>
              <w:spacing w:after="0"/>
              <w:rPr>
                <w:sz w:val="12"/>
                <w:szCs w:val="12"/>
                <w:color w:val="auto"/>
              </w:rPr>
            </w:pPr>
          </w:p>
        </w:tc>
        <w:tc>
          <w:tcPr>
            <w:tcW w:w="200" w:type="dxa"/>
            <w:vAlign w:val="bottom"/>
            <w:gridSpan w:val="4"/>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60" w:type="dxa"/>
            <w:vAlign w:val="bottom"/>
            <w:tcBorders>
              <w:bottom w:val="single" w:sz="8" w:color="0000EE"/>
            </w:tcBorders>
            <w:gridSpan w:val="19"/>
            <w:vMerge w:val="continue"/>
          </w:tcPr>
          <w:p>
            <w:pPr>
              <w:spacing w:after="0"/>
              <w:rPr>
                <w:sz w:val="3"/>
                <w:szCs w:val="3"/>
                <w:color w:val="auto"/>
              </w:rPr>
            </w:pPr>
          </w:p>
        </w:tc>
        <w:tc>
          <w:tcPr>
            <w:tcW w:w="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2020" w:type="dxa"/>
            <w:vAlign w:val="bottom"/>
            <w:gridSpan w:val="12"/>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86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10.9</w:t>
            </w:r>
          </w:p>
        </w:tc>
        <w:tc>
          <w:tcPr>
            <w:tcW w:w="4360" w:type="dxa"/>
            <w:vAlign w:val="bottom"/>
            <w:tcBorders>
              <w:bottom w:val="single" w:sz="8" w:color="0000EE"/>
            </w:tcBorders>
            <w:gridSpan w:val="35"/>
          </w:tcPr>
          <w:p>
            <w:pPr>
              <w:spacing w:after="0" w:line="172" w:lineRule="exact"/>
              <w:rPr>
                <w:rFonts w:ascii="Arial" w:cs="Arial" w:eastAsia="Arial" w:hAnsi="Arial"/>
                <w:sz w:val="16"/>
                <w:szCs w:val="16"/>
                <w:color w:val="0000EE"/>
                <w:w w:val="87"/>
              </w:rPr>
            </w:pPr>
            <w:hyperlink r:id="rId107">
              <w:r>
                <w:rPr>
                  <w:rFonts w:ascii="Arial" w:cs="Arial" w:eastAsia="Arial" w:hAnsi="Arial"/>
                  <w:sz w:val="16"/>
                  <w:szCs w:val="16"/>
                  <w:color w:val="0000EE"/>
                  <w:w w:val="87"/>
                </w:rPr>
                <w:t>Lease, dated February 14, 2018, between FactSet Research Systems</w:t>
              </w:r>
            </w:hyperlink>
          </w:p>
        </w:tc>
        <w:tc>
          <w:tcPr>
            <w:tcW w:w="200" w:type="dxa"/>
            <w:vAlign w:val="bottom"/>
            <w:gridSpan w:val="4"/>
          </w:tcPr>
          <w:p>
            <w:pPr>
              <w:spacing w:after="0"/>
              <w:rPr>
                <w:sz w:val="14"/>
                <w:szCs w:val="14"/>
                <w:color w:val="auto"/>
              </w:rPr>
            </w:pPr>
          </w:p>
        </w:tc>
        <w:tc>
          <w:tcPr>
            <w:tcW w:w="1100" w:type="dxa"/>
            <w:vAlign w:val="bottom"/>
          </w:tcPr>
          <w:p>
            <w:pPr>
              <w:jc w:val="center"/>
              <w:ind w:right="40"/>
              <w:spacing w:after="0" w:line="172" w:lineRule="exact"/>
              <w:rPr>
                <w:sz w:val="20"/>
                <w:szCs w:val="20"/>
                <w:color w:val="auto"/>
              </w:rPr>
            </w:pPr>
            <w:r>
              <w:rPr>
                <w:rFonts w:ascii="Arial" w:cs="Arial" w:eastAsia="Arial" w:hAnsi="Arial"/>
                <w:sz w:val="16"/>
                <w:szCs w:val="16"/>
                <w:color w:val="auto"/>
                <w:w w:val="95"/>
              </w:rPr>
              <w:t>10-Q</w:t>
            </w: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8"/>
              </w:rPr>
              <w:t>001-11869</w:t>
            </w:r>
          </w:p>
        </w:tc>
        <w:tc>
          <w:tcPr>
            <w:tcW w:w="1240" w:type="dxa"/>
            <w:vAlign w:val="bottom"/>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140" w:type="dxa"/>
            <w:vAlign w:val="bottom"/>
          </w:tcPr>
          <w:p>
            <w:pPr>
              <w:jc w:val="center"/>
              <w:spacing w:after="0" w:line="172" w:lineRule="exact"/>
              <w:rPr>
                <w:sz w:val="20"/>
                <w:szCs w:val="20"/>
                <w:color w:val="auto"/>
              </w:rPr>
            </w:pPr>
            <w:r>
              <w:rPr>
                <w:rFonts w:ascii="Arial" w:cs="Arial" w:eastAsia="Arial" w:hAnsi="Arial"/>
                <w:sz w:val="16"/>
                <w:szCs w:val="16"/>
                <w:color w:val="auto"/>
                <w:w w:val="92"/>
              </w:rPr>
              <w:t>4/09/2018</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40" w:type="dxa"/>
            <w:vAlign w:val="bottom"/>
            <w:gridSpan w:val="21"/>
            <w:vMerge w:val="restart"/>
          </w:tcPr>
          <w:p>
            <w:pPr>
              <w:spacing w:after="0"/>
              <w:rPr>
                <w:rFonts w:ascii="Arial" w:cs="Arial" w:eastAsia="Arial" w:hAnsi="Arial"/>
                <w:sz w:val="16"/>
                <w:szCs w:val="16"/>
                <w:color w:val="0000EE"/>
                <w:w w:val="90"/>
              </w:rPr>
            </w:pPr>
            <w:hyperlink r:id="rId107">
              <w:r>
                <w:rPr>
                  <w:rFonts w:ascii="Arial" w:cs="Arial" w:eastAsia="Arial" w:hAnsi="Arial"/>
                  <w:sz w:val="16"/>
                  <w:szCs w:val="16"/>
                  <w:color w:val="0000EE"/>
                  <w:w w:val="90"/>
                </w:rPr>
                <w:t>Inc. and 45 Glover Partners, LLC</w:t>
              </w:r>
            </w:hyperlink>
          </w:p>
        </w:tc>
        <w:tc>
          <w:tcPr>
            <w:tcW w:w="200" w:type="dxa"/>
            <w:vAlign w:val="bottom"/>
            <w:tcBorders>
              <w:bottom w:val="single" w:sz="8" w:color="0000EE"/>
            </w:tcBorders>
            <w:gridSpan w:val="2"/>
          </w:tcPr>
          <w:p>
            <w:pPr>
              <w:jc w:val="center"/>
              <w:ind w:right="40"/>
              <w:spacing w:after="0" w:line="136" w:lineRule="exact"/>
              <w:rPr>
                <w:rFonts w:ascii="Arial" w:cs="Arial" w:eastAsia="Arial" w:hAnsi="Arial"/>
                <w:sz w:val="13"/>
                <w:szCs w:val="13"/>
                <w:color w:val="0000EE"/>
              </w:rPr>
            </w:pPr>
            <w:hyperlink r:id="rId107">
              <w:r>
                <w:rPr>
                  <w:rFonts w:ascii="Arial" w:cs="Arial" w:eastAsia="Arial" w:hAnsi="Arial"/>
                  <w:sz w:val="13"/>
                  <w:szCs w:val="13"/>
                  <w:color w:val="0000EE"/>
                </w:rPr>
                <w:t>(2)</w:t>
              </w:r>
            </w:hyperlink>
          </w:p>
        </w:tc>
        <w:tc>
          <w:tcPr>
            <w:tcW w:w="2220" w:type="dxa"/>
            <w:vAlign w:val="bottom"/>
            <w:gridSpan w:val="16"/>
            <w:vMerge w:val="restart"/>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140" w:type="dxa"/>
            <w:vAlign w:val="bottom"/>
            <w:tcBorders>
              <w:bottom w:val="single" w:sz="8" w:color="0000EE"/>
            </w:tcBorders>
            <w:gridSpan w:val="21"/>
            <w:vMerge w:val="continue"/>
          </w:tcPr>
          <w:p>
            <w:pPr>
              <w:spacing w:after="0"/>
              <w:rPr>
                <w:sz w:val="3"/>
                <w:szCs w:val="3"/>
                <w:color w:val="auto"/>
              </w:rPr>
            </w:pPr>
          </w:p>
        </w:tc>
        <w:tc>
          <w:tcPr>
            <w:tcW w:w="200" w:type="dxa"/>
            <w:vAlign w:val="bottom"/>
            <w:gridSpan w:val="2"/>
          </w:tcPr>
          <w:p>
            <w:pPr>
              <w:spacing w:after="0"/>
              <w:rPr>
                <w:sz w:val="3"/>
                <w:szCs w:val="3"/>
                <w:color w:val="auto"/>
              </w:rPr>
            </w:pPr>
          </w:p>
        </w:tc>
        <w:tc>
          <w:tcPr>
            <w:tcW w:w="2220" w:type="dxa"/>
            <w:vAlign w:val="bottom"/>
            <w:gridSpan w:val="16"/>
            <w:vMerge w:val="continue"/>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4"/>
        </w:trPr>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gridSpan w:val="36"/>
          </w:tcPr>
          <w:p>
            <w:pPr>
              <w:ind w:left="4200"/>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5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524"/>
          </w:cols>
          <w:pgMar w:left="236" w:top="529" w:right="139" w:bottom="1440" w:gutter="0" w:footer="0" w:header="0"/>
        </w:sectPr>
      </w:pPr>
    </w:p>
    <w:bookmarkStart w:id="93" w:name="page94"/>
    <w:bookmarkEnd w:id="93"/>
    <w:p>
      <w:pPr>
        <w:spacing w:after="0" w:line="1" w:lineRule="exact"/>
        <w:rPr>
          <w:sz w:val="20"/>
          <w:szCs w:val="20"/>
          <w:color w:val="auto"/>
        </w:rPr>
      </w:pPr>
    </w:p>
    <w:tbl>
      <w:tblPr>
        <w:tblLayout w:type="fixed"/>
        <w:tblInd w:w="604" w:type="dxa"/>
        <w:tblCellMar>
          <w:top w:w="0" w:type="dxa"/>
          <w:left w:w="0" w:type="dxa"/>
          <w:bottom w:w="0" w:type="dxa"/>
          <w:right w:w="0" w:type="dxa"/>
        </w:tblCellMar>
      </w:tblPr>
      <w:tr>
        <w:trPr>
          <w:trHeight w:val="184"/>
        </w:trPr>
        <w:tc>
          <w:tcPr>
            <w:tcW w:w="840" w:type="dxa"/>
            <w:vAlign w:val="bottom"/>
          </w:tcPr>
          <w:p>
            <w:pPr>
              <w:jc w:val="right"/>
              <w:ind w:right="140"/>
              <w:spacing w:after="0"/>
              <w:rPr>
                <w:sz w:val="20"/>
                <w:szCs w:val="20"/>
                <w:color w:val="auto"/>
              </w:rPr>
            </w:pPr>
            <w:r>
              <w:rPr>
                <w:rFonts w:ascii="Arial" w:cs="Arial" w:eastAsia="Arial" w:hAnsi="Arial"/>
                <w:sz w:val="16"/>
                <w:szCs w:val="16"/>
                <w:color w:val="auto"/>
              </w:rPr>
              <w:t>10.10</w:t>
            </w:r>
          </w:p>
        </w:tc>
        <w:tc>
          <w:tcPr>
            <w:tcW w:w="4660" w:type="dxa"/>
            <w:vAlign w:val="bottom"/>
            <w:gridSpan w:val="12"/>
          </w:tcPr>
          <w:p>
            <w:pPr>
              <w:spacing w:after="0"/>
              <w:rPr>
                <w:rFonts w:ascii="Arial" w:cs="Arial" w:eastAsia="Arial" w:hAnsi="Arial"/>
                <w:sz w:val="16"/>
                <w:szCs w:val="16"/>
                <w:color w:val="0000EE"/>
              </w:rPr>
            </w:pPr>
            <w:hyperlink r:id="rId108">
              <w:r>
                <w:rPr>
                  <w:rFonts w:ascii="Arial" w:cs="Arial" w:eastAsia="Arial" w:hAnsi="Arial"/>
                  <w:sz w:val="16"/>
                  <w:szCs w:val="16"/>
                  <w:color w:val="0000EE"/>
                </w:rPr>
                <w:t>Credit Agreement with PNC Bank as of March 17, 2017</w:t>
              </w:r>
            </w:hyperlink>
          </w:p>
        </w:tc>
        <w:tc>
          <w:tcPr>
            <w:tcW w:w="880" w:type="dxa"/>
            <w:vAlign w:val="bottom"/>
          </w:tcPr>
          <w:p>
            <w:pPr>
              <w:ind w:left="260"/>
              <w:spacing w:after="0"/>
              <w:rPr>
                <w:sz w:val="20"/>
                <w:szCs w:val="20"/>
                <w:color w:val="auto"/>
              </w:rPr>
            </w:pPr>
            <w:r>
              <w:rPr>
                <w:rFonts w:ascii="Arial" w:cs="Arial" w:eastAsia="Arial" w:hAnsi="Arial"/>
                <w:sz w:val="16"/>
                <w:szCs w:val="16"/>
                <w:color w:val="auto"/>
              </w:rPr>
              <w:t>8-K</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001-11869</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10.1</w:t>
            </w:r>
          </w:p>
        </w:tc>
        <w:tc>
          <w:tcPr>
            <w:tcW w:w="1760" w:type="dxa"/>
            <w:vAlign w:val="bottom"/>
          </w:tcPr>
          <w:p>
            <w:pPr>
              <w:ind w:left="380"/>
              <w:spacing w:after="0"/>
              <w:rPr>
                <w:sz w:val="20"/>
                <w:szCs w:val="20"/>
                <w:color w:val="auto"/>
              </w:rPr>
            </w:pPr>
            <w:r>
              <w:rPr>
                <w:rFonts w:ascii="Arial" w:cs="Arial" w:eastAsia="Arial" w:hAnsi="Arial"/>
                <w:sz w:val="16"/>
                <w:szCs w:val="16"/>
                <w:color w:val="auto"/>
              </w:rPr>
              <w:t>3/20/2017</w:t>
            </w: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21</w:t>
            </w:r>
          </w:p>
        </w:tc>
        <w:tc>
          <w:tcPr>
            <w:tcW w:w="2960" w:type="dxa"/>
            <w:vAlign w:val="bottom"/>
            <w:tcBorders>
              <w:top w:val="single" w:sz="8" w:color="0000EE"/>
              <w:bottom w:val="single" w:sz="8" w:color="0000EE"/>
            </w:tcBorders>
            <w:gridSpan w:val="5"/>
          </w:tcPr>
          <w:p>
            <w:pPr>
              <w:spacing w:after="0" w:line="172" w:lineRule="exact"/>
              <w:rPr>
                <w:rFonts w:ascii="Arial" w:cs="Arial" w:eastAsia="Arial" w:hAnsi="Arial"/>
                <w:sz w:val="16"/>
                <w:szCs w:val="16"/>
                <w:color w:val="0000EE"/>
                <w:w w:val="88"/>
              </w:rPr>
            </w:pPr>
            <w:hyperlink w:anchor="page96">
              <w:r>
                <w:rPr>
                  <w:rFonts w:ascii="Arial" w:cs="Arial" w:eastAsia="Arial" w:hAnsi="Arial"/>
                  <w:sz w:val="16"/>
                  <w:szCs w:val="16"/>
                  <w:color w:val="0000EE"/>
                  <w:w w:val="88"/>
                </w:rPr>
                <w:t>Subsidiaries of FactSet Research Systems Inc.</w:t>
              </w:r>
            </w:hyperlink>
          </w:p>
        </w:tc>
        <w:tc>
          <w:tcPr>
            <w:tcW w:w="640" w:type="dxa"/>
            <w:vAlign w:val="bottom"/>
            <w:tcBorders>
              <w:top w:val="single" w:sz="8" w:color="0000EE"/>
            </w:tcBorders>
          </w:tcPr>
          <w:p>
            <w:pPr>
              <w:spacing w:after="0"/>
              <w:rPr>
                <w:sz w:val="14"/>
                <w:szCs w:val="14"/>
                <w:color w:val="auto"/>
              </w:rPr>
            </w:pPr>
          </w:p>
        </w:tc>
        <w:tc>
          <w:tcPr>
            <w:tcW w:w="1060" w:type="dxa"/>
            <w:vAlign w:val="bottom"/>
            <w:gridSpan w:val="6"/>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23</w:t>
            </w:r>
          </w:p>
        </w:tc>
        <w:tc>
          <w:tcPr>
            <w:tcW w:w="4660" w:type="dxa"/>
            <w:vAlign w:val="bottom"/>
            <w:gridSpan w:val="12"/>
          </w:tcPr>
          <w:p>
            <w:pPr>
              <w:spacing w:after="0" w:line="172" w:lineRule="exact"/>
              <w:rPr>
                <w:rFonts w:ascii="Arial" w:cs="Arial" w:eastAsia="Arial" w:hAnsi="Arial"/>
                <w:sz w:val="16"/>
                <w:szCs w:val="16"/>
                <w:color w:val="0000EE"/>
              </w:rPr>
            </w:pPr>
            <w:hyperlink w:anchor="page97">
              <w:r>
                <w:rPr>
                  <w:rFonts w:ascii="Arial" w:cs="Arial" w:eastAsia="Arial" w:hAnsi="Arial"/>
                  <w:sz w:val="16"/>
                  <w:szCs w:val="16"/>
                  <w:color w:val="0000EE"/>
                </w:rPr>
                <w:t>Consent of Ernst &amp; Young LLP</w:t>
              </w:r>
            </w:hyperlink>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20"/>
        </w:trPr>
        <w:tc>
          <w:tcPr>
            <w:tcW w:w="8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31.1</w:t>
            </w:r>
          </w:p>
        </w:tc>
        <w:tc>
          <w:tcPr>
            <w:tcW w:w="4220" w:type="dxa"/>
            <w:vAlign w:val="bottom"/>
            <w:tcBorders>
              <w:bottom w:val="single" w:sz="8" w:color="0000EE"/>
            </w:tcBorders>
            <w:gridSpan w:val="10"/>
          </w:tcPr>
          <w:p>
            <w:pPr>
              <w:spacing w:after="0" w:line="172" w:lineRule="exact"/>
              <w:rPr>
                <w:rFonts w:ascii="Arial" w:cs="Arial" w:eastAsia="Arial" w:hAnsi="Arial"/>
                <w:sz w:val="16"/>
                <w:szCs w:val="16"/>
                <w:color w:val="0000EE"/>
                <w:w w:val="92"/>
              </w:rPr>
            </w:pPr>
            <w:hyperlink w:anchor="page98">
              <w:r>
                <w:rPr>
                  <w:rFonts w:ascii="Arial" w:cs="Arial" w:eastAsia="Arial" w:hAnsi="Arial"/>
                  <w:sz w:val="16"/>
                  <w:szCs w:val="16"/>
                  <w:color w:val="0000EE"/>
                  <w:w w:val="92"/>
                </w:rPr>
                <w:t>Certification of the Chief Executive Officer pursuant to Rule 13a-</w:t>
              </w:r>
            </w:hyperlink>
          </w:p>
        </w:tc>
        <w:tc>
          <w:tcPr>
            <w:tcW w:w="4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172"/>
        </w:trPr>
        <w:tc>
          <w:tcPr>
            <w:tcW w:w="840" w:type="dxa"/>
            <w:vAlign w:val="bottom"/>
          </w:tcPr>
          <w:p>
            <w:pPr>
              <w:spacing w:after="0"/>
              <w:rPr>
                <w:sz w:val="14"/>
                <w:szCs w:val="14"/>
                <w:color w:val="auto"/>
              </w:rPr>
            </w:pPr>
          </w:p>
        </w:tc>
        <w:tc>
          <w:tcPr>
            <w:tcW w:w="3860" w:type="dxa"/>
            <w:vAlign w:val="bottom"/>
            <w:tcBorders>
              <w:bottom w:val="single" w:sz="8" w:color="0000EE"/>
            </w:tcBorders>
            <w:gridSpan w:val="7"/>
          </w:tcPr>
          <w:p>
            <w:pPr>
              <w:spacing w:after="0" w:line="172" w:lineRule="exact"/>
              <w:rPr>
                <w:rFonts w:ascii="Arial" w:cs="Arial" w:eastAsia="Arial" w:hAnsi="Arial"/>
                <w:sz w:val="16"/>
                <w:szCs w:val="16"/>
                <w:color w:val="0000EE"/>
                <w:w w:val="89"/>
              </w:rPr>
            </w:pPr>
            <w:hyperlink w:anchor="page98">
              <w:r>
                <w:rPr>
                  <w:rFonts w:ascii="Arial" w:cs="Arial" w:eastAsia="Arial" w:hAnsi="Arial"/>
                  <w:sz w:val="16"/>
                  <w:szCs w:val="16"/>
                  <w:color w:val="0000EE"/>
                  <w:w w:val="89"/>
                </w:rPr>
                <w:t>14(a) and Rule 15d-14(a) of the Securities Exchange Act, as</w:t>
              </w:r>
            </w:hyperlink>
          </w:p>
        </w:tc>
        <w:tc>
          <w:tcPr>
            <w:tcW w:w="80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72" w:lineRule="exact"/>
              <w:rPr>
                <w:rFonts w:ascii="Arial" w:cs="Arial" w:eastAsia="Arial" w:hAnsi="Arial"/>
                <w:sz w:val="16"/>
                <w:szCs w:val="16"/>
                <w:color w:val="0000EE"/>
                <w:w w:val="84"/>
              </w:rPr>
            </w:pPr>
            <w:hyperlink w:anchor="page98">
              <w:r>
                <w:rPr>
                  <w:rFonts w:ascii="Arial" w:cs="Arial" w:eastAsia="Arial" w:hAnsi="Arial"/>
                  <w:sz w:val="16"/>
                  <w:szCs w:val="16"/>
                  <w:color w:val="0000EE"/>
                  <w:w w:val="84"/>
                </w:rPr>
                <w:t>amended.</w:t>
              </w:r>
            </w:hyperlink>
          </w:p>
        </w:tc>
        <w:tc>
          <w:tcPr>
            <w:tcW w:w="4040" w:type="dxa"/>
            <w:vAlign w:val="bottom"/>
            <w:gridSpan w:val="9"/>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31.2</w:t>
            </w:r>
          </w:p>
        </w:tc>
        <w:tc>
          <w:tcPr>
            <w:tcW w:w="4660" w:type="dxa"/>
            <w:vAlign w:val="bottom"/>
            <w:gridSpan w:val="12"/>
          </w:tcPr>
          <w:p>
            <w:pPr>
              <w:spacing w:after="0" w:line="172" w:lineRule="exact"/>
              <w:rPr>
                <w:rFonts w:ascii="Arial" w:cs="Arial" w:eastAsia="Arial" w:hAnsi="Arial"/>
                <w:sz w:val="16"/>
                <w:szCs w:val="16"/>
                <w:color w:val="0000EE"/>
              </w:rPr>
            </w:pPr>
            <w:hyperlink w:anchor="page99">
              <w:r>
                <w:rPr>
                  <w:rFonts w:ascii="Arial" w:cs="Arial" w:eastAsia="Arial" w:hAnsi="Arial"/>
                  <w:sz w:val="16"/>
                  <w:szCs w:val="16"/>
                  <w:color w:val="0000EE"/>
                </w:rPr>
                <w:t>Certification of the Chief Financial Officer pursuant to Rule 13a-</w:t>
              </w:r>
            </w:hyperlink>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172"/>
        </w:trPr>
        <w:tc>
          <w:tcPr>
            <w:tcW w:w="840" w:type="dxa"/>
            <w:vAlign w:val="bottom"/>
          </w:tcPr>
          <w:p>
            <w:pPr>
              <w:spacing w:after="0"/>
              <w:rPr>
                <w:sz w:val="14"/>
                <w:szCs w:val="14"/>
                <w:color w:val="auto"/>
              </w:rPr>
            </w:pPr>
          </w:p>
        </w:tc>
        <w:tc>
          <w:tcPr>
            <w:tcW w:w="3860" w:type="dxa"/>
            <w:vAlign w:val="bottom"/>
            <w:tcBorders>
              <w:top w:val="single" w:sz="8" w:color="0000EE"/>
              <w:bottom w:val="single" w:sz="8" w:color="0000EE"/>
            </w:tcBorders>
            <w:gridSpan w:val="7"/>
          </w:tcPr>
          <w:p>
            <w:pPr>
              <w:spacing w:after="0" w:line="172" w:lineRule="exact"/>
              <w:rPr>
                <w:rFonts w:ascii="Arial" w:cs="Arial" w:eastAsia="Arial" w:hAnsi="Arial"/>
                <w:sz w:val="16"/>
                <w:szCs w:val="16"/>
                <w:color w:val="0000EE"/>
                <w:w w:val="89"/>
              </w:rPr>
            </w:pPr>
            <w:hyperlink w:anchor="page99">
              <w:r>
                <w:rPr>
                  <w:rFonts w:ascii="Arial" w:cs="Arial" w:eastAsia="Arial" w:hAnsi="Arial"/>
                  <w:sz w:val="16"/>
                  <w:szCs w:val="16"/>
                  <w:color w:val="0000EE"/>
                  <w:w w:val="89"/>
                </w:rPr>
                <w:t>14(a) and Rule 15d-14(a) of the Securities Exchange Act, as</w:t>
              </w:r>
            </w:hyperlink>
          </w:p>
        </w:tc>
        <w:tc>
          <w:tcPr>
            <w:tcW w:w="300" w:type="dxa"/>
            <w:vAlign w:val="bottom"/>
            <w:tcBorders>
              <w:top w:val="single" w:sz="8" w:color="0000EE"/>
            </w:tcBorders>
          </w:tcPr>
          <w:p>
            <w:pPr>
              <w:spacing w:after="0"/>
              <w:rPr>
                <w:sz w:val="14"/>
                <w:szCs w:val="14"/>
                <w:color w:val="auto"/>
              </w:rPr>
            </w:pPr>
          </w:p>
        </w:tc>
        <w:tc>
          <w:tcPr>
            <w:tcW w:w="500" w:type="dxa"/>
            <w:vAlign w:val="bottom"/>
            <w:gridSpan w:val="4"/>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72" w:lineRule="exact"/>
              <w:rPr>
                <w:rFonts w:ascii="Arial" w:cs="Arial" w:eastAsia="Arial" w:hAnsi="Arial"/>
                <w:sz w:val="16"/>
                <w:szCs w:val="16"/>
                <w:color w:val="0000EE"/>
                <w:w w:val="84"/>
              </w:rPr>
            </w:pPr>
            <w:hyperlink w:anchor="page99">
              <w:r>
                <w:rPr>
                  <w:rFonts w:ascii="Arial" w:cs="Arial" w:eastAsia="Arial" w:hAnsi="Arial"/>
                  <w:sz w:val="16"/>
                  <w:szCs w:val="16"/>
                  <w:color w:val="0000EE"/>
                  <w:w w:val="84"/>
                </w:rPr>
                <w:t>amended.</w:t>
              </w:r>
            </w:hyperlink>
          </w:p>
        </w:tc>
        <w:tc>
          <w:tcPr>
            <w:tcW w:w="4040" w:type="dxa"/>
            <w:vAlign w:val="bottom"/>
            <w:gridSpan w:val="9"/>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32.1</w:t>
            </w:r>
          </w:p>
        </w:tc>
        <w:tc>
          <w:tcPr>
            <w:tcW w:w="4220" w:type="dxa"/>
            <w:vAlign w:val="bottom"/>
            <w:tcBorders>
              <w:bottom w:val="single" w:sz="8" w:color="0000EE"/>
            </w:tcBorders>
            <w:gridSpan w:val="10"/>
          </w:tcPr>
          <w:p>
            <w:pPr>
              <w:spacing w:after="0" w:line="172" w:lineRule="exact"/>
              <w:rPr>
                <w:rFonts w:ascii="Arial" w:cs="Arial" w:eastAsia="Arial" w:hAnsi="Arial"/>
                <w:sz w:val="16"/>
                <w:szCs w:val="16"/>
                <w:color w:val="0000EE"/>
                <w:w w:val="92"/>
              </w:rPr>
            </w:pPr>
            <w:hyperlink w:anchor="page100">
              <w:r>
                <w:rPr>
                  <w:rFonts w:ascii="Arial" w:cs="Arial" w:eastAsia="Arial" w:hAnsi="Arial"/>
                  <w:sz w:val="16"/>
                  <w:szCs w:val="16"/>
                  <w:color w:val="0000EE"/>
                  <w:w w:val="92"/>
                </w:rPr>
                <w:t>Certification of the Chief Executive Officer pursuant to 18 U.S.C.</w:t>
              </w:r>
            </w:hyperlink>
          </w:p>
        </w:tc>
        <w:tc>
          <w:tcPr>
            <w:tcW w:w="4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172"/>
        </w:trPr>
        <w:tc>
          <w:tcPr>
            <w:tcW w:w="840" w:type="dxa"/>
            <w:vAlign w:val="bottom"/>
          </w:tcPr>
          <w:p>
            <w:pPr>
              <w:spacing w:after="0"/>
              <w:rPr>
                <w:sz w:val="14"/>
                <w:szCs w:val="14"/>
                <w:color w:val="auto"/>
              </w:rPr>
            </w:pPr>
          </w:p>
        </w:tc>
        <w:tc>
          <w:tcPr>
            <w:tcW w:w="4380" w:type="dxa"/>
            <w:vAlign w:val="bottom"/>
            <w:tcBorders>
              <w:bottom w:val="single" w:sz="8" w:color="0000EE"/>
            </w:tcBorders>
            <w:gridSpan w:val="11"/>
          </w:tcPr>
          <w:p>
            <w:pPr>
              <w:spacing w:after="0" w:line="172"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1350, as adopted pursuant to Section 906 of the Sarbanes-Oxley Act</w:t>
              </w:r>
            </w:hyperlink>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540" w:type="dxa"/>
            <w:vAlign w:val="bottom"/>
            <w:tcBorders>
              <w:bottom w:val="single" w:sz="8" w:color="0000EE"/>
            </w:tcBorders>
            <w:gridSpan w:val="2"/>
          </w:tcPr>
          <w:p>
            <w:pPr>
              <w:spacing w:after="0" w:line="172" w:lineRule="exact"/>
              <w:rPr>
                <w:rFonts w:ascii="Arial" w:cs="Arial" w:eastAsia="Arial" w:hAnsi="Arial"/>
                <w:sz w:val="16"/>
                <w:szCs w:val="16"/>
                <w:color w:val="0000EE"/>
                <w:w w:val="89"/>
              </w:rPr>
            </w:pPr>
            <w:hyperlink w:anchor="page100">
              <w:r>
                <w:rPr>
                  <w:rFonts w:ascii="Arial" w:cs="Arial" w:eastAsia="Arial" w:hAnsi="Arial"/>
                  <w:sz w:val="16"/>
                  <w:szCs w:val="16"/>
                  <w:color w:val="0000EE"/>
                  <w:w w:val="89"/>
                </w:rPr>
                <w:t>of 2002.</w:t>
              </w:r>
            </w:hyperlink>
          </w:p>
        </w:tc>
        <w:tc>
          <w:tcPr>
            <w:tcW w:w="4120" w:type="dxa"/>
            <w:vAlign w:val="bottom"/>
            <w:gridSpan w:val="10"/>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jc w:val="right"/>
              <w:ind w:right="140"/>
              <w:spacing w:after="0" w:line="172" w:lineRule="exact"/>
              <w:rPr>
                <w:sz w:val="20"/>
                <w:szCs w:val="20"/>
                <w:color w:val="auto"/>
              </w:rPr>
            </w:pPr>
            <w:r>
              <w:rPr>
                <w:rFonts w:ascii="Arial" w:cs="Arial" w:eastAsia="Arial" w:hAnsi="Arial"/>
                <w:sz w:val="16"/>
                <w:szCs w:val="16"/>
                <w:color w:val="auto"/>
              </w:rPr>
              <w:t>32.2</w:t>
            </w:r>
          </w:p>
        </w:tc>
        <w:tc>
          <w:tcPr>
            <w:tcW w:w="4180" w:type="dxa"/>
            <w:vAlign w:val="bottom"/>
            <w:tcBorders>
              <w:bottom w:val="single" w:sz="8" w:color="0000EE"/>
            </w:tcBorders>
            <w:gridSpan w:val="9"/>
          </w:tcPr>
          <w:p>
            <w:pPr>
              <w:spacing w:after="0" w:line="172" w:lineRule="exact"/>
              <w:rPr>
                <w:rFonts w:ascii="Arial" w:cs="Arial" w:eastAsia="Arial" w:hAnsi="Arial"/>
                <w:sz w:val="16"/>
                <w:szCs w:val="16"/>
                <w:color w:val="0000EE"/>
                <w:w w:val="92"/>
              </w:rPr>
            </w:pPr>
            <w:hyperlink w:anchor="page101">
              <w:r>
                <w:rPr>
                  <w:rFonts w:ascii="Arial" w:cs="Arial" w:eastAsia="Arial" w:hAnsi="Arial"/>
                  <w:sz w:val="16"/>
                  <w:szCs w:val="16"/>
                  <w:color w:val="0000EE"/>
                  <w:w w:val="92"/>
                </w:rPr>
                <w:t>Certification of the Chief Financial Officer pursuant to 18 U.S.C.</w:t>
              </w:r>
            </w:hyperlink>
          </w:p>
        </w:tc>
        <w:tc>
          <w:tcPr>
            <w:tcW w:w="48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ind w:left="1660"/>
              <w:spacing w:after="0" w:line="172" w:lineRule="exact"/>
              <w:rPr>
                <w:sz w:val="20"/>
                <w:szCs w:val="20"/>
                <w:color w:val="auto"/>
              </w:rPr>
            </w:pPr>
            <w:r>
              <w:rPr>
                <w:rFonts w:ascii="Arial" w:cs="Arial" w:eastAsia="Arial" w:hAnsi="Arial"/>
                <w:sz w:val="16"/>
                <w:szCs w:val="16"/>
                <w:color w:val="auto"/>
                <w:w w:val="74"/>
              </w:rPr>
              <w:t>X</w:t>
            </w:r>
          </w:p>
        </w:tc>
      </w:tr>
      <w:tr>
        <w:trPr>
          <w:trHeight w:val="172"/>
        </w:trPr>
        <w:tc>
          <w:tcPr>
            <w:tcW w:w="840" w:type="dxa"/>
            <w:vAlign w:val="bottom"/>
          </w:tcPr>
          <w:p>
            <w:pPr>
              <w:spacing w:after="0"/>
              <w:rPr>
                <w:sz w:val="14"/>
                <w:szCs w:val="14"/>
                <w:color w:val="auto"/>
              </w:rPr>
            </w:pPr>
          </w:p>
        </w:tc>
        <w:tc>
          <w:tcPr>
            <w:tcW w:w="4380" w:type="dxa"/>
            <w:vAlign w:val="bottom"/>
            <w:tcBorders>
              <w:bottom w:val="single" w:sz="8" w:color="0000EE"/>
            </w:tcBorders>
            <w:gridSpan w:val="11"/>
          </w:tcPr>
          <w:p>
            <w:pPr>
              <w:spacing w:after="0" w:line="172"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1350, as adopted pursuant to Section 906 of the Sarbanes-Oxley Act</w:t>
              </w:r>
            </w:hyperlink>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500" w:type="dxa"/>
            <w:vAlign w:val="bottom"/>
            <w:tcBorders>
              <w:bottom w:val="single" w:sz="8" w:color="0000EE"/>
            </w:tcBorders>
          </w:tcPr>
          <w:p>
            <w:pPr>
              <w:spacing w:after="0" w:line="172" w:lineRule="exact"/>
              <w:rPr>
                <w:rFonts w:ascii="Arial" w:cs="Arial" w:eastAsia="Arial" w:hAnsi="Arial"/>
                <w:sz w:val="16"/>
                <w:szCs w:val="16"/>
                <w:color w:val="0000EE"/>
                <w:w w:val="89"/>
              </w:rPr>
            </w:pPr>
            <w:hyperlink w:anchor="page101">
              <w:r>
                <w:rPr>
                  <w:rFonts w:ascii="Arial" w:cs="Arial" w:eastAsia="Arial" w:hAnsi="Arial"/>
                  <w:sz w:val="16"/>
                  <w:szCs w:val="16"/>
                  <w:color w:val="0000EE"/>
                  <w:w w:val="89"/>
                </w:rPr>
                <w:t>of 2002</w:t>
              </w:r>
            </w:hyperlink>
          </w:p>
        </w:tc>
        <w:tc>
          <w:tcPr>
            <w:tcW w:w="4160" w:type="dxa"/>
            <w:vAlign w:val="bottom"/>
            <w:gridSpan w:val="11"/>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6"/>
        </w:trPr>
        <w:tc>
          <w:tcPr>
            <w:tcW w:w="840" w:type="dxa"/>
            <w:vAlign w:val="bottom"/>
          </w:tcPr>
          <w:p>
            <w:pPr>
              <w:jc w:val="center"/>
              <w:ind w:right="180"/>
              <w:spacing w:after="0"/>
              <w:rPr>
                <w:sz w:val="20"/>
                <w:szCs w:val="20"/>
                <w:color w:val="auto"/>
              </w:rPr>
            </w:pPr>
            <w:r>
              <w:rPr>
                <w:rFonts w:ascii="Arial" w:cs="Arial" w:eastAsia="Arial" w:hAnsi="Arial"/>
                <w:sz w:val="16"/>
                <w:szCs w:val="16"/>
                <w:color w:val="auto"/>
                <w:w w:val="93"/>
              </w:rPr>
              <w:t>101.INS</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Instance Document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r>
        <w:trPr>
          <w:trHeight w:val="192"/>
        </w:trPr>
        <w:tc>
          <w:tcPr>
            <w:tcW w:w="840" w:type="dxa"/>
            <w:vAlign w:val="bottom"/>
          </w:tcPr>
          <w:p>
            <w:pPr>
              <w:jc w:val="center"/>
              <w:ind w:right="160"/>
              <w:spacing w:after="0"/>
              <w:rPr>
                <w:sz w:val="20"/>
                <w:szCs w:val="20"/>
                <w:color w:val="auto"/>
              </w:rPr>
            </w:pPr>
            <w:r>
              <w:rPr>
                <w:rFonts w:ascii="Arial" w:cs="Arial" w:eastAsia="Arial" w:hAnsi="Arial"/>
                <w:sz w:val="16"/>
                <w:szCs w:val="16"/>
                <w:color w:val="auto"/>
                <w:w w:val="92"/>
              </w:rPr>
              <w:t>101.SCH</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Taxonomy Extension Schema</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r>
        <w:trPr>
          <w:trHeight w:val="192"/>
        </w:trPr>
        <w:tc>
          <w:tcPr>
            <w:tcW w:w="840" w:type="dxa"/>
            <w:vAlign w:val="bottom"/>
          </w:tcPr>
          <w:p>
            <w:pPr>
              <w:jc w:val="center"/>
              <w:ind w:right="160"/>
              <w:spacing w:after="0"/>
              <w:rPr>
                <w:sz w:val="20"/>
                <w:szCs w:val="20"/>
                <w:color w:val="auto"/>
              </w:rPr>
            </w:pPr>
            <w:r>
              <w:rPr>
                <w:rFonts w:ascii="Arial" w:cs="Arial" w:eastAsia="Arial" w:hAnsi="Arial"/>
                <w:sz w:val="16"/>
                <w:szCs w:val="16"/>
                <w:color w:val="auto"/>
                <w:w w:val="96"/>
              </w:rPr>
              <w:t>101.CAL</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r>
        <w:trPr>
          <w:trHeight w:val="192"/>
        </w:trPr>
        <w:tc>
          <w:tcPr>
            <w:tcW w:w="840" w:type="dxa"/>
            <w:vAlign w:val="bottom"/>
          </w:tcPr>
          <w:p>
            <w:pPr>
              <w:jc w:val="center"/>
              <w:ind w:right="180"/>
              <w:spacing w:after="0"/>
              <w:rPr>
                <w:sz w:val="20"/>
                <w:szCs w:val="20"/>
                <w:color w:val="auto"/>
              </w:rPr>
            </w:pPr>
            <w:r>
              <w:rPr>
                <w:rFonts w:ascii="Arial" w:cs="Arial" w:eastAsia="Arial" w:hAnsi="Arial"/>
                <w:sz w:val="16"/>
                <w:szCs w:val="16"/>
                <w:color w:val="auto"/>
                <w:w w:val="91"/>
              </w:rPr>
              <w:t>101.DEF</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r>
        <w:trPr>
          <w:trHeight w:val="192"/>
        </w:trPr>
        <w:tc>
          <w:tcPr>
            <w:tcW w:w="840" w:type="dxa"/>
            <w:vAlign w:val="bottom"/>
          </w:tcPr>
          <w:p>
            <w:pPr>
              <w:jc w:val="center"/>
              <w:ind w:right="160"/>
              <w:spacing w:after="0"/>
              <w:rPr>
                <w:sz w:val="20"/>
                <w:szCs w:val="20"/>
                <w:color w:val="auto"/>
              </w:rPr>
            </w:pPr>
            <w:r>
              <w:rPr>
                <w:rFonts w:ascii="Arial" w:cs="Arial" w:eastAsia="Arial" w:hAnsi="Arial"/>
                <w:sz w:val="16"/>
                <w:szCs w:val="16"/>
                <w:color w:val="auto"/>
                <w:w w:val="97"/>
              </w:rPr>
              <w:t>101.LAB</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r>
        <w:trPr>
          <w:trHeight w:val="205"/>
        </w:trPr>
        <w:tc>
          <w:tcPr>
            <w:tcW w:w="840" w:type="dxa"/>
            <w:vAlign w:val="bottom"/>
          </w:tcPr>
          <w:p>
            <w:pPr>
              <w:jc w:val="center"/>
              <w:ind w:right="160"/>
              <w:spacing w:after="0"/>
              <w:rPr>
                <w:sz w:val="20"/>
                <w:szCs w:val="20"/>
                <w:color w:val="auto"/>
              </w:rPr>
            </w:pPr>
            <w:r>
              <w:rPr>
                <w:rFonts w:ascii="Arial" w:cs="Arial" w:eastAsia="Arial" w:hAnsi="Arial"/>
                <w:sz w:val="16"/>
                <w:szCs w:val="16"/>
                <w:color w:val="auto"/>
                <w:w w:val="87"/>
              </w:rPr>
              <w:t>101.PRE</w:t>
            </w:r>
          </w:p>
        </w:tc>
        <w:tc>
          <w:tcPr>
            <w:tcW w:w="4660" w:type="dxa"/>
            <w:vAlign w:val="bottom"/>
            <w:gridSpan w:val="12"/>
          </w:tcPr>
          <w:p>
            <w:pPr>
              <w:spacing w:after="0"/>
              <w:rPr>
                <w:sz w:val="20"/>
                <w:szCs w:val="20"/>
                <w:color w:val="auto"/>
              </w:rPr>
            </w:pPr>
            <w:r>
              <w:rPr>
                <w:rFonts w:ascii="Arial" w:cs="Arial" w:eastAsia="Arial" w:hAnsi="Arial"/>
                <w:sz w:val="16"/>
                <w:szCs w:val="16"/>
                <w:color w:val="auto"/>
              </w:rPr>
              <w:t>XBRL Taxonomy Extension Presentation Linkbase</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tcPr>
          <w:p>
            <w:pPr>
              <w:ind w:left="1660"/>
              <w:spacing w:after="0"/>
              <w:rPr>
                <w:sz w:val="20"/>
                <w:szCs w:val="20"/>
                <w:color w:val="auto"/>
              </w:rPr>
            </w:pPr>
            <w:r>
              <w:rPr>
                <w:rFonts w:ascii="Arial" w:cs="Arial" w:eastAsia="Arial" w:hAnsi="Arial"/>
                <w:sz w:val="16"/>
                <w:szCs w:val="16"/>
                <w:color w:val="auto"/>
                <w:w w:val="74"/>
              </w:rPr>
              <w:t>X</w:t>
            </w:r>
          </w:p>
        </w:tc>
      </w:tr>
    </w:tbl>
    <w:p>
      <w:pPr>
        <w:spacing w:after="0" w:line="110" w:lineRule="exact"/>
        <w:rPr>
          <w:sz w:val="20"/>
          <w:szCs w:val="20"/>
          <w:color w:val="auto"/>
        </w:rPr>
      </w:pPr>
    </w:p>
    <w:p>
      <w:pPr>
        <w:ind w:left="284" w:hanging="284"/>
        <w:spacing w:after="0"/>
        <w:tabs>
          <w:tab w:leader="none" w:pos="284" w:val="left"/>
        </w:tabs>
        <w:numPr>
          <w:ilvl w:val="0"/>
          <w:numId w:val="3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Indicates a management contract or compensatory plan or arrangement</w:t>
      </w:r>
    </w:p>
    <w:p>
      <w:pPr>
        <w:spacing w:after="0" w:line="110" w:lineRule="exact"/>
        <w:rPr>
          <w:rFonts w:ascii="Arial" w:cs="Arial" w:eastAsia="Arial" w:hAnsi="Arial"/>
          <w:sz w:val="27"/>
          <w:szCs w:val="27"/>
          <w:i w:val="1"/>
          <w:iCs w:val="1"/>
          <w:color w:val="auto"/>
          <w:vertAlign w:val="superscript"/>
        </w:rPr>
      </w:pPr>
    </w:p>
    <w:p>
      <w:pPr>
        <w:ind w:left="284" w:hanging="284"/>
        <w:spacing w:after="0"/>
        <w:tabs>
          <w:tab w:leader="none" w:pos="284" w:val="left"/>
        </w:tabs>
        <w:numPr>
          <w:ilvl w:val="0"/>
          <w:numId w:val="38"/>
        </w:numPr>
        <w:rPr>
          <w:rFonts w:ascii="Arial" w:cs="Arial" w:eastAsia="Arial" w:hAnsi="Arial"/>
          <w:sz w:val="27"/>
          <w:szCs w:val="27"/>
          <w:i w:val="1"/>
          <w:iCs w:val="1"/>
          <w:color w:val="auto"/>
          <w:vertAlign w:val="superscript"/>
        </w:rPr>
      </w:pPr>
      <w:r>
        <w:rPr>
          <w:rFonts w:ascii="Arial" w:cs="Arial" w:eastAsia="Arial" w:hAnsi="Arial"/>
          <w:sz w:val="16"/>
          <w:szCs w:val="16"/>
          <w:i w:val="1"/>
          <w:iCs w:val="1"/>
          <w:color w:val="auto"/>
        </w:rPr>
        <w:t>Confidential treatment has been granted for portions of this exhibit.</w:t>
      </w:r>
    </w:p>
    <w:p>
      <w:pPr>
        <w:spacing w:after="0" w:line="179" w:lineRule="exact"/>
        <w:rPr>
          <w:sz w:val="20"/>
          <w:szCs w:val="20"/>
          <w:color w:val="auto"/>
        </w:rPr>
      </w:pPr>
    </w:p>
    <w:p>
      <w:pPr>
        <w:jc w:val="center"/>
        <w:ind w:right="-223"/>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204"/>
          </w:cols>
          <w:pgMar w:left="236" w:top="520" w:right="45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on Form 10-K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FACTSET RESEARCH SYSTEMS INC.</w:t>
            </w:r>
          </w:p>
        </w:tc>
      </w:tr>
      <w:tr>
        <w:trPr>
          <w:trHeight w:val="205"/>
        </w:trPr>
        <w:tc>
          <w:tcPr>
            <w:tcW w:w="530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(Registrant)</w:t>
            </w:r>
          </w:p>
        </w:tc>
      </w:tr>
      <w:tr>
        <w:trPr>
          <w:trHeight w:val="384"/>
        </w:trPr>
        <w:tc>
          <w:tcPr>
            <w:tcW w:w="5300" w:type="dxa"/>
            <w:vAlign w:val="bottom"/>
          </w:tcPr>
          <w:p>
            <w:pPr>
              <w:spacing w:after="0"/>
              <w:rPr>
                <w:sz w:val="20"/>
                <w:szCs w:val="20"/>
                <w:color w:val="auto"/>
              </w:rPr>
            </w:pPr>
            <w:r>
              <w:rPr>
                <w:rFonts w:ascii="Arial" w:cs="Arial" w:eastAsia="Arial" w:hAnsi="Arial"/>
                <w:sz w:val="16"/>
                <w:szCs w:val="16"/>
                <w:color w:val="auto"/>
              </w:rPr>
              <w:t>Date: October 30, 2018</w:t>
            </w:r>
          </w:p>
        </w:tc>
        <w:tc>
          <w:tcPr>
            <w:tcW w:w="6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F. PHILIP SNOW</w:t>
            </w:r>
          </w:p>
        </w:tc>
      </w:tr>
      <w:tr>
        <w:trPr>
          <w:trHeight w:val="172"/>
        </w:trPr>
        <w:tc>
          <w:tcPr>
            <w:tcW w:w="5300" w:type="dxa"/>
            <w:vAlign w:val="bottom"/>
          </w:tcPr>
          <w:p>
            <w:pPr>
              <w:spacing w:after="0"/>
              <w:rPr>
                <w:sz w:val="14"/>
                <w:szCs w:val="14"/>
                <w:color w:val="auto"/>
              </w:rPr>
            </w:pPr>
          </w:p>
        </w:tc>
        <w:tc>
          <w:tcPr>
            <w:tcW w:w="6140" w:type="dxa"/>
            <w:vAlign w:val="bottom"/>
          </w:tcPr>
          <w:p>
            <w:pPr>
              <w:spacing w:after="0" w:line="171" w:lineRule="exact"/>
              <w:rPr>
                <w:sz w:val="20"/>
                <w:szCs w:val="20"/>
                <w:color w:val="auto"/>
              </w:rPr>
            </w:pPr>
            <w:r>
              <w:rPr>
                <w:rFonts w:ascii="Arial" w:cs="Arial" w:eastAsia="Arial" w:hAnsi="Arial"/>
                <w:sz w:val="16"/>
                <w:szCs w:val="16"/>
                <w:color w:val="auto"/>
              </w:rPr>
              <w:t>F. Philip Snow</w:t>
            </w:r>
          </w:p>
        </w:tc>
      </w:tr>
      <w:tr>
        <w:trPr>
          <w:trHeight w:val="205"/>
        </w:trPr>
        <w:tc>
          <w:tcPr>
            <w:tcW w:w="530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Pursuant to the requirements of the Securities Exchange Act of 1934, this Report on Form 10-K has been signed below by the following persons on behalf of the Registrant and in the capacities and on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ind w:left="40"/>
              <w:spacing w:after="0"/>
              <w:rPr>
                <w:sz w:val="20"/>
                <w:szCs w:val="20"/>
                <w:color w:val="auto"/>
              </w:rPr>
            </w:pPr>
            <w:r>
              <w:rPr>
                <w:rFonts w:ascii="Arial" w:cs="Arial" w:eastAsia="Arial" w:hAnsi="Arial"/>
                <w:sz w:val="16"/>
                <w:szCs w:val="16"/>
                <w:b w:val="1"/>
                <w:bCs w:val="1"/>
                <w:color w:val="auto"/>
                <w:w w:val="87"/>
              </w:rPr>
              <w:t>Name</w:t>
            </w:r>
          </w:p>
        </w:tc>
        <w:tc>
          <w:tcPr>
            <w:tcW w:w="2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Date</w:t>
            </w:r>
          </w:p>
        </w:tc>
      </w:tr>
      <w:tr>
        <w:trPr>
          <w:trHeight w:val="20"/>
        </w:trPr>
        <w:tc>
          <w:tcPr>
            <w:tcW w:w="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8"/>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F. PHILIP SNOW</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Chief Executive Officer and 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F. Philip Snow</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(Principal Executive Officer)</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HELEN L. SHAN</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Executive Vice President and Chief Financial Officer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Helen L. Shan</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(Principal Financial Officer)</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MATTHEW J. MCNULTY</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Senior Vice President, Controller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Matthew J. McNulty</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(Principal Accounting Officer)</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PHILIP A. HADLEY</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Chairman</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Philip A. Hadley</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ROBIN A. ABRAMS</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Robin A. Abrams</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SCOTT A. BILLEADEAU</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Scott A. Billeadeau</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MALCOLM FRANK</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Malcolm Frank</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SHEILA B. JORDAN</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Sheila B. Jordan</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JAMES J. MCGONIGLE</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James J. McGonigle</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LAURIE SIEGEL</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Laurie Siegel</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JOSEPH R. ZIMMEL</w:t>
            </w:r>
          </w:p>
        </w:tc>
        <w:tc>
          <w:tcPr>
            <w:tcW w:w="5920" w:type="dxa"/>
            <w:vAlign w:val="bottom"/>
            <w:gridSpan w:val="3"/>
          </w:tcPr>
          <w:p>
            <w:pPr>
              <w:ind w:left="720"/>
              <w:spacing w:after="0"/>
              <w:rPr>
                <w:sz w:val="20"/>
                <w:szCs w:val="20"/>
                <w:color w:val="auto"/>
              </w:rPr>
            </w:pPr>
            <w:r>
              <w:rPr>
                <w:rFonts w:ascii="Arial" w:cs="Arial" w:eastAsia="Arial" w:hAnsi="Arial"/>
                <w:sz w:val="16"/>
                <w:szCs w:val="16"/>
                <w:color w:val="auto"/>
              </w:rPr>
              <w:t>Director</w:t>
            </w:r>
          </w:p>
        </w:tc>
        <w:tc>
          <w:tcPr>
            <w:tcW w:w="1140" w:type="dxa"/>
            <w:vAlign w:val="bottom"/>
            <w:gridSpan w:val="2"/>
          </w:tcPr>
          <w:p>
            <w:pPr>
              <w:ind w:left="20"/>
              <w:spacing w:after="0"/>
              <w:rPr>
                <w:sz w:val="20"/>
                <w:szCs w:val="20"/>
                <w:color w:val="auto"/>
              </w:rPr>
            </w:pPr>
            <w:r>
              <w:rPr>
                <w:rFonts w:ascii="Arial" w:cs="Arial" w:eastAsia="Arial" w:hAnsi="Arial"/>
                <w:sz w:val="16"/>
                <w:szCs w:val="16"/>
                <w:color w:val="auto"/>
                <w:w w:val="88"/>
              </w:rPr>
              <w:t>October 30, 2018</w:t>
            </w:r>
          </w:p>
        </w:tc>
      </w:tr>
      <w:tr>
        <w:trPr>
          <w:trHeight w:val="197"/>
        </w:trPr>
        <w:tc>
          <w:tcPr>
            <w:tcW w:w="3040" w:type="dxa"/>
            <w:vAlign w:val="bottom"/>
            <w:gridSpan w:val="2"/>
          </w:tcPr>
          <w:p>
            <w:pPr>
              <w:spacing w:after="0"/>
              <w:rPr>
                <w:sz w:val="20"/>
                <w:szCs w:val="20"/>
                <w:color w:val="auto"/>
              </w:rPr>
            </w:pPr>
            <w:r>
              <w:rPr>
                <w:rFonts w:ascii="Arial" w:cs="Arial" w:eastAsia="Arial" w:hAnsi="Arial"/>
                <w:sz w:val="16"/>
                <w:szCs w:val="16"/>
                <w:color w:val="auto"/>
              </w:rPr>
              <w:t>Joseph R. Zimmel</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64"/>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920" w:type="dxa"/>
            <w:vAlign w:val="bottom"/>
            <w:gridSpan w:val="3"/>
          </w:tcPr>
          <w:p>
            <w:pPr>
              <w:jc w:val="right"/>
              <w:ind w:right="3160"/>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40"/>
          </w:cols>
          <w:pgMar w:left="240" w:top="531" w:right="21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60" w:type="dxa"/>
            <w:vAlign w:val="bottom"/>
            <w:gridSpan w:val="2"/>
          </w:tcPr>
          <w:p>
            <w:pPr>
              <w:ind w:left="780"/>
              <w:spacing w:after="0"/>
              <w:rPr>
                <w:sz w:val="20"/>
                <w:szCs w:val="20"/>
                <w:color w:val="auto"/>
              </w:rPr>
            </w:pPr>
            <w:r>
              <w:rPr>
                <w:rFonts w:ascii="Arial" w:cs="Arial" w:eastAsia="Arial" w:hAnsi="Arial"/>
                <w:sz w:val="16"/>
                <w:szCs w:val="16"/>
                <w:b w:val="1"/>
                <w:bCs w:val="1"/>
                <w:color w:val="auto"/>
              </w:rPr>
              <w:t>Subsidiaries of the Registrant</w:t>
            </w:r>
          </w:p>
        </w:tc>
      </w:tr>
      <w:tr>
        <w:trPr>
          <w:trHeight w:val="384"/>
        </w:trPr>
        <w:tc>
          <w:tcPr>
            <w:tcW w:w="9180" w:type="dxa"/>
            <w:vAlign w:val="bottom"/>
            <w:gridSpan w:val="4"/>
          </w:tcPr>
          <w:p>
            <w:pPr>
              <w:spacing w:after="0"/>
              <w:rPr>
                <w:sz w:val="20"/>
                <w:szCs w:val="20"/>
                <w:color w:val="auto"/>
              </w:rPr>
            </w:pPr>
            <w:r>
              <w:rPr>
                <w:rFonts w:ascii="Arial" w:cs="Arial" w:eastAsia="Arial" w:hAnsi="Arial"/>
                <w:sz w:val="16"/>
                <w:szCs w:val="16"/>
                <w:color w:val="auto"/>
              </w:rPr>
              <w:t>The following is a list of subsidiaries of FactSet Research Systems Inc., a Delaware corporation, as of August 31, 2018</w:t>
            </w:r>
          </w:p>
        </w:tc>
      </w:tr>
      <w:tr>
        <w:trPr>
          <w:trHeight w:val="348"/>
        </w:trPr>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Name of Subsidiary</w:t>
            </w:r>
          </w:p>
        </w:tc>
        <w:tc>
          <w:tcPr>
            <w:tcW w:w="18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6"/>
                <w:szCs w:val="16"/>
                <w:b w:val="1"/>
                <w:bCs w:val="1"/>
                <w:color w:val="auto"/>
                <w:w w:val="91"/>
              </w:rPr>
              <w:t>State or Country of Incorporation or Organization</w:t>
            </w:r>
          </w:p>
        </w:tc>
      </w:tr>
      <w:tr>
        <w:trPr>
          <w:trHeight w:val="388"/>
        </w:trPr>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BancScientific Inc.</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New York</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BI-SAM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BI-SAM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BI-SAM Technologies, S.A</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France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Bravo Consult EOOD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Bulgaria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Code Red,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Massachusetts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Cymba Technologies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Benelux B.V.</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Netherlands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Brasil Consultoria Ltda.</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Brazil</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Canada,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Canada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China Co., Ltd.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China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Data Systems,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Delaware,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AG</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Switzerland</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GmbH</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Germany</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Holdings GmbH</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Germany</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Ltd.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Oy</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Finland</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Digital Solutions,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Europe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Europe S.à.r.l.</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Luxembourg</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France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France S.a.r.l</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France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GmbH</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Germany</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Hong Kong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Hong Kong</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Ireland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Ireland</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Italia S.R.l.</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Italy</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JCF SAS</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France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Mergerstat,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Australia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Pacific,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Japan</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Philippines,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Philippines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Research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New York</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Research Systems South Africa Pty. Ltd.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South Africa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Singapore Pte. Ltd.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Singapore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Spain SL</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Spain</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Sweden AB</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Sweden</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Systems India Private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India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(UAE)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United Arab Emirates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FactSet UK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FinAnalytica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Washington</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LionShares Europe SAS</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France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P.A.N. Securities, L.P.</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Portware International,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Portware International,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Portware,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PTS NET,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SIA FactSet Latvia</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Latvia</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StreetAccount LLC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Wyoming</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Vermilion Holdings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Scotland</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Vermilion Software Inc.</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Delaware</w:t>
            </w:r>
          </w:p>
        </w:tc>
      </w:tr>
      <w:tr>
        <w:trPr>
          <w:trHeight w:val="192"/>
        </w:trPr>
        <w:tc>
          <w:tcPr>
            <w:tcW w:w="3920" w:type="dxa"/>
            <w:vAlign w:val="bottom"/>
            <w:gridSpan w:val="2"/>
          </w:tcPr>
          <w:p>
            <w:pPr>
              <w:spacing w:after="0"/>
              <w:rPr>
                <w:sz w:val="20"/>
                <w:szCs w:val="20"/>
                <w:color w:val="auto"/>
              </w:rPr>
            </w:pPr>
            <w:r>
              <w:rPr>
                <w:rFonts w:ascii="Arial" w:cs="Arial" w:eastAsia="Arial" w:hAnsi="Arial"/>
                <w:sz w:val="16"/>
                <w:szCs w:val="16"/>
                <w:color w:val="auto"/>
              </w:rPr>
              <w:t>Vermilion Software Limited</w:t>
            </w:r>
          </w:p>
        </w:tc>
        <w:tc>
          <w:tcPr>
            <w:tcW w:w="180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England / Wales</w:t>
            </w:r>
          </w:p>
        </w:tc>
      </w:tr>
      <w:tr>
        <w:trPr>
          <w:trHeight w:val="205"/>
        </w:trPr>
        <w:tc>
          <w:tcPr>
            <w:tcW w:w="3920" w:type="dxa"/>
            <w:vAlign w:val="bottom"/>
            <w:gridSpan w:val="2"/>
          </w:tcPr>
          <w:p>
            <w:pPr>
              <w:spacing w:after="0"/>
              <w:rPr>
                <w:sz w:val="20"/>
                <w:szCs w:val="20"/>
                <w:color w:val="auto"/>
              </w:rPr>
            </w:pPr>
            <w:r>
              <w:rPr>
                <w:rFonts w:ascii="Arial" w:cs="Arial" w:eastAsia="Arial" w:hAnsi="Arial"/>
                <w:sz w:val="16"/>
                <w:szCs w:val="16"/>
                <w:color w:val="auto"/>
              </w:rPr>
              <w:t>Vermilion Software PTE</w:t>
            </w:r>
          </w:p>
        </w:tc>
        <w:tc>
          <w:tcPr>
            <w:tcW w:w="1800" w:type="dxa"/>
            <w:vAlign w:val="bottom"/>
          </w:tcPr>
          <w:p>
            <w:pPr>
              <w:spacing w:after="0"/>
              <w:rPr>
                <w:sz w:val="17"/>
                <w:szCs w:val="17"/>
                <w:color w:val="auto"/>
              </w:rPr>
            </w:pPr>
          </w:p>
        </w:tc>
        <w:tc>
          <w:tcPr>
            <w:tcW w:w="3460" w:type="dxa"/>
            <w:vAlign w:val="bottom"/>
          </w:tcPr>
          <w:p>
            <w:pPr>
              <w:spacing w:after="0"/>
              <w:rPr>
                <w:sz w:val="20"/>
                <w:szCs w:val="20"/>
                <w:color w:val="auto"/>
              </w:rPr>
            </w:pPr>
            <w:r>
              <w:rPr>
                <w:rFonts w:ascii="Arial" w:cs="Arial" w:eastAsia="Arial" w:hAnsi="Arial"/>
                <w:sz w:val="16"/>
                <w:szCs w:val="16"/>
                <w:color w:val="auto"/>
              </w:rPr>
              <w:t>Singapore</w:t>
            </w:r>
          </w:p>
        </w:tc>
      </w:tr>
    </w:tbl>
    <w:p>
      <w:pPr>
        <w:sectPr>
          <w:pgSz w:w="11900" w:h="16838" w:orient="portrait"/>
          <w:cols w:equalWidth="0" w:num="1">
            <w:col w:w="11440"/>
          </w:cols>
          <w:pgMar w:left="240" w:top="123" w:right="21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color w:val="auto"/>
        </w:rPr>
        <w:t>EXHIBIT 23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4"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We consent to the incorporation by reference in the Registration Statements (Forms S-8 Nos. 333-222532, 333-201498, 333-171667, 333-156649 and 333-134298) of our reports dated October 30, 2018, with respect to the consolidated financial statements and schedule of FactSet Research Systems Inc., and the effectiveness of internal control over financial reporting of FactSet Research Systems Inc., included in this Annual Report (Form 10-K) for the year ended August 31, 2018.</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2866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2286635" cy="762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30, 2018</w:t>
      </w:r>
    </w:p>
    <w:p>
      <w:pPr>
        <w:sectPr>
          <w:pgSz w:w="11900" w:h="16838" w:orient="portrait"/>
          <w:cols w:equalWidth="0" w:num="1">
            <w:col w:w="11440"/>
          </w:cols>
          <w:pgMar w:left="240" w:top="123"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EXCHANGE ACT RULE 13a-14(a)/15d-14(a)</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AS ADOPTED PURSUANT TO SECTION 302</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F. Philip Snow, certify that:</w:t>
      </w:r>
    </w:p>
    <w:p>
      <w:pPr>
        <w:spacing w:after="0" w:line="200" w:lineRule="exact"/>
        <w:rPr>
          <w:sz w:val="20"/>
          <w:szCs w:val="20"/>
          <w:color w:val="auto"/>
        </w:rPr>
      </w:pPr>
    </w:p>
    <w:p>
      <w:pPr>
        <w:ind w:left="244" w:hanging="244"/>
        <w:spacing w:after="0"/>
        <w:tabs>
          <w:tab w:leader="none" w:pos="2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FactSet Research Systems Inc.;</w:t>
      </w:r>
    </w:p>
    <w:p>
      <w:pPr>
        <w:spacing w:after="0" w:line="224" w:lineRule="exact"/>
        <w:rPr>
          <w:rFonts w:ascii="Arial" w:cs="Arial" w:eastAsia="Arial" w:hAnsi="Arial"/>
          <w:sz w:val="16"/>
          <w:szCs w:val="16"/>
          <w:color w:val="auto"/>
        </w:rPr>
      </w:pPr>
    </w:p>
    <w:p>
      <w:pPr>
        <w:ind w:left="244" w:right="120" w:hanging="244"/>
        <w:spacing w:after="0" w:line="277" w:lineRule="auto"/>
        <w:tabs>
          <w:tab w:leader="none" w:pos="2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44" w:right="120" w:hanging="244"/>
        <w:spacing w:after="0" w:line="277" w:lineRule="auto"/>
        <w:tabs>
          <w:tab w:leader="none" w:pos="2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44" w:right="220" w:hanging="244"/>
        <w:spacing w:after="0" w:line="312" w:lineRule="auto"/>
        <w:tabs>
          <w:tab w:leader="none" w:pos="244"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5"/>
          <w:szCs w:val="15"/>
          <w:color w:val="auto"/>
        </w:rPr>
      </w:pPr>
    </w:p>
    <w:p>
      <w:pPr>
        <w:ind w:left="464" w:right="220" w:hanging="224"/>
        <w:spacing w:after="0" w:line="264" w:lineRule="auto"/>
        <w:tabs>
          <w:tab w:leader="none" w:pos="4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464" w:right="20" w:hanging="224"/>
        <w:spacing w:after="0" w:line="264" w:lineRule="auto"/>
        <w:tabs>
          <w:tab w:leader="none" w:pos="4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464" w:right="260" w:hanging="224"/>
        <w:spacing w:after="0" w:line="277" w:lineRule="auto"/>
        <w:tabs>
          <w:tab w:leader="none" w:pos="4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464" w:right="20" w:hanging="224"/>
        <w:spacing w:after="0" w:line="264" w:lineRule="auto"/>
        <w:tabs>
          <w:tab w:leader="none" w:pos="4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244" w:right="40" w:hanging="244"/>
        <w:spacing w:after="0" w:line="277" w:lineRule="auto"/>
        <w:tabs>
          <w:tab w:leader="none" w:pos="2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464" w:right="180" w:hanging="224"/>
        <w:spacing w:after="0" w:line="277" w:lineRule="auto"/>
        <w:tabs>
          <w:tab w:leader="none" w:pos="464"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4" w:right="180" w:firstLine="236"/>
        <w:spacing w:after="0" w:line="528" w:lineRule="auto"/>
        <w:tabs>
          <w:tab w:leader="none" w:pos="473"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October 30, 2018</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/s/ F. PHILIP SNOW</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289877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Chief Executive Officer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44"/>
          </w:cols>
          <w:pgMar w:left="236" w:top="123"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EXCHANGE ACT RULE 13a-14(a)/15d-14(a)</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AS ADOPTED PURSUANT TO SECTION 302</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I, Helen L. Shan, certify that:</w:t>
      </w:r>
    </w:p>
    <w:p>
      <w:pPr>
        <w:spacing w:after="0" w:line="200" w:lineRule="exact"/>
        <w:rPr>
          <w:sz w:val="20"/>
          <w:szCs w:val="20"/>
          <w:color w:val="auto"/>
        </w:rPr>
      </w:pPr>
    </w:p>
    <w:p>
      <w:pPr>
        <w:ind w:left="244" w:hanging="244"/>
        <w:spacing w:after="0"/>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FactSet Research Systems Inc.;</w:t>
      </w:r>
    </w:p>
    <w:p>
      <w:pPr>
        <w:spacing w:after="0" w:line="224" w:lineRule="exact"/>
        <w:rPr>
          <w:rFonts w:ascii="Arial" w:cs="Arial" w:eastAsia="Arial" w:hAnsi="Arial"/>
          <w:sz w:val="16"/>
          <w:szCs w:val="16"/>
          <w:color w:val="auto"/>
        </w:rPr>
      </w:pPr>
    </w:p>
    <w:p>
      <w:pPr>
        <w:ind w:left="244" w:right="120" w:hanging="244"/>
        <w:spacing w:after="0" w:line="277" w:lineRule="auto"/>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244" w:right="120" w:hanging="244"/>
        <w:spacing w:after="0" w:line="277" w:lineRule="auto"/>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244" w:right="220" w:hanging="244"/>
        <w:spacing w:after="0" w:line="312" w:lineRule="auto"/>
        <w:tabs>
          <w:tab w:leader="none" w:pos="24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15"/>
          <w:szCs w:val="15"/>
          <w:color w:val="auto"/>
        </w:rPr>
      </w:pPr>
    </w:p>
    <w:p>
      <w:pPr>
        <w:ind w:left="464" w:right="220" w:hanging="224"/>
        <w:spacing w:after="0" w:line="264" w:lineRule="auto"/>
        <w:tabs>
          <w:tab w:leader="none" w:pos="4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6"/>
          <w:szCs w:val="16"/>
          <w:color w:val="auto"/>
        </w:rPr>
      </w:pPr>
    </w:p>
    <w:p>
      <w:pPr>
        <w:jc w:val="both"/>
        <w:ind w:left="464" w:right="20" w:hanging="224"/>
        <w:spacing w:after="0" w:line="264" w:lineRule="auto"/>
        <w:tabs>
          <w:tab w:leader="none" w:pos="4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6"/>
          <w:szCs w:val="16"/>
          <w:color w:val="auto"/>
        </w:rPr>
      </w:pPr>
    </w:p>
    <w:p>
      <w:pPr>
        <w:ind w:left="464" w:right="260" w:hanging="224"/>
        <w:spacing w:after="0" w:line="277" w:lineRule="auto"/>
        <w:tabs>
          <w:tab w:leader="none" w:pos="4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464" w:right="20" w:hanging="224"/>
        <w:spacing w:after="0" w:line="264" w:lineRule="auto"/>
        <w:tabs>
          <w:tab w:leader="none" w:pos="4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244" w:right="40" w:hanging="244"/>
        <w:spacing w:after="0" w:line="277" w:lineRule="auto"/>
        <w:tabs>
          <w:tab w:leader="none" w:pos="2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464" w:right="180" w:hanging="224"/>
        <w:spacing w:after="0" w:line="277" w:lineRule="auto"/>
        <w:tabs>
          <w:tab w:leader="none" w:pos="46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4" w:right="180" w:firstLine="236"/>
        <w:spacing w:after="0" w:line="528" w:lineRule="auto"/>
        <w:tabs>
          <w:tab w:leader="none" w:pos="473"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October 30, 2018</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/s/ HELEN L. SHAN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32340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323405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Executive Vice President and Chief Financial Officer</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4"/>
          </w:cols>
          <w:pgMar w:left="236" w:top="123"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ind w:right="180" w:firstLine="588"/>
        <w:spacing w:after="0" w:line="264" w:lineRule="auto"/>
        <w:rPr>
          <w:sz w:val="20"/>
          <w:szCs w:val="20"/>
          <w:color w:val="auto"/>
        </w:rPr>
      </w:pPr>
      <w:r>
        <w:rPr>
          <w:rFonts w:ascii="Arial" w:cs="Arial" w:eastAsia="Arial" w:hAnsi="Arial"/>
          <w:sz w:val="16"/>
          <w:szCs w:val="16"/>
          <w:color w:val="auto"/>
        </w:rPr>
        <w:t>In connection with the Annual Report of FactSet Research Systems Inc. (the “Company”) on Form 10-K for the fiscal year ended August 31, 2018, as filed with the Securities and Exchange Commission on the date hereof (the “Report”), I, F. Philip Snow, do hereby certify, pursuant to 18 U.S.C. Section 1350, as adopted pursuant to Section 906 of the Sarbanes-Oxley Act of 2002, that, to my knowledge:</w:t>
      </w:r>
    </w:p>
    <w:p>
      <w:pPr>
        <w:spacing w:after="0" w:line="162" w:lineRule="exact"/>
        <w:rPr>
          <w:sz w:val="20"/>
          <w:szCs w:val="20"/>
          <w:color w:val="auto"/>
        </w:rPr>
      </w:pPr>
    </w:p>
    <w:p>
      <w:pPr>
        <w:ind w:left="820" w:hanging="236"/>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0" w:lineRule="exact"/>
        <w:rPr>
          <w:rFonts w:ascii="Arial" w:cs="Arial" w:eastAsia="Arial" w:hAnsi="Arial"/>
          <w:sz w:val="16"/>
          <w:szCs w:val="16"/>
          <w:color w:val="auto"/>
        </w:rPr>
      </w:pPr>
    </w:p>
    <w:p>
      <w:pPr>
        <w:ind w:left="820" w:hanging="236"/>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 F. PHILIP SNOW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289877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October 30, 2018</w:t>
      </w:r>
    </w:p>
    <w:p>
      <w:pPr>
        <w:sectPr>
          <w:pgSz w:w="11900" w:h="16838" w:orient="portrait"/>
          <w:cols w:equalWidth="0" w:num="1">
            <w:col w:w="11440"/>
          </w:cols>
          <w:pgMar w:left="240" w:top="123"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8" w:lineRule="exact"/>
        <w:rPr>
          <w:sz w:val="20"/>
          <w:szCs w:val="20"/>
          <w:color w:val="auto"/>
        </w:rPr>
      </w:pPr>
    </w:p>
    <w:p>
      <w:pPr>
        <w:ind w:right="180" w:firstLine="588"/>
        <w:spacing w:after="0" w:line="264" w:lineRule="auto"/>
        <w:rPr>
          <w:sz w:val="20"/>
          <w:szCs w:val="20"/>
          <w:color w:val="auto"/>
        </w:rPr>
      </w:pPr>
      <w:r>
        <w:rPr>
          <w:rFonts w:ascii="Arial" w:cs="Arial" w:eastAsia="Arial" w:hAnsi="Arial"/>
          <w:sz w:val="16"/>
          <w:szCs w:val="16"/>
          <w:color w:val="auto"/>
        </w:rPr>
        <w:t>In connection with the Annual Report of FactSet Research Systems Inc. (the “Company”) on Form 10-K for the fiscal year ended August 31, 2018 as filed with the Securities and Exchange Commission on the date hereof (the “Report”), I, Helen L. Shan, do hereby certify, pursuant to 18 U.S.C. Section 1350, as adopted pursuant to Section 906 of the Sarbanes-Oxley Act of 2002, that, to my knowledge:</w:t>
      </w:r>
    </w:p>
    <w:p>
      <w:pPr>
        <w:spacing w:after="0" w:line="162" w:lineRule="exact"/>
        <w:rPr>
          <w:sz w:val="20"/>
          <w:szCs w:val="20"/>
          <w:color w:val="auto"/>
        </w:rPr>
      </w:pPr>
    </w:p>
    <w:p>
      <w:pPr>
        <w:ind w:left="820" w:hanging="236"/>
        <w:spacing w:after="0"/>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0" w:lineRule="exact"/>
        <w:rPr>
          <w:rFonts w:ascii="Arial" w:cs="Arial" w:eastAsia="Arial" w:hAnsi="Arial"/>
          <w:sz w:val="16"/>
          <w:szCs w:val="16"/>
          <w:color w:val="auto"/>
        </w:rPr>
      </w:pPr>
    </w:p>
    <w:p>
      <w:pPr>
        <w:ind w:left="820" w:hanging="236"/>
        <w:spacing w:after="0"/>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 HELEN L. SHAN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31121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31121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October 30, 2018</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amp;"/>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0"/>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5"/>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Roman"/>
      <w:start w:val="3"/>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lvl w:ilvl="1">
      <w:lvlJc w:val="left"/>
      <w:lvlText w:val="(%2)"/>
      <w:numFmt w:val="decimal"/>
      <w:start w:val="1"/>
    </w:lvl>
  </w:abstractNum>
  <w:abstractNum w:abstractNumId="22">
    <w:nsid w:val="22221A70"/>
    <w:multiLevelType w:val="hybridMultilevel"/>
    <w:lvl w:ilvl="0">
      <w:lvlJc w:val="left"/>
      <w:lvlText w:val="%1."/>
      <w:numFmt w:val="decimal"/>
      <w:start w:val="8"/>
    </w:lvl>
    <w:lvl w:ilvl="1">
      <w:lvlJc w:val="left"/>
      <w:lvlText w:val="%2"/>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4"/>
    </w:lvl>
  </w:abstractNum>
  <w:abstractNum w:abstractNumId="25">
    <w:nsid w:val="614FD4A1"/>
    <w:multiLevelType w:val="hybridMultilevel"/>
    <w:lvl w:ilvl="0">
      <w:lvlJc w:val="left"/>
      <w:lvlText w:val="%1."/>
      <w:numFmt w:val="decimal"/>
      <w:start w:val="15"/>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20"/>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lowerLetter"/>
      <w:start w:val="1"/>
    </w:lvl>
    <w:lvl w:ilvl="1">
      <w:lvlJc w:val="left"/>
      <w:lvlText w:val="%2."/>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95" Type="http://schemas.openxmlformats.org/officeDocument/2006/relationships/hyperlink" Target="http://www.sec.gov/Archives/edgar/data/1013237/0000950112-96-002172.txt" TargetMode="External"/><Relationship Id="rId96" Type="http://schemas.openxmlformats.org/officeDocument/2006/relationships/hyperlink" Target="http://www.sec.gov/Archives/edgar/data/1013237/000101323701500062/exhibit3_12.htm" TargetMode="External"/><Relationship Id="rId97" Type="http://schemas.openxmlformats.org/officeDocument/2006/relationships/hyperlink" Target="http://www.sec.gov/Archives/edgar/data/1013237/000143774911009546/ex3-1.htm" TargetMode="External"/><Relationship Id="rId98" Type="http://schemas.openxmlformats.org/officeDocument/2006/relationships/hyperlink" Target="http://www.sec.gov/Archives/edgar/data/1013237/000143774918016673/ex_123329.htm" TargetMode="External"/><Relationship Id="rId99" Type="http://schemas.openxmlformats.org/officeDocument/2006/relationships/hyperlink" Target="http://www.sec.gov/Archives/edgar/data/1013237/000119312504192500/ddef14a.htm" TargetMode="External"/><Relationship Id="rId100" Type="http://schemas.openxmlformats.org/officeDocument/2006/relationships/hyperlink" Target="http://www.sec.gov/Archives/edgar/data/1013237/000119312510274624/ddefr14a.htm#tx105689_29" TargetMode="External"/><Relationship Id="rId101" Type="http://schemas.openxmlformats.org/officeDocument/2006/relationships/hyperlink" Target="http://www.sec.gov/Archives/edgar/data/1013237/000143774917021030/ex_102391.htm" TargetMode="External"/><Relationship Id="rId102" Type="http://schemas.openxmlformats.org/officeDocument/2006/relationships/hyperlink" Target="http://www.sec.gov/Archives/edgar/data/1013237/000119312508220394/ddef14a.htm#tx59473_27" TargetMode="External"/><Relationship Id="rId103" Type="http://schemas.openxmlformats.org/officeDocument/2006/relationships/hyperlink" Target="http://www.sec.gov/Archives/edgar/data/1013237/000143774917021030/ex_102392.htm" TargetMode="External"/><Relationship Id="rId104" Type="http://schemas.openxmlformats.org/officeDocument/2006/relationships/hyperlink" Target="http://www.sec.gov/Archives/edgar/data/1013237/000143774918000456/ex_102732.htm" TargetMode="External"/><Relationship Id="rId105" Type="http://schemas.openxmlformats.org/officeDocument/2006/relationships/hyperlink" Target="http://www.sec.gov/Archives/edgar/data/1013237/000143774918013171/ex_117409.htm" TargetMode="External"/><Relationship Id="rId106" Type="http://schemas.openxmlformats.org/officeDocument/2006/relationships/hyperlink" Target="http://www.sec.gov/Archives/edgar/data/1013237/000143774918013171/ex_117410.htm" TargetMode="External"/><Relationship Id="rId107" Type="http://schemas.openxmlformats.org/officeDocument/2006/relationships/hyperlink" Target="http://www.sec.gov/Archives/edgar/data/1013237/000143774918006528/ex_109818.htm" TargetMode="External"/><Relationship Id="rId108" Type="http://schemas.openxmlformats.org/officeDocument/2006/relationships/hyperlink" Target="http://www.sec.gov/Archives/edgar/data/1013237/0001437749170049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2020-01-12T01:10:22Z</dcterms:created>
  <dcterms:modified xsi:type="dcterms:W3CDTF">2020-01-12T01:10:22Z</dcterms:modified>
</cp:coreProperties>
</file>