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4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 w:after="12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24,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FactSet Research Systems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948" w:type="dxa"/>
        <w:jc w:val="center"/>
        <w:tblInd w:w="0" w:type="dxa"/>
        <w:tblLayout w:type="fixed"/>
        <w:tblCellMar>
          <w:top w:w="28" w:type="dxa"/>
          <w:left w:w="28" w:type="dxa"/>
          <w:bottom w:w="28" w:type="dxa"/>
          <w:right w:w="28" w:type="dxa"/>
        </w:tblCellMar>
      </w:tblPr>
      <w:tblGrid>
        <w:gridCol w:w="888"/>
        <w:gridCol w:w="780"/>
        <w:gridCol w:w="791"/>
        <w:gridCol w:w="109"/>
        <w:gridCol w:w="109"/>
        <w:gridCol w:w="109"/>
        <w:gridCol w:w="394"/>
        <w:gridCol w:w="394"/>
        <w:gridCol w:w="398"/>
        <w:gridCol w:w="109"/>
        <w:gridCol w:w="109"/>
        <w:gridCol w:w="109"/>
        <w:gridCol w:w="481"/>
        <w:gridCol w:w="481"/>
        <w:gridCol w:w="687"/>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1-11869</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13-3362547</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45 Glover Avenue</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Norwalk, Connecticut 06850</w:t>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lineRule="auto" w:line="288" w:before="0" w:after="12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(203) 810-1000</w:t>
      </w:r>
    </w:p>
    <w:p>
      <w:pPr>
        <w:pStyle w:val="TextBody"/>
        <w:bidi w:val="0"/>
        <w:spacing w:lineRule="auto" w:line="288" w:before="0" w:after="3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9"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158" w:type="dxa"/>
        <w:jc w:val="left"/>
        <w:tblInd w:w="0" w:type="dxa"/>
        <w:tblLayout w:type="fixed"/>
        <w:tblCellMar>
          <w:top w:w="28" w:type="dxa"/>
          <w:left w:w="28" w:type="dxa"/>
          <w:bottom w:w="28" w:type="dxa"/>
          <w:right w:w="28" w:type="dxa"/>
        </w:tblCellMar>
      </w:tblPr>
      <w:tblGrid>
        <w:gridCol w:w="999"/>
        <w:gridCol w:w="875"/>
        <w:gridCol w:w="885"/>
        <w:gridCol w:w="564"/>
        <w:gridCol w:w="564"/>
        <w:gridCol w:w="56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FDS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 LLC</w:t>
            </w:r>
          </w:p>
        </w:tc>
      </w:tr>
      <w:tr>
        <w:trPr/>
        <w:tc>
          <w:tcPr>
            <w:tcW w:w="2759"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9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7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319"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 </w:t>
      </w:r>
    </w:p>
    <w:p>
      <w:pPr>
        <w:pStyle w:val="TextBody"/>
        <w:bidi w:val="0"/>
        <w:spacing w:lineRule="auto" w:line="319" w:before="120" w:after="2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 Results of Operations and Financial Condition</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2026, FactSet Research Systems Inc. ("FactSet" or the "Company") issued a press release announcing its results for the three and twelve months ended August 31, 2026. A copy of the press release is furnished as Exhibit 99.1 hereto and incorporated by reference herein. The information furnished pursuant to this Item 2.02 (Results of Operations and Financial Condition), including Exhibit 99.1,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 except as shall be expressly set forth by specific reference in such a filing.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2026, the Board of Directors (the “Board”) of FactSet approved and adopted amendments to the Company’s amended and restated by-laws (as amended and restated, the “Amended and Restated By-laws”), which became effective the same day. The amendments contained in the Amended and Restated By-laws: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allow the Board to delegate to its committees all the powers and authority of the Board in the management of the business and affairs of the Company as allowed under the Delaware General Corporation Law;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update certain procedural and disclosure requirements relating to the information and timing requirements of the advance notice of nominations and other business at meetings of shareholders;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make certain conforming and clarifying revisions, including to provisions related to appointment of officers and defined terms used throughout.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By-laws does not purport to be complete and is qualified in its entirety by reference to the full text of the Amended and Restated By-laws, a copy of which is attached hereto as Exhibit 3.1 and is incorporated by reference herein.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600"/>
        <w:gridCol w:w="2600"/>
        <w:gridCol w:w="370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mendedandrestatedby-laws.htm">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FactSet Research Systems Inc.</w:t>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100" w:after="100"/>
              <w:jc w:val="left"/>
              <w:rPr/>
            </w:pPr>
            <w:hyperlink w:anchor="fdsq4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of FactSet Research Systems Inc., dated September 30, 2026, announcing its results for the three and twelve months ended August 31, 2026</w:t>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200"/>
        <w:ind w:left="0" w:right="0" w:firstLine="540"/>
        <w:jc w:val="center"/>
        <w:rPr/>
      </w:pPr>
      <w:r>
        <w:rPr/>
      </w:r>
    </w:p>
    <w:p>
      <w:pPr>
        <w:pStyle w:val="TextBody"/>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687"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359"/>
        <w:gridCol w:w="359"/>
        <w:gridCol w:w="359"/>
        <w:gridCol w:w="359"/>
        <w:gridCol w:w="359"/>
        <w:gridCol w:w="359"/>
        <w:gridCol w:w="1202"/>
        <w:gridCol w:w="1202"/>
        <w:gridCol w:w="17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629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p>
            <w:pPr>
              <w:pStyle w:val="TableContents"/>
              <w:bidi w:val="0"/>
              <w:spacing w:before="0" w:after="0"/>
              <w:jc w:val="left"/>
              <w:rPr/>
            </w:pPr>
            <w:r>
              <w:rPr/>
            </w:r>
          </w:p>
        </w:tc>
      </w:tr>
      <w:tr>
        <w:trPr/>
        <w:tc>
          <w:tcPr>
            <w:tcW w:w="1739"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654" w:type="dxa"/>
            <w:gridSpan w:val="6"/>
            <w:tcBorders/>
            <w:tcMar>
              <w:top w:w="0" w:type="dxa"/>
              <w:left w:w="0" w:type="dxa"/>
              <w:bottom w:w="0" w:type="dxa"/>
              <w:right w:w="0" w:type="dxa"/>
            </w:tcMar>
            <w:vAlign w:val="center"/>
          </w:tcPr>
          <w:p>
            <w:pPr>
              <w:pStyle w:val="TableContents"/>
              <w:bidi w:val="0"/>
              <w:spacing w:before="100" w:after="100"/>
              <w:jc w:val="left"/>
              <w:rPr/>
            </w:pPr>
            <w:r>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6"/>
            <w:tcBorders/>
            <w:tcMar>
              <w:top w:w="0" w:type="dxa"/>
              <w:left w:w="0" w:type="dxa"/>
              <w:bottom w:w="0" w:type="dxa"/>
              <w:right w:w="0" w:type="dxa"/>
            </w:tcMar>
            <w:vAlign w:val="center"/>
          </w:tcPr>
          <w:p>
            <w:pPr>
              <w:pStyle w:val="TableContents"/>
              <w:bidi w:val="0"/>
              <w:spacing w:before="100" w:after="100"/>
              <w:jc w:val="left"/>
              <w:rPr/>
            </w:pPr>
            <w:r>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7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WARREN</w:t>
            </w:r>
          </w:p>
        </w:tc>
      </w:tr>
      <w:tr>
        <w:trPr/>
        <w:tc>
          <w:tcPr>
            <w:tcW w:w="1739"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077" w:type="dxa"/>
            <w:gridSpan w:val="3"/>
            <w:tcBorders/>
            <w:tcMar>
              <w:top w:w="0" w:type="dxa"/>
              <w:left w:w="0" w:type="dxa"/>
              <w:bottom w:w="0" w:type="dxa"/>
              <w:right w:w="0" w:type="dxa"/>
            </w:tcMar>
            <w:vAlign w:val="center"/>
          </w:tcPr>
          <w:p>
            <w:pPr>
              <w:pStyle w:val="TableContents"/>
              <w:bidi w:val="0"/>
              <w:spacing w:before="100" w:after="100"/>
              <w:jc w:val="left"/>
              <w:rPr/>
            </w:pPr>
            <w:r>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100" w:after="100"/>
              <w:jc w:val="left"/>
              <w:rPr/>
            </w:pPr>
            <w:r>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Warren</w:t>
              <w:br/>
              <w:t>Executive Vice President,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40" w:before="92" w:after="283"/>
        <w:ind w:left="0" w:right="0" w:hanging="3"/>
        <w:jc w:val="center"/>
        <w:rPr>
          <w:rFonts w:ascii="Times New Roman;serif" w:hAnsi="Times New Roman;serif"/>
          <w:b w:val="false"/>
          <w:color w:val="000000"/>
          <w:sz w:val="20"/>
        </w:rPr>
      </w:pPr>
      <w:r>
        <w:rPr>
          <w:rFonts w:ascii="Times New Roman;serif" w:hAnsi="Times New Roman;serif"/>
          <w:b w:val="false"/>
          <w:color w:val="000000"/>
          <w:sz w:val="20"/>
        </w:rPr>
        <w:t>FACTSET RESEARCH SYSTEMS INC. AMENDED AND RESTATED BY-LAWS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amended September 1, 2018, September 27, 2021, January 10, 2023, September 17, 2024,</w:t>
      </w:r>
    </w:p>
    <w:p>
      <w:pPr>
        <w:pStyle w:val="TextBody"/>
        <w:bidi w:val="0"/>
        <w:spacing w:lineRule="auto" w:line="288" w:before="3" w:after="283"/>
        <w:jc w:val="center"/>
        <w:rPr>
          <w:rFonts w:ascii="Times New Roman;serif" w:hAnsi="Times New Roman;serif"/>
          <w:b w:val="false"/>
          <w:color w:val="000000"/>
          <w:sz w:val="20"/>
        </w:rPr>
      </w:pPr>
      <w:r>
        <w:rPr>
          <w:rFonts w:ascii="Times New Roman;serif" w:hAnsi="Times New Roman;serif"/>
          <w:b w:val="false"/>
          <w:color w:val="000000"/>
          <w:sz w:val="20"/>
        </w:rPr>
        <w:t>September 16, 2025, and September 24, 2026</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49" w:type="dxa"/>
        <w:jc w:val="center"/>
        <w:tblInd w:w="0" w:type="dxa"/>
        <w:tblLayout w:type="fixed"/>
        <w:tblCellMar>
          <w:top w:w="28" w:type="dxa"/>
          <w:left w:w="28" w:type="dxa"/>
          <w:bottom w:w="28" w:type="dxa"/>
          <w:right w:w="28" w:type="dxa"/>
        </w:tblCellMar>
      </w:tblPr>
      <w:tblGrid>
        <w:gridCol w:w="374"/>
        <w:gridCol w:w="328"/>
        <w:gridCol w:w="332"/>
        <w:gridCol w:w="1873"/>
        <w:gridCol w:w="1873"/>
        <w:gridCol w:w="1879"/>
        <w:gridCol w:w="114"/>
        <w:gridCol w:w="114"/>
        <w:gridCol w:w="162"/>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I</w:t>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Office</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Offices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II</w:t>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Meetings of Stockholders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Meeting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Meeting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 Requested Meetings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Meetings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Quorum</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of Business; Notice of Stockholder Business and Nominations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Stockholders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Inspectors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Action Without a Meeting by Written Consent</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Proxy Access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Invalid Nominations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III</w:t>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Board of Directors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Powers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Term of Office, Qualifications and Election</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Meeting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Meetings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Meetings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Meetings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Quorum and Manner of Acting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Removal of Directors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Vacancies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Action without Meeting</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 in Meetings by Telephone and Other Equipment</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IV</w:t>
            </w:r>
          </w:p>
        </w:tc>
      </w:tr>
      <w:tr>
        <w:trPr/>
        <w:tc>
          <w:tcPr>
            <w:tcW w:w="7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and Other Committees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and Other Committees</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Committee: General</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Committees: General</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51" w:type="dxa"/>
        <w:jc w:val="center"/>
        <w:tblInd w:w="0" w:type="dxa"/>
        <w:tblLayout w:type="fixed"/>
        <w:tblCellMar>
          <w:top w:w="28" w:type="dxa"/>
          <w:left w:w="28" w:type="dxa"/>
          <w:bottom w:w="28" w:type="dxa"/>
          <w:right w:w="28" w:type="dxa"/>
        </w:tblCellMar>
      </w:tblPr>
      <w:tblGrid>
        <w:gridCol w:w="374"/>
        <w:gridCol w:w="328"/>
        <w:gridCol w:w="332"/>
        <w:gridCol w:w="2697"/>
        <w:gridCol w:w="2697"/>
        <w:gridCol w:w="2706"/>
        <w:gridCol w:w="122"/>
        <w:gridCol w:w="122"/>
        <w:gridCol w:w="173"/>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Officers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Qualifications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Removal</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Vacancies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President</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Vice Presidents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Assistant Treasurers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Assistant Secretaries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15.</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VI</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Checks, Drafts, Bank, Accounts, Etc.</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Checks, Drafts, etc</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Special Bank Accounts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Proxies in Respect of Securities of Other Corporations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VII</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and Their Transfer—Examination of Books</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Certificates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Books of Account and Record of Stockholders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of Shares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Regulations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Lost, Destroyed or Mutilated Certificates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Right of Inspection</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Fixing of Record Date</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VIII</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Dividends </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IX</w:t>
            </w:r>
          </w:p>
        </w:tc>
      </w:tr>
      <w:tr>
        <w:trPr/>
        <w:tc>
          <w:tcPr>
            <w:tcW w:w="9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Indemnification</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to Indemnification</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Contracts and Funding</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Not Exclusive Right</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Advancement of Expenses; Procedures; Presumptions and Effect of Certain Proceedings; Remedies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65" w:type="dxa"/>
        <w:jc w:val="center"/>
        <w:tblInd w:w="0" w:type="dxa"/>
        <w:tblLayout w:type="fixed"/>
        <w:tblCellMar>
          <w:top w:w="28" w:type="dxa"/>
          <w:left w:w="28" w:type="dxa"/>
          <w:bottom w:w="28" w:type="dxa"/>
          <w:right w:w="28" w:type="dxa"/>
        </w:tblCellMar>
      </w:tblPr>
      <w:tblGrid>
        <w:gridCol w:w="336"/>
        <w:gridCol w:w="295"/>
        <w:gridCol w:w="298"/>
        <w:gridCol w:w="854"/>
        <w:gridCol w:w="854"/>
        <w:gridCol w:w="856"/>
        <w:gridCol w:w="109"/>
        <w:gridCol w:w="109"/>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Acts of Disinterested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X</w:t>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w:t>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ARTICLE XI</w:t>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Miscellaneous</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ARTICLE XII</w:t>
            </w:r>
          </w:p>
        </w:tc>
      </w:tr>
      <w:tr>
        <w:trPr/>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Amendments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8" w:after="283"/>
        <w:jc w:val="center"/>
        <w:rPr>
          <w:rFonts w:ascii="Times New Roman;serif" w:hAnsi="Times New Roman;serif"/>
          <w:b w:val="false"/>
          <w:color w:val="000000"/>
          <w:sz w:val="20"/>
        </w:rPr>
      </w:pPr>
      <w:r>
        <w:rPr>
          <w:rFonts w:ascii="Times New Roman;serif" w:hAnsi="Times New Roman;serif"/>
          <w:b w:val="false"/>
          <w:color w:val="000000"/>
          <w:sz w:val="20"/>
        </w:rPr>
        <w:t>ARTICLE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Offices</w:t>
      </w:r>
    </w:p>
    <w:p>
      <w:pPr>
        <w:pStyle w:val="TextBody"/>
        <w:bidi w:val="0"/>
        <w:spacing w:lineRule="auto" w:line="288" w:before="237"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Registered Office</w:t>
      </w:r>
      <w:r>
        <w:rPr>
          <w:rFonts w:ascii="Times New Roman;serif" w:hAnsi="Times New Roman;serif"/>
          <w:b w:val="false"/>
          <w:color w:val="000000"/>
          <w:sz w:val="20"/>
        </w:rPr>
        <w:t>. The location of the registered office of FactSet Research Systems Inc. (the “</w:t>
      </w:r>
      <w:r>
        <w:rPr>
          <w:rFonts w:ascii="Times New Roman;serif" w:hAnsi="Times New Roman;serif"/>
          <w:b w:val="false"/>
          <w:color w:val="000000"/>
          <w:sz w:val="20"/>
          <w:u w:val="single"/>
        </w:rPr>
        <w:t>Corporation</w:t>
      </w:r>
      <w:r>
        <w:rPr>
          <w:color w:val="000000"/>
        </w:rPr>
        <w:t>”</w:t>
      </w:r>
      <w:r>
        <w:rPr>
          <w:rFonts w:ascii="Times New Roman;serif" w:hAnsi="Times New Roman;serif"/>
          <w:b w:val="false"/>
          <w:color w:val="000000"/>
          <w:sz w:val="20"/>
        </w:rPr>
        <w:t>) within the State of Delaware, the name of the registered agent of the Corporation at such office and the post office address to which the Secretary of State of the State of Delaware shall mail a copy of process in any action or proceeding against the Corporation that may be served upon him or her shall be in each case as stated in the Certificate of Incorporation of the Corporation (the “</w:t>
      </w:r>
      <w:r>
        <w:rPr>
          <w:rFonts w:ascii="Times New Roman;serif" w:hAnsi="Times New Roman;serif"/>
          <w:b w:val="false"/>
          <w:color w:val="000000"/>
          <w:sz w:val="20"/>
          <w:u w:val="single"/>
        </w:rPr>
        <w:t>Certificate</w:t>
      </w:r>
      <w:r>
        <w:rPr>
          <w:color w:val="000000"/>
        </w:rPr>
        <w:t xml:space="preserve"> </w:t>
      </w:r>
      <w:r>
        <w:rPr>
          <w:rFonts w:ascii="Times New Roman;serif" w:hAnsi="Times New Roman;serif"/>
          <w:b w:val="false"/>
          <w:color w:val="000000"/>
          <w:sz w:val="20"/>
          <w:u w:val="single"/>
        </w:rPr>
        <w:t>of Incorporation</w:t>
      </w:r>
      <w:r>
        <w:rPr>
          <w:color w:val="000000"/>
        </w:rPr>
        <w:t>”</w:t>
      </w:r>
      <w:r>
        <w:rPr>
          <w:rFonts w:ascii="Times New Roman;serif" w:hAnsi="Times New Roman;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Other Offices</w:t>
      </w:r>
      <w:r>
        <w:rPr>
          <w:rFonts w:ascii="Times New Roman;serif" w:hAnsi="Times New Roman;serif"/>
          <w:b w:val="false"/>
          <w:color w:val="000000"/>
          <w:sz w:val="20"/>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9"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II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Meetings of Stockholders</w:t>
      </w:r>
    </w:p>
    <w:p>
      <w:pPr>
        <w:pStyle w:val="TextBody"/>
        <w:bidi w:val="0"/>
        <w:spacing w:before="8" w:after="283"/>
        <w:jc w:val="left"/>
        <w:rPr/>
      </w:pPr>
      <w:r>
        <w:rPr/>
      </w:r>
    </w:p>
    <w:p>
      <w:pPr>
        <w:pStyle w:val="TextBody"/>
        <w:bidi w:val="0"/>
        <w:spacing w:lineRule="auto" w:line="288" w:before="91"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Annual Meeting</w:t>
      </w:r>
      <w:r>
        <w:rPr>
          <w:rFonts w:ascii="Times New Roman;serif" w:hAnsi="Times New Roman;serif"/>
          <w:b w:val="false"/>
          <w:color w:val="000000"/>
          <w:sz w:val="20"/>
        </w:rPr>
        <w:t>. The annual meeting of the stockholders of the Corporation for the election of directors and for the transaction of such other business as may properly come before the meeting shall be held on such date as may be fixed from time to time by resolution of the Board of Directors, at such place within or without the State of Delaware (including by means of remote communication) as shall be designated by the Board of Directors.</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Special Meeting</w:t>
      </w:r>
      <w:r>
        <w:rPr>
          <w:rFonts w:ascii="Times New Roman;serif" w:hAnsi="Times New Roman;serif"/>
          <w:b w:val="false"/>
          <w:color w:val="000000"/>
          <w:sz w:val="20"/>
        </w:rPr>
        <w:t>. Except as otherwise required by law or the Certificate of Incorporation, and subject to the rights of the holders of any outstanding series of preferred stock, special meetings of the stockholders for any purpose or purposes (a) may be called at any time by the Chair of the Board of Directors, the Chief Executive Officer or the President, if any, of the Corporation or the majority of the Board of Directors and (b) shall be called by the Secretary of the Corporation (the “</w:t>
      </w:r>
      <w:r>
        <w:rPr>
          <w:rFonts w:ascii="Times New Roman;serif" w:hAnsi="Times New Roman;serif"/>
          <w:b w:val="false"/>
          <w:color w:val="000000"/>
          <w:sz w:val="20"/>
          <w:u w:val="single"/>
        </w:rPr>
        <w:t>Secretary</w:t>
      </w:r>
      <w:r>
        <w:rPr>
          <w:color w:val="000000"/>
        </w:rPr>
        <w:t>”</w:t>
      </w:r>
      <w:r>
        <w:rPr>
          <w:rFonts w:ascii="Times New Roman;serif" w:hAnsi="Times New Roman;serif"/>
          <w:b w:val="false"/>
          <w:color w:val="000000"/>
          <w:sz w:val="20"/>
        </w:rPr>
        <w:t>) upon a written demand (a “</w:t>
      </w:r>
      <w:r>
        <w:rPr>
          <w:rFonts w:ascii="Times New Roman;serif" w:hAnsi="Times New Roman;serif"/>
          <w:b w:val="false"/>
          <w:color w:val="000000"/>
          <w:sz w:val="20"/>
          <w:u w:val="single"/>
        </w:rPr>
        <w:t>Special Meeting Request</w:t>
      </w:r>
      <w:r>
        <w:rPr>
          <w:color w:val="000000"/>
        </w:rPr>
        <w:t>”</w:t>
      </w:r>
      <w:r>
        <w:rPr>
          <w:rFonts w:ascii="Times New Roman;serif" w:hAnsi="Times New Roman;serif"/>
          <w:b w:val="false"/>
          <w:color w:val="000000"/>
          <w:sz w:val="20"/>
        </w:rPr>
        <w:t>) signed, dated and delivered to the Secretary by an Eligible Holder (as hereinafter defined) or group of Eligible Holders holding at least 25% of all shares of capital stock of the Corporation issued and outstanding and entitled to vote on any issue proposed to be considered at such meeting (the “</w:t>
      </w:r>
      <w:r>
        <w:rPr>
          <w:rFonts w:ascii="Times New Roman;serif" w:hAnsi="Times New Roman;serif"/>
          <w:b w:val="false"/>
          <w:color w:val="000000"/>
          <w:sz w:val="20"/>
          <w:u w:val="single"/>
        </w:rPr>
        <w:t>Requisite Holders</w:t>
      </w:r>
      <w:r>
        <w:rPr>
          <w:color w:val="000000"/>
        </w:rPr>
        <w:t>”</w:t>
      </w:r>
      <w:r>
        <w:rPr>
          <w:rFonts w:ascii="Times New Roman;serif" w:hAnsi="Times New Roman;serif"/>
          <w:b w:val="false"/>
          <w:color w:val="000000"/>
          <w:sz w:val="20"/>
        </w:rPr>
        <w:t>) that complies with the requirements of Article II, Section 3. “</w:t>
      </w:r>
      <w:r>
        <w:rPr>
          <w:rFonts w:ascii="Times New Roman;serif" w:hAnsi="Times New Roman;serif"/>
          <w:b w:val="false"/>
          <w:color w:val="000000"/>
          <w:sz w:val="20"/>
          <w:u w:val="single"/>
        </w:rPr>
        <w:t>Eligible Holder</w:t>
      </w:r>
      <w:r>
        <w:rPr>
          <w:color w:val="000000"/>
        </w:rPr>
        <w:t xml:space="preserve">” </w:t>
      </w:r>
      <w:r>
        <w:rPr>
          <w:rFonts w:ascii="Times New Roman;serif" w:hAnsi="Times New Roman;serif"/>
          <w:b w:val="false"/>
          <w:color w:val="000000"/>
          <w:sz w:val="20"/>
        </w:rPr>
        <w:t xml:space="preserve">means any record holder of the shares of capital stock of the Corporation then entitled to vote for the election of directors that (i) is making such request on its own behalf (and not on behalf of a beneficial owner of such stock) or (ii) is making such request on behalf of a beneficial owner of such capital stock;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in the case of this clause (ii), such request must be accompanied by proof of such beneficial ownership in a form that would be sufficient to prove eligibility to submit a stockholder proposal under paragraph (b) of Rule 14a-8 promulgated under the Securities Exchange Act of 1934, as amended (such act, and any successor statute thereto, and the rules and regulations promulgated thereunder are collectively referred to herein as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any successor rule. Only such business as is specified in the Corporation’s notice of any special meeting of stockholders shall come before such meeting. A special meeting shall be held at such place, if any, and on such date and at such time as shall be fixed by the Board of Directors.</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Stockholder Requested Meetings</w:t>
      </w:r>
      <w:r>
        <w:rPr>
          <w:rFonts w:ascii="Times New Roman;serif" w:hAnsi="Times New Roman;serif"/>
          <w:b w:val="false"/>
          <w:color w:val="000000"/>
          <w:sz w:val="20"/>
        </w:rPr>
        <w:t>.</w:t>
      </w:r>
    </w:p>
    <w:p>
      <w:pPr>
        <w:pStyle w:val="TextBody"/>
        <w:bidi w:val="0"/>
        <w:spacing w:before="9" w:after="283"/>
        <w:jc w:val="left"/>
        <w:rPr/>
      </w:pPr>
      <w:r>
        <w:rPr/>
      </w:r>
    </w:p>
    <w:p>
      <w:pPr>
        <w:pStyle w:val="TextBody"/>
        <w:bidi w:val="0"/>
        <w:spacing w:lineRule="auto" w:line="288" w:before="92"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 xml:space="preserve">(a) In order for an Eligible Holder or group of Eligible Holders to request a special meeting of the stockholders, a Special Meeting Request shall be (i) made in accordance with the requirements of this Article II, Section 3(a), (ii) signed by each of the Requisite Holders (or their agents duly authorized in writing) and (iii) delivered to or mailed and received by the Secretary at the principal executive offices of the Corporation. A Special Meeting Request shall be ineffective if (A) it relates to an item of business that is not a proper subject for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2" w:after="120"/>
        <w:jc w:val="left"/>
        <w:rPr/>
      </w:pPr>
      <w:r>
        <w:rPr>
          <w:rFonts w:ascii="Times New Roman;serif" w:hAnsi="Times New Roman;serif"/>
          <w:b w:val="false"/>
          <w:color w:val="000000"/>
          <w:sz w:val="20"/>
        </w:rPr>
        <w:t>stockholder action under applicable law, (B) it relates to an item of business that is not a proper subject for stockholder action under the Certificate of Incorporation or these By-laws of the Corporation (these “</w:t>
      </w:r>
      <w:r>
        <w:rPr>
          <w:rFonts w:ascii="Times New Roman;serif" w:hAnsi="Times New Roman;serif"/>
          <w:b w:val="false"/>
          <w:color w:val="000000"/>
          <w:sz w:val="20"/>
          <w:u w:val="single"/>
        </w:rPr>
        <w:t>By-</w:t>
      </w:r>
      <w:r>
        <w:rPr>
          <w:color w:val="000000"/>
        </w:rPr>
        <w:t xml:space="preserve"> </w:t>
      </w:r>
      <w:r>
        <w:rPr>
          <w:rFonts w:ascii="Times New Roman;serif" w:hAnsi="Times New Roman;serif"/>
          <w:b w:val="false"/>
          <w:color w:val="000000"/>
          <w:sz w:val="20"/>
          <w:u w:val="single"/>
        </w:rPr>
        <w:t>laws</w:t>
      </w:r>
      <w:r>
        <w:rPr>
          <w:color w:val="000000"/>
        </w:rPr>
        <w:t>”</w:t>
      </w:r>
      <w:r>
        <w:rPr>
          <w:rFonts w:ascii="Times New Roman;serif" w:hAnsi="Times New Roman;serif"/>
          <w:b w:val="false"/>
          <w:color w:val="000000"/>
          <w:sz w:val="20"/>
        </w:rPr>
        <w:t>), (C) such request is delivered between the 61st day and 365th day after the earliest date of signature on an effective Special Meeting Request that has been delivered to the Secretary relating to an item of business (other than the election of directors) that is identical or substantially similar (a “</w:t>
      </w:r>
      <w:r>
        <w:rPr>
          <w:rFonts w:ascii="Times New Roman;serif" w:hAnsi="Times New Roman;serif"/>
          <w:b w:val="false"/>
          <w:color w:val="000000"/>
          <w:sz w:val="20"/>
          <w:u w:val="single"/>
        </w:rPr>
        <w:t>Similar Item</w:t>
      </w:r>
      <w:r>
        <w:rPr>
          <w:color w:val="000000"/>
        </w:rPr>
        <w:t>”</w:t>
      </w:r>
      <w:r>
        <w:rPr>
          <w:rFonts w:ascii="Times New Roman;serif" w:hAnsi="Times New Roman;serif"/>
          <w:b w:val="false"/>
          <w:color w:val="000000"/>
          <w:sz w:val="20"/>
        </w:rPr>
        <w:t>) to an item of business included in such request, (D) a Similar Item will be submitted for stockholder approval at any stockholder meeting to be held on or before the 90th day after the Secretary receives such Special Meeting Request or (E) a Similar Item has been presented at the most recent annual meeting or at any special meeting held within one year prior to receipt by the Secretary of such request. In addition, the Special Meeting Request shall (I) set forth the specific purpose of the meeting, the matters proposed (including the exact text of any such proposal or business, the text of any proposed resolutions and any proposed director(s) to be nominated or removed, as applicable) to be acted on at the special meeting and the reasons for conducting such business at the special meeting of stockholders, (II) bear the date of signature of each such Requisite Holder (or such agent) signing the Special Meeting Request, (III) contain the information required by Article II, Section 7(b) of these By-laws (as applicable) relating to the Eligible Holder, nominees for director (if applicable) or any proposal of other business to be considered at such special meeting (assuming the Eligible Holder was a stockholder making a proposal for other business or director nomination at an annual meeting of stockholders in accordance with Article II, Section 7(b) of these By-laws), (IV) set forth the name and address, as they appear in the Corporation’s books, of each Requisite Holder signing such Special Meeting Request (or on whose behalf the Special Meeting Request is signed), the class, series and number of all shares of capital stock of the Corporation which are owned of record or beneficially by each such Requisite Holder, and the nominee holder for, and number of, shares of capital stock owned by such Requisite Holder beneficially but not of record, (V) a representation that each such Requisite Holder intends to hold all shares of capital stock of the Corporation described in the immediately preceding clause (IV) through the date of the Stockholder Requested Meeting (as hereinafter defined) and (VI) an acknowledgement by each such Requisite Holder that any reduction in such Requisite Holder’s ownership of the shares of capital stock of the Corporation described in clause (IV) with respect to which a Special Meeting Request relates following the delivery of such Special Meeting Request to the Secretary shall constitute a revocation of such Special Meeting Request to the extent of such reduction.</w:t>
      </w:r>
    </w:p>
    <w:p>
      <w:pPr>
        <w:pStyle w:val="TextBody"/>
        <w:bidi w:val="0"/>
        <w:spacing w:lineRule="auto" w:line="288" w:before="92" w:after="120"/>
        <w:ind w:left="0" w:right="0" w:firstLine="1079"/>
        <w:jc w:val="left"/>
        <w:rPr/>
      </w:pPr>
      <w:r>
        <w:rPr>
          <w:rFonts w:ascii="Times New Roman;serif" w:hAnsi="Times New Roman;serif"/>
          <w:b w:val="false"/>
          <w:color w:val="000000"/>
          <w:sz w:val="20"/>
        </w:rPr>
        <w:t>(b) Such Requisite Holder shall further update and supplement the information provided to the Corporation in the Special Meeting Request or upon the Corporation’s request pursuant to Article II, Section 7(b) as needed, so that such information shall be true and correct as of the record date for such special meeting (the “</w:t>
      </w:r>
      <w:r>
        <w:rPr>
          <w:rFonts w:ascii="Times New Roman;serif" w:hAnsi="Times New Roman;serif"/>
          <w:b w:val="false"/>
          <w:color w:val="000000"/>
          <w:sz w:val="20"/>
          <w:u w:val="single"/>
        </w:rPr>
        <w:t>Meeting Record Date</w:t>
      </w:r>
      <w:r>
        <w:rPr>
          <w:color w:val="000000"/>
        </w:rPr>
        <w:t>”</w:t>
      </w:r>
      <w:r>
        <w:rPr>
          <w:rFonts w:ascii="Times New Roman;serif" w:hAnsi="Times New Roman;serif"/>
          <w:b w:val="false"/>
          <w:color w:val="000000"/>
          <w:sz w:val="20"/>
        </w:rPr>
        <w:t>) and as of the date that is the later of 10 business days before the Stockholder Requested Meeting (as defined below) or any adjournment or postponement thereof. Such update and supplement must be delivered to or mailed and received by the Secretary at the principal executive offices of the Corporation no later than five business days after the Meeting Record Date (in the case of an update or supplement required to be made as of the Meeting Record Date), and not later than seven business days before the date of the Stockholder Requested Meeting (as defined below) (in the case of an update or supplement required to be made as of 10 business days before the Stockholder Requested Meeting or any adjournment or postponement thereof). Any requesting stockholder may revoke his, her or its Special Meeting Request at any time prior to the special meeting by written revocation delivered to the Secretary; provided that if any such revocations are received by the Secretary or are deemed to have been made pursuant to clause (VI) of the last sentence of Article II, Section 3(a) of these By-laws and, as a result of such revocation(s), there are no longer unrevoked Special Meeting Requests from the Requisite Holders, the Board of Directors shall have the discretion to determine whether or not to revoke the notice of meeting. Any Special Meeting Request received after a revocation by the Secretary of a notice of a meeting shall be considered a request for a new special meeting.</w:t>
      </w:r>
    </w:p>
    <w:p>
      <w:pPr>
        <w:pStyle w:val="TextBody"/>
        <w:bidi w:val="0"/>
        <w:spacing w:lineRule="auto" w:line="288" w:before="0"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 xml:space="preserve">(c) The Board of Directors shall determine whether a purported Special Meeting Request satisfies the requirements set forth in Article II, Section 3(a), and the Secretary shall determine whether all other requirements set forth in Article II, Section 3 have been satisfied. If the Board of Directors or the Secretary determine that the Special Meeting Request was not properly made in accordance with Article II, Section 3 or, in the case of a stockholder proposal or director nomination, if the stockholder solicits proxies in support of such stockholder’s proposal or director nomination without having made the representation required by Article II, Section 7(b) of these By-laws, then the Secretary shall not be required to convene such requested special meeting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meeting shall not be held. Any determination made pursuant to this Article II, Section 3(c) shall be binding on the Corporation and its stockholders.</w:t>
      </w:r>
    </w:p>
    <w:p>
      <w:pPr>
        <w:pStyle w:val="TextBody"/>
        <w:bidi w:val="0"/>
        <w:spacing w:lineRule="auto" w:line="288" w:before="0" w:after="120"/>
        <w:ind w:left="0" w:right="0" w:firstLine="1079"/>
        <w:jc w:val="left"/>
        <w:rPr/>
      </w:pPr>
      <w:r>
        <w:rPr>
          <w:rFonts w:ascii="Times New Roman;serif" w:hAnsi="Times New Roman;serif"/>
          <w:b w:val="false"/>
          <w:color w:val="000000"/>
          <w:sz w:val="20"/>
        </w:rPr>
        <w:t>(d) In the case of any special meeting called by the Secretary upon the request of stockholders (a “</w:t>
      </w:r>
      <w:r>
        <w:rPr>
          <w:rFonts w:ascii="Times New Roman;serif" w:hAnsi="Times New Roman;serif"/>
          <w:b w:val="false"/>
          <w:color w:val="000000"/>
          <w:sz w:val="20"/>
          <w:u w:val="single"/>
        </w:rPr>
        <w:t>Stockholder Requested Meeting</w:t>
      </w:r>
      <w:r>
        <w:rPr>
          <w:color w:val="000000"/>
        </w:rPr>
        <w:t>”</w:t>
      </w:r>
      <w:r>
        <w:rPr>
          <w:rFonts w:ascii="Times New Roman;serif" w:hAnsi="Times New Roman;serif"/>
          <w:b w:val="false"/>
          <w:color w:val="000000"/>
          <w:sz w:val="20"/>
        </w:rPr>
        <w:t>), such meeting shall be held at such place, date and time as may be designated by the Board of Directors; provided, however, that the date of any Stockholder Requested Meeting shall be not more than 60 days nor less than 10 days after the Meeting Record Date</w:t>
      </w:r>
    </w:p>
    <w:p>
      <w:pPr>
        <w:pStyle w:val="TextBody"/>
        <w:bidi w:val="0"/>
        <w:spacing w:lineRule="auto" w:line="288" w:before="0"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(e) If none of the Eligible Holders who submitted a Special Meeting Request appears or sends a duly authorized agent to the Stockholder Requested Meeting to present the proposal(s) or business submitted by the stockholders for consideration at the special meeting, the Corporation need not present such matters for a vote, notwithstanding that proxies in respect of such matters may have been received by the Corporation.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Notice of Meetings</w:t>
      </w:r>
      <w:r>
        <w:rPr>
          <w:rFonts w:ascii="Times New Roman;serif" w:hAnsi="Times New Roman;serif"/>
          <w:b w:val="false"/>
          <w:color w:val="000000"/>
          <w:sz w:val="20"/>
        </w:rPr>
        <w:t>. Notice of the place, date and time of the holding of each annual and special meeting of the stockholders and the purpose or purposes thereof shall be given personally or by mail in a postage prepaid envelope to each stockholder entitled to vote at such meeting, not less than ten nor more than sixty days before the date of such meeting unless otherwise required by law, and, if mailed, it shall be directed to such stockholder at his or her address as it appears on the records of the Corporation, unless he or she shall have filed with the Secretary a written request that notices to him or her be mailed to some other address, in which case it shall be directed to him or her at such other address. Any such notice for any meeting other than the annual meeting of stockholders shall indicate that it is being issued at the direction of the Chair of the Board of Directors, the Chief Executive Officer, the President, if any, a majority of the Board of Directors or the Secretary, which notice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 Unless the Board of Directors shall fix a new record date for an adjourned meeting, notice of such adjourned meeting need not be given if the time and place to which the meeting shall be adjourned were announced at the meeting at which the adjournment is taken or are provided in any other manner permitted by the Delaware General Corporation Law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pStyle w:val="TextBody"/>
        <w:bidi w:val="0"/>
        <w:spacing w:before="0" w:after="0"/>
        <w:jc w:val="left"/>
        <w:rPr/>
      </w:pPr>
      <w:r>
        <w:rPr/>
      </w:r>
    </w:p>
    <w:p>
      <w:pPr>
        <w:pStyle w:val="TextBody"/>
        <w:bidi w:val="0"/>
        <w:spacing w:lineRule="auto" w:line="288" w:before="81" w:after="283"/>
        <w:ind w:left="0" w:right="0" w:firstLine="720"/>
        <w:jc w:val="left"/>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Quorum</w:t>
      </w:r>
      <w:r>
        <w:rPr>
          <w:rFonts w:ascii="Times New Roman;serif" w:hAnsi="Times New Roman;serif"/>
          <w:b w:val="false"/>
          <w:color w:val="000000"/>
          <w:sz w:val="20"/>
        </w:rPr>
        <w:t>. Except as otherwise required by law or the Certificate of Incorporation, at all meetings of the stockholders, the presence in person or by proxy of the holders of a majority of the shares of stock of the Corporation issued and outstanding and entitled to vote shall constitute a quorum for the transaction of any business. In the absence of a quorum, the holders of a majority of the shares of stock present in person or by proxy and entitled to vote, or if no stockholder entitled to vote is present, then any officer of the Corporation, may adjourn the meeting from time to time. At any such adjourned meeting at which a quorum may be present, any business may be transacted which might have been transacted at the meeting as originally called.</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Organization</w:t>
      </w:r>
      <w:r>
        <w:rPr>
          <w:rFonts w:ascii="Times New Roman;serif" w:hAnsi="Times New Roman;serif"/>
          <w:b w:val="false"/>
          <w:color w:val="000000"/>
          <w:sz w:val="20"/>
        </w:rPr>
        <w:t>. At each meeting of the stockholders, the Chair of the Board of Directors, if any, or in his or her absence or inability to act, the Chief Executive Officer, or in his or her absence or inability to act, the President, if any, or in his or her absence or inability to act, any person chosen by a the Board of Directors, shall act as chair of the meeting. The Secretary, or, in his or her absence or inability to act, an Assistant Secretary or any other officer appointed by the chair of the meeting, shall act as secretary of the meeting and keep the minutes thereof.</w:t>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Section 7. </w:t>
      </w:r>
      <w:r>
        <w:rPr>
          <w:rFonts w:ascii="Times New Roman;serif" w:hAnsi="Times New Roman;serif"/>
          <w:b w:val="false"/>
          <w:color w:val="000000"/>
          <w:sz w:val="20"/>
          <w:u w:val="single"/>
        </w:rPr>
        <w:t>Order of Business; Notice of Stockholder Business and Nominations</w:t>
      </w:r>
      <w:r>
        <w:rPr>
          <w:rFonts w:ascii="Times New Roman;serif" w:hAnsi="Times New Roman;serif"/>
          <w:b w:val="false"/>
          <w:color w:val="000000"/>
          <w:sz w:val="20"/>
        </w:rPr>
        <w:t>.</w:t>
      </w:r>
    </w:p>
    <w:p>
      <w:pPr>
        <w:pStyle w:val="TextBody"/>
        <w:bidi w:val="0"/>
        <w:spacing w:before="7" w:after="283"/>
        <w:jc w:val="left"/>
        <w:rPr/>
      </w:pPr>
      <w:r>
        <w:rPr/>
      </w:r>
    </w:p>
    <w:p>
      <w:pPr>
        <w:pStyle w:val="TextBody"/>
        <w:bidi w:val="0"/>
        <w:spacing w:lineRule="auto" w:line="283" w:before="92" w:after="283"/>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Order of Business</w:t>
      </w:r>
      <w:r>
        <w:rPr>
          <w:rFonts w:ascii="Times New Roman;serif" w:hAnsi="Times New Roman;serif"/>
          <w:b w:val="false"/>
          <w:color w:val="000000"/>
          <w:sz w:val="20"/>
        </w:rPr>
        <w:t>. The order of business at all meetings of the stockholders shall be as determined by the chair of the meeting.</w:t>
      </w:r>
    </w:p>
    <w:p>
      <w:pPr>
        <w:pStyle w:val="TextBody"/>
        <w:bidi w:val="0"/>
        <w:spacing w:before="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Annual Meetings of Stockholders</w:t>
      </w:r>
      <w:r>
        <w:rPr>
          <w:rFonts w:ascii="Times New Roman;serif" w:hAnsi="Times New Roman;serif"/>
          <w:b w:val="false"/>
          <w:color w:val="000000"/>
          <w:sz w:val="20"/>
        </w:rPr>
        <w:t>.</w:t>
      </w:r>
    </w:p>
    <w:p>
      <w:pPr>
        <w:pStyle w:val="TextBody"/>
        <w:bidi w:val="0"/>
        <w:spacing w:before="7" w:after="283"/>
        <w:jc w:val="left"/>
        <w:rPr/>
      </w:pPr>
      <w:r>
        <w:rPr/>
      </w:r>
    </w:p>
    <w:p>
      <w:pPr>
        <w:pStyle w:val="TextBody"/>
        <w:bidi w:val="0"/>
        <w:spacing w:lineRule="auto" w:line="288" w:before="92"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 Nominations of persons for election to the Board of Directors and the proposal of business to be considered by the stockholders of the Corporation may be made at an annual meeting of stockholders (A) pursuant to the Corporation’s notice of meeting delivered pursuant to Article II, Section 4, (B) by or at the direction of the Chair of the Board of Directors or (C) by any stockholder who is entitled to vote at the meeting, who complied with the procedures set forth in Article II, Section 7(b)(ii), and who was a stockholder of record at the time such notice is delivered to the Secretary.</w:t>
      </w:r>
    </w:p>
    <w:p>
      <w:pPr>
        <w:pStyle w:val="TextBody"/>
        <w:bidi w:val="0"/>
        <w:spacing w:lineRule="auto" w:line="288" w:before="92" w:after="283"/>
        <w:ind w:left="0" w:right="0" w:firstLine="1079"/>
        <w:jc w:val="left"/>
        <w:rPr/>
      </w:pPr>
      <w:r>
        <w:rPr>
          <w:rFonts w:ascii="Times New Roman;serif" w:hAnsi="Times New Roman;serif"/>
          <w:b w:val="false"/>
          <w:color w:val="000000"/>
          <w:sz w:val="20"/>
        </w:rPr>
        <w:t xml:space="preserve">(ii) For nominations or other business to be properly brought before an annual meeting by a stockholder pursuant to Article II, Section 7(b)(i)(C), the stockholder must have given timely notice thereof in writing to the Secretary and, in the case of business other than nominations, such other business must otherwise be a proper matter for stockholder action. To be timely, a stockholder’s notice shall be delivered to the Secretary at the principal executive offices of the Corporation not less than 90 days nor more than 120 days prior to the first anniversary of the preceding year’s annual meeting;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color w:val="000000"/>
        </w:rPr>
        <w:t xml:space="preserve"> </w:t>
      </w:r>
      <w:r>
        <w:rPr>
          <w:rFonts w:ascii="Times New Roman;serif" w:hAnsi="Times New Roman;serif"/>
          <w:b w:val="false"/>
          <w:color w:val="000000"/>
          <w:sz w:val="20"/>
        </w:rPr>
        <w:t>that in the event that the date of the annual meeting is advanced by more than 30 days, or delayed by more than 90 days, from such anniversary date, notice by the stockholder to be timely must be so delivered not earlier than the 120th day prior to such annual meeting and not later than the close of business on the later of the 90th day prior to such annual meeting or the 10th day following the day on which the Public Announcement (as defined below) of the date of such meeting is first made by the Corporation. In no event shall the Public Announcement of an adjournment or postponement of an annual meeting commence a new time period (or extend an existing period) for the giving of a stockholder’s notice as described in this Section 7(b). In no event will the adjournment or postponement of any meeting, or any announcement thereof, commence a new time period (or extend any time period) for the giving of proper notice. To be in proper written form, such stockholder’s notice shall set forth and include the following information and/or documents, as applicable, (A) the name and address of the stockholder giving the notice, as they appear on the Corporation’s books, and of the Beneficial Owner (as defined below), if any, on whose behalf such nomination or proposal is made, (B) representations that, as of the date of delivery of such notice, such stockholder is a holder of record of stock of the Corporation and is entitled to vote at such meeting and intends to appear in person or by proxy at such meeting to propose such nomination or business, (C) as to each person whom the stockholder proposes to nominate for election or reelection as a director (a “</w:t>
      </w:r>
      <w:r>
        <w:rPr>
          <w:rFonts w:ascii="Times New Roman;serif" w:hAnsi="Times New Roman;serif"/>
          <w:b w:val="false"/>
          <w:color w:val="000000"/>
          <w:sz w:val="20"/>
          <w:u w:val="single"/>
        </w:rPr>
        <w:t>Stockholder Nominee</w:t>
      </w:r>
      <w:r>
        <w:rPr>
          <w:color w:val="000000"/>
        </w:rPr>
        <w:t>”</w:t>
      </w:r>
      <w:r>
        <w:rPr>
          <w:rFonts w:ascii="Times New Roman;serif" w:hAnsi="Times New Roman;serif"/>
          <w:b w:val="false"/>
          <w:color w:val="000000"/>
          <w:sz w:val="20"/>
        </w:rPr>
        <w:t xml:space="preserve">), (1) all information relating to such Stockholder Nominee that is required to be disclosed in solicitations of proxies for election of directors in an election contest, or is otherwise required, in each case pursuant to Regulation 14A under the Securities Exchange Act of 1934, as amended (the “Act”), and any successor rule or other rules of the Securities and Exchange Commission or other applicable law, including such Stockholder Nominee’s written consent to being named in any proxy statement for the applicable meeting as a nominee and to serving as a director if elected, (2) a brief description of any agreement, arrangement, or understanding (including (x) any agreement, arrangement, or understanding pursuant to which the nomination is to be made, (y) any compensatory, payment, reimbursement, indemnification, or other financial agreement, arrangement, or understanding, and (z) the amount of any payment or payments received or receivable thereunder in connection with the Stockholder Nominee’s candidacy or service as a director of the Corporation) between or among the Stockholder Group Members (as defined below), (3) a brief description of any position of the Stockholder Nominee as an officer or director, of any competitor (as defined in Section 8 of the Clayton Antitrust Act of 1914) of the Corporation within the three calendar years preceding the submission of the nomination, (4) a brief description of any relationship between the Stockholder Nominee and any person that would require disclosure on Schedule 13D or any successor form as if the Stockholder Nominee were required to file a Schedule 13D with respect to the Corporation, (5) all completed and signed questionnaires in the same form as those questionnaires required of the Corporation’s directors (which will be provided to such person within 5 business days following a written request therefor), and (6) any other information relating to the Stockholder Nominee or the nomination that the Corporation may reasonably require to determine whether such nomination and, if elected, the Stockholder Nominee’s service as a director complies with these By-laws and other applicable legal requirements; (D) as to any other business that the stockholder proposes to bring before the meeting, (1) a brief description of the business proposed to be brought before the meeting including relevant background and context; reasons for raising the matter at the stockholder meeting and any material interest (including a substantial interest within the meaning of Schedule 14A or any successor form) of the Stockholder Group Member related to the item of business, (2) the text of the proposal (including the text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2" w:after="283"/>
        <w:jc w:val="left"/>
        <w:rPr/>
      </w:pPr>
      <w:r>
        <w:rPr>
          <w:rFonts w:ascii="Times New Roman;serif" w:hAnsi="Times New Roman;serif"/>
          <w:b w:val="false"/>
          <w:color w:val="000000"/>
          <w:sz w:val="20"/>
        </w:rPr>
        <w:t>resolutions proposed for consideration and, in the event that such business includes a proposal to amend these By-laws, the text of the proposed amendment) and (3) the reasons for conducting such business at the meeting, (E) in all cases, (1) the name of each individual, firm, corporation, limited liability company, partnership, trust or other entity (including any successor thereto, a “</w:t>
      </w:r>
      <w:r>
        <w:rPr>
          <w:rFonts w:ascii="Times New Roman;serif" w:hAnsi="Times New Roman;serif"/>
          <w:b w:val="false"/>
          <w:color w:val="000000"/>
          <w:sz w:val="20"/>
          <w:u w:val="single"/>
        </w:rPr>
        <w:t>Person</w:t>
      </w:r>
      <w:r>
        <w:rPr>
          <w:color w:val="000000"/>
        </w:rPr>
        <w:t>”</w:t>
      </w:r>
      <w:r>
        <w:rPr>
          <w:rFonts w:ascii="Times New Roman;serif" w:hAnsi="Times New Roman;serif"/>
          <w:b w:val="false"/>
          <w:color w:val="000000"/>
          <w:sz w:val="20"/>
        </w:rPr>
        <w:t>) with whom any stockholder, Beneficial Owner, Stockholder Nominee, and their respective Affiliates and Associates (as defined under Regulation 12b-2 under the Act or any successor provision thereto) (each of the foregoing, a “</w:t>
      </w:r>
      <w:r>
        <w:rPr>
          <w:rFonts w:ascii="Times New Roman;serif" w:hAnsi="Times New Roman;serif"/>
          <w:b w:val="false"/>
          <w:color w:val="000000"/>
          <w:sz w:val="20"/>
          <w:u w:val="single"/>
        </w:rPr>
        <w:t>Stockholder Group Member</w:t>
      </w:r>
      <w:r>
        <w:rPr>
          <w:color w:val="000000"/>
        </w:rPr>
        <w:t>”</w:t>
      </w:r>
      <w:r>
        <w:rPr>
          <w:rFonts w:ascii="Times New Roman;serif" w:hAnsi="Times New Roman;serif"/>
          <w:b w:val="false"/>
          <w:color w:val="000000"/>
          <w:sz w:val="20"/>
        </w:rPr>
        <w:t>) has any agreement, arrangement or understanding (whether written or oral) for the purpose of acquiring, holding, voting (except pursuant to a revocable proxy given to such Person in response to a public proxy solicitation made generally by such Person to all holders of voting stock of the Corporation) or disposing of any voting stock of the Corporation or to cooperate in obtaining, changing or influencing the control of the Corporation (except independent financial, legal and other advisors acting in the ordinary course of their respective businesses), and a description of each such agreement, arrangement or understanding (whether written or oral), (2) a list of the class, series and number of shares of voting stock and any other securities of the Corporation that are Beneficially Owned or owned of record by each Stockholder Group Member (including any shares and other securities as to which the Stockholder Group Member has a right to acquire beneficial or record ownership at any time in the future), together with documentary evidence of such record or Beneficial Ownership including the dates on which such shares and other securities were acquired and the investment intent of each acquisition, (3) a list of (A) all of the derivative securities (as defined under Rule 16a-1 under the Act) and other derivatives or similar agreements or arrangements with an exercise or conversion privilege or a periodic or settlement payment or payments or mechanism at a price or in an amount or amounts related to any security of the Corporation or with a value derived or calculated in whole or in part from the value of any security of the Corporation, in each case, directly or indirectly owned of record or Beneficially Owned by any Stockholder Group Member and (B) each other direct or indirect opportunity of any Stockholder Group Member to profit or share in any profit derived from any increase or decrease in the value of any security of the Corporation, in each case, regardless of whether (x) such interest conveys any voting rights in such security to such Stockholder Group Member, (y) such interest is required to be, or is capable of being, settled through delivery of such security or (z) such Person may have entered into other transactions that hedge the economic effect of such interest (any such interest described in this clause (3) being a “</w:t>
      </w:r>
      <w:r>
        <w:rPr>
          <w:rFonts w:ascii="Times New Roman;serif" w:hAnsi="Times New Roman;serif"/>
          <w:b w:val="false"/>
          <w:color w:val="000000"/>
          <w:sz w:val="20"/>
          <w:u w:val="single"/>
        </w:rPr>
        <w:t>Derivative</w:t>
      </w:r>
      <w:r>
        <w:rPr>
          <w:color w:val="000000"/>
        </w:rPr>
        <w:t xml:space="preserve"> </w:t>
      </w:r>
      <w:r>
        <w:rPr>
          <w:rFonts w:ascii="Times New Roman;serif" w:hAnsi="Times New Roman;serif"/>
          <w:b w:val="false"/>
          <w:color w:val="000000"/>
          <w:sz w:val="20"/>
          <w:u w:val="single"/>
        </w:rPr>
        <w:t>Interest</w:t>
      </w:r>
      <w:r>
        <w:rPr>
          <w:color w:val="000000"/>
        </w:rPr>
        <w:t>”</w:t>
      </w:r>
      <w:r>
        <w:rPr>
          <w:rFonts w:ascii="Times New Roman;serif" w:hAnsi="Times New Roman;serif"/>
          <w:b w:val="false"/>
          <w:color w:val="000000"/>
          <w:sz w:val="20"/>
        </w:rPr>
        <w:t>), (4) a description of each agreement, arrangement or understanding, including any repurchase or similar so-called “stock borrowing” agreement or arrangement (whether written or oral), with the effect or intent of mitigating loss to, reduce the economic risk (of ownership or otherwise) of any class of series of capital stock of the Corporation by, managing the risk of share price changes for, or increasing or decreasing the voting power of, or that contemplates any Person voting together with, any Stockholder Group Member with respect to any voting stock of the Corporation, Stockholder Nominee or other proposal (“</w:t>
      </w:r>
      <w:r>
        <w:rPr>
          <w:rFonts w:ascii="Times New Roman;serif" w:hAnsi="Times New Roman;serif"/>
          <w:b w:val="false"/>
          <w:color w:val="000000"/>
          <w:sz w:val="20"/>
          <w:u w:val="single"/>
        </w:rPr>
        <w:t>Voting</w:t>
      </w:r>
      <w:r>
        <w:rPr>
          <w:color w:val="000000"/>
        </w:rPr>
        <w:t xml:space="preserve"> </w:t>
      </w:r>
      <w:r>
        <w:rPr>
          <w:rFonts w:ascii="Times New Roman;serif" w:hAnsi="Times New Roman;serif"/>
          <w:b w:val="false"/>
          <w:color w:val="000000"/>
          <w:sz w:val="20"/>
          <w:u w:val="single"/>
        </w:rPr>
        <w:t>Arrangements</w:t>
      </w:r>
      <w:r>
        <w:rPr>
          <w:color w:val="000000"/>
        </w:rPr>
        <w:t>”</w:t>
      </w:r>
      <w:r>
        <w:rPr>
          <w:rFonts w:ascii="Times New Roman;serif" w:hAnsi="Times New Roman;serif"/>
          <w:b w:val="false"/>
          <w:color w:val="000000"/>
          <w:sz w:val="20"/>
        </w:rPr>
        <w:t xml:space="preserve">), (5) a description of all economic terms of all such Derivative Interests and Voting Arrangements and copies of all agreements and other documents (including but not limited to master agreements, confirmations and all ancillary documents and the names and details of the counterparties to, and brokers involved in, all such transactions) relating to each such Derivative Interest and Voting Arrangement, (6) a list of all transactions by each Stockholder Group Member involving any voting stock of the Corporation or any Derivative Interests and Voting Arrangements within three months prior to the date of the notice, and (7) (x) in the case of a nomination to elect one or more directors to the Board of Directors, a representation whether any Stockholder Group Member will (a) solicit proxies from holders of the Corporation’s outstanding capital stock representing at least 67% of the voting power of shares of capital stock generally entitled to vote on the election of directors, (b) will include a statement to that effect in its proxy statement and/or the form of proxy, (c) will otherwise comply with Rule 14a-19 or any successor rule and (d) will provide the Secretary not less than five (5) business days prior to the meeting and any adjournment or postponement thereof, with reasonable documentary evidence (as determined by the Secretary in good faith) that such stockholder and/or beneficial owner complied with such representations and (y) in the case of a proposal not involving the nomination of directors, a representation whether any Stockholder Group Member intends or is part of a group which intends (a) to deliver a proxy statement and/or form of proxy to holders of at least the percentage of the Corporation’s outstanding capital stock required to approve or adopt the proposal and/or (b) otherwise to solicit or participate in the solicitation of proxies from stockholders in support of such proposal, (F) in the case of a nomination to elect one or more directors to the Board of Directors, the information required by Article II, Section 7(d)(v), and (G) in the case of a nomination to elect one or more directors to the Board of Directors, a written agreement from such Stockholder Group Member (and such beneficial owner) that it (or they) will not submit any substitute nominations unless they are made within the time periods set forth in this Section 7(b)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2" w:after="283"/>
        <w:jc w:val="left"/>
        <w:rPr>
          <w:rFonts w:ascii="Times New Roman;serif" w:hAnsi="Times New Roman;serif"/>
          <w:b w:val="false"/>
          <w:color w:val="000000"/>
          <w:sz w:val="20"/>
        </w:rPr>
      </w:pPr>
      <w:r>
        <w:rPr>
          <w:rFonts w:ascii="Times New Roman;serif" w:hAnsi="Times New Roman;serif"/>
          <w:b w:val="false"/>
          <w:color w:val="000000"/>
          <w:sz w:val="20"/>
        </w:rPr>
        <w:t>Stockholder Group Member and the substitute nominees will otherwise comply with this Section 7(b). A notice delivered by or on behalf of any stockholder under this Section 7(b) shall be deemed to be not in compliance with this Section 7(b) and not effective the chair of the meeting shall declare that such nomination shall be disregarded or that such proposed business shall not be transacted, if (x) such notice does not include all of the information and documents required under this Section 7(b), or (y) after delivery of such notice, any information or document required to be included in such notice changes or is amended, modified or supplemented, as applicable, prior to the date of the relevant meeting and such information and/or document is not delivered to the Corporation by way of a further written notice as promptly as practicable following the event causing such change in information or amendment, modification or supplement, as applicable, and in any case where such event occurs within 45 days of the date of the relevant meeting, within five business days after such event. The foregoing notice requirements of this Section 7(b) shall be deemed satisfied by a stockholder if the stockholder has notified the Corporation of such stockholder’s intention to present a proposal at an annual meeting in compliance with applicable rules and regulations promulgated under the Act and such stockholder’s proposal has been included in a proxy statement that has been prepared by the Corporation to solicit proxies for such annual meeting. The Corporation may require any Stockholder Nominee to furnish such other information as it may reasonably require to determine the eligibility of such Stockholder Nominee to serve as a director.</w:t>
      </w:r>
    </w:p>
    <w:p>
      <w:pPr>
        <w:pStyle w:val="TextBody"/>
        <w:bidi w:val="0"/>
        <w:spacing w:lineRule="auto" w:line="288" w:before="92"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(iii) Notwithstanding anything in the second sentence of Article II, Section 7(b)(ii) to the contrary, in the event that the number of directors to be elected to the Board of Directors is increased effective at the annual meeting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7(b)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 and such notice otherwise complies with the requirements of this Section 7(b). The number of nominees a stockholder may nominate for election at the annual meeting (or in the case of a stockholder giving notice on behalf of a beneficial owner, the number of nominees a stockholder may nominate for election at the annual meeting on behalf of such beneficial owner) shall not exceed the number of directors to be elected at such annual meeting.</w:t>
      </w:r>
    </w:p>
    <w:p>
      <w:pPr>
        <w:pStyle w:val="TextBody"/>
        <w:bidi w:val="0"/>
        <w:spacing w:before="10" w:after="283"/>
        <w:jc w:val="left"/>
        <w:rPr/>
      </w:pPr>
      <w:r>
        <w:rPr/>
      </w:r>
    </w:p>
    <w:p>
      <w:pPr>
        <w:pStyle w:val="TextBody"/>
        <w:bidi w:val="0"/>
        <w:spacing w:lineRule="auto" w:line="268"/>
        <w:ind w:left="0" w:right="0" w:firstLine="7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Special Meetings of Stockholders</w:t>
      </w:r>
      <w:r>
        <w:rPr>
          <w:rFonts w:ascii="Times New Roman;serif" w:hAnsi="Times New Roman;serif"/>
          <w:b w:val="false"/>
          <w:color w:val="000000"/>
          <w:sz w:val="20"/>
        </w:rPr>
        <w:t xml:space="preserve">. Only such business shall be conducted at a special meeting of stockholders as shall have been brought before the meeting pursuant to the Corporation’s notice of meeting pursuant to Article II, Section 4. Nominations of persons for election to the Board of Directors may be made at a special meeting of stockholders at which directors are to be elected pursuant to the Corporation’s notice of meeting (A) by or at the direction of the Board of Directors or (B) by any stockholder of the Corporation who is entitled to vote at the meeting, who complies with the notice procedures set forth in this Section 7(c), and who is a stockholder of record at the time such notice is delivered to the Secretary. In the event the Corporation calls a special meeting of stockholders for the purpose of electing one or more directors to the Board of Directors, any such stockholder may nominate such number of persons for election to such position(s) as are specified in the Corporation’s notice of meeting (it being understood that the number of nominees a stockholder may nominate at special meeting (or in the case of a stockholder giving notice on behalf of a beneficial owner, the number of nominees a stockholder may nominate for election at the special meeting on behalf of such beneficial owner) shall not exceed the number of directors to be elected at such special meeting), if the stockholder’s notice, containing all of the information, documents and representations required under Article II, Section 7(b)(ii), shall be delivered to the Secretary at the principal executive offices of the Corporation not earlier than the 120th day prior to such special meeting and not later than the close of business on the later of the 90th day prior to such special meeting or the 10th day following the day on which Public Announcement of the date of the special meeting and of the nominees proposed by the Board of Directors to be elected at such meeting is first made by the Corporation. In no event will the adjournment or postponement of any meeting, or any announcement thereof, commence a new time period (or extend any time period) for the giving of proper notice. A notice delivered by or on behalf of any stockholder under this Section 7(c) shall be deemed to be not in compliance with this Section 7(c) and not effective if (x) such notice does not include all of the information and documents required under this Section 7(c), or (y) after delivery of such notice, any information or document required to be included in such notice changes or is amended, modified or supplemented, as applicable, prior to the date of the relevant meeting and such information and/or document is not delivered to the Corporation by way of a further written notice as promptly as practicable following the event causing such change in information or amendment, modification or supplement, as applicable, and in any case where such event occurs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within 45 days of the date of the relevant meeting, within five business days after such event. In no event shall the Public Announcement of an adjournment or postponement of a special meeting commence a new time period (or extend an existing period) for the giving of a stockholder’s notice as described above.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General</w:t>
      </w:r>
      <w:r>
        <w:rPr>
          <w:rFonts w:ascii="Times New Roman;serif" w:hAnsi="Times New Roman;serif"/>
          <w:b w:val="false"/>
          <w:color w:val="000000"/>
          <w:sz w:val="20"/>
        </w:rPr>
        <w:t>.</w:t>
      </w:r>
    </w:p>
    <w:p>
      <w:pPr>
        <w:pStyle w:val="TextBody"/>
        <w:bidi w:val="0"/>
        <w:spacing w:before="9" w:after="283"/>
        <w:jc w:val="left"/>
        <w:rPr/>
      </w:pPr>
      <w:r>
        <w:rPr/>
      </w:r>
    </w:p>
    <w:p>
      <w:pPr>
        <w:pStyle w:val="TextBody"/>
        <w:bidi w:val="0"/>
        <w:spacing w:lineRule="auto" w:line="288" w:before="32"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 Only persons who are nominated in accordance with the applicable procedures and other requirements set forth in Article II, Section 7 shall be eligible to be elected as directors at a meeting of stockholders and only such business shall be conducted at a meeting of stockholders as shall have been brought before the meeting in accordance with the applicable procedures set forth in this Section 7. The Board of Directors may adopt by resolution such rules and regulations for the conduct of meetings of stockholders as it shall deem appropriate. Except to the extent inconsistent with such rules and regulations as adopted by the Board of Directors, the chair of the meeting shall have the right and authority to convene and adjourn the meeting, to prescribe such rules, regulations and procedures and to do all such acts as, in the judgment of the chairman of the meeting, are appropriate for the proper conduct of the meeting. Such rules, regulations or procedures, whether adopted by the Board of Directors or prescribed by the chair of the meeting, may include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Board of Directors or the chair of the meeting shall determine; (iv) restrictions on entry to the meeting after the time fixed for the commencement thereof; and (v) limitations on the time allotted to questions or comments by participants. Except as otherwise provided by applicable law, the Certificate of Incorporation or these By-laws, the Board of Directors or the chair of the meeting shall, if the facts warrant, determine and declare to the meeting that a matter or business was not properly brought before the meeting (including, but not limited to, whether a nomination or any business proposed to be brought before the meeting was made in accordance with the procedures and other requirements set forth in these By-laws (including this Section 7)) and if the Board of Directors or the chair of the meeting should so determine, shall so declare to the meeting, and any such matter or business not properly brought before the meeting shall not be transacted or considered, notwithstanding that proxies in respect of such matter or business may have been received by the Corporation. Unless and to the extent determined by the Board of Directors or the chair of the meeting, meetings of stockholders shall not be required to be held in accordance with the rules of parliamentary procedure. At the request of the Company, the applicable stockholder (or a qualified representative thereof) shall provide the Secretary with reasonable documentary evidence to enable the Company to confirm (as determined by the Secretary in good faith) that such stockholder and each Stockholder Group Member, if any, is in compliance with this Section 7. For purposes of this Section 7, to be considered a qualified representative of the stockholder, a person must be a duly authorized officer, manager or partner of such stockholder or must be authorized by a writing executed by such stockholder and each Stockholder Group Member, if any, or an electronic transmission delivered by such stockholder and each Stockholder Group Member, if any, to act for such stockholder and each Stockholder Group Member, if any, as proxy at the meeting of stockholders and to provide any documentary evidence requested by the Company on behalf of the stockholder and each Person required pursuant to this Section 7(d) and such Person must produce such writing or electronic transmission, or a reliable reproduction of the writing or electronic transmission, at the meeting of stockholders.</w:t>
      </w:r>
    </w:p>
    <w:p>
      <w:pPr>
        <w:pStyle w:val="TextBody"/>
        <w:bidi w:val="0"/>
        <w:spacing w:lineRule="auto" w:line="288" w:before="32" w:after="120"/>
        <w:ind w:left="0" w:right="0" w:firstLine="1079"/>
        <w:jc w:val="left"/>
        <w:rPr/>
      </w:pPr>
      <w:r>
        <w:rPr>
          <w:rFonts w:ascii="Times New Roman;serif" w:hAnsi="Times New Roman;serif"/>
          <w:b w:val="false"/>
          <w:color w:val="000000"/>
          <w:sz w:val="20"/>
        </w:rPr>
        <w:t>(ii) For purposes of these By-laws, “</w:t>
      </w:r>
      <w:r>
        <w:rPr>
          <w:rFonts w:ascii="Times New Roman;serif" w:hAnsi="Times New Roman;serif"/>
          <w:b w:val="false"/>
          <w:color w:val="000000"/>
          <w:sz w:val="20"/>
          <w:u w:val="single"/>
        </w:rPr>
        <w:t>Public Announcement</w:t>
      </w:r>
      <w:r>
        <w:rPr>
          <w:color w:val="000000"/>
        </w:rPr>
        <w:t xml:space="preserve">” </w:t>
      </w:r>
      <w:r>
        <w:rPr>
          <w:rFonts w:ascii="Times New Roman;serif" w:hAnsi="Times New Roman;serif"/>
          <w:b w:val="false"/>
          <w:color w:val="000000"/>
          <w:sz w:val="20"/>
        </w:rPr>
        <w:t xml:space="preserve">shall mean disclosure in a press release reported by the Dow Jones News Service, Associated Press or comparable national news service or in a document publicly filed by the Corporation with the Securities and Exchange Commission pursuant to Section 13, 14 or 15(d) of the Act or any document delivered to all stockholders (including any quarterly income statement). </w:t>
      </w:r>
    </w:p>
    <w:p>
      <w:pPr>
        <w:pStyle w:val="TextBody"/>
        <w:bidi w:val="0"/>
        <w:spacing w:lineRule="auto" w:line="288" w:before="32" w:after="120"/>
        <w:ind w:left="0" w:right="0" w:firstLine="1079"/>
        <w:jc w:val="left"/>
        <w:rPr/>
      </w:pPr>
      <w:r>
        <w:rPr>
          <w:rFonts w:ascii="Times New Roman;serif" w:hAnsi="Times New Roman;serif"/>
          <w:b w:val="false"/>
          <w:color w:val="000000"/>
          <w:sz w:val="20"/>
        </w:rPr>
        <w:t xml:space="preserve">(iii) Notwithstanding the foregoing provisions of these By-laws, a stockholder shall also comply with all applicable requirements of the Act and the rules and regulations promulgated thereunder with respect to the matters set forth in this Section 7;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any references in these By-laws to the Act or the rules or regulations promulgated thereunder are not intended to and shall not limit any requirements applicable to nominations or proposals as to any other business to be considered pursuant to these By-laws (including Article II, Sections 7(b)(i)(C) and 7(c)), and compliance with Article II, Sections 7(b)(i)(C) and 7(c) of these By-laws shall be the exclusive means for a stockholder to make nominations or submit other business (other than, as provided in the penultimate sentence of Article II, Section 7(b)(ii), matters brought properly under and in compliance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2" w:after="120"/>
        <w:jc w:val="left"/>
        <w:rPr>
          <w:rFonts w:ascii="Times New Roman;serif" w:hAnsi="Times New Roman;serif"/>
          <w:b w:val="false"/>
          <w:color w:val="000000"/>
          <w:sz w:val="20"/>
        </w:rPr>
      </w:pPr>
      <w:r>
        <w:rPr>
          <w:rFonts w:ascii="Times New Roman;serif" w:hAnsi="Times New Roman;serif"/>
          <w:b w:val="false"/>
          <w:color w:val="000000"/>
          <w:sz w:val="20"/>
        </w:rPr>
        <w:t>Rule 14a-8 of the Act, as may be amended from time to time). Nothing in these By-laws shall be deemed to affect any rights of (a) stockholders to request inclusion of nominations or proposals in the Corporation’s proxy statement pursuant to Rule 14a- 8 under the Act or (b) holders of any series of preferred stock of the Corporation to elect directors pursuant to any applicable provisions of the Certificate of Incorporation.</w:t>
      </w:r>
    </w:p>
    <w:p>
      <w:pPr>
        <w:pStyle w:val="TextBody"/>
        <w:bidi w:val="0"/>
        <w:spacing w:lineRule="auto" w:line="288" w:before="32" w:after="120"/>
        <w:ind w:left="0" w:right="0" w:firstLine="1079"/>
        <w:jc w:val="left"/>
        <w:rPr/>
      </w:pPr>
      <w:r>
        <w:rPr>
          <w:rFonts w:ascii="Times New Roman;serif" w:hAnsi="Times New Roman;serif"/>
          <w:b w:val="false"/>
          <w:color w:val="000000"/>
          <w:sz w:val="20"/>
        </w:rPr>
        <w:t>(iv) A Person shall be deemed the “</w:t>
      </w:r>
      <w:r>
        <w:rPr>
          <w:rFonts w:ascii="Times New Roman;serif" w:hAnsi="Times New Roman;serif"/>
          <w:b w:val="false"/>
          <w:color w:val="000000"/>
          <w:sz w:val="20"/>
          <w:u w:val="single"/>
        </w:rPr>
        <w:t>Beneficial Owner</w:t>
      </w:r>
      <w:r>
        <w:rPr>
          <w:color w:val="000000"/>
        </w:rPr>
        <w:t xml:space="preserve">” </w:t>
      </w:r>
      <w:r>
        <w:rPr>
          <w:rFonts w:ascii="Times New Roman;serif" w:hAnsi="Times New Roman;serif"/>
          <w:b w:val="false"/>
          <w:color w:val="000000"/>
          <w:sz w:val="20"/>
        </w:rPr>
        <w:t>of, shall be deemed to “</w:t>
      </w:r>
      <w:r>
        <w:rPr>
          <w:rFonts w:ascii="Times New Roman;serif" w:hAnsi="Times New Roman;serif"/>
          <w:b w:val="false"/>
          <w:color w:val="000000"/>
          <w:sz w:val="20"/>
          <w:u w:val="single"/>
        </w:rPr>
        <w:t>Beneficially Own</w:t>
      </w:r>
      <w:r>
        <w:rPr>
          <w:color w:val="000000"/>
        </w:rPr>
        <w:t xml:space="preserve">” </w:t>
      </w:r>
      <w:r>
        <w:rPr>
          <w:rFonts w:ascii="Times New Roman;serif" w:hAnsi="Times New Roman;serif"/>
          <w:b w:val="false"/>
          <w:color w:val="000000"/>
          <w:sz w:val="20"/>
        </w:rPr>
        <w:t>and shall be deemed to have “</w:t>
      </w:r>
      <w:r>
        <w:rPr>
          <w:rFonts w:ascii="Times New Roman;serif" w:hAnsi="Times New Roman;serif"/>
          <w:b w:val="false"/>
          <w:color w:val="000000"/>
          <w:sz w:val="20"/>
          <w:u w:val="single"/>
        </w:rPr>
        <w:t>Beneficial Ownership</w:t>
      </w:r>
      <w:r>
        <w:rPr>
          <w:color w:val="000000"/>
        </w:rPr>
        <w:t xml:space="preserve">” </w:t>
      </w:r>
      <w:r>
        <w:rPr>
          <w:rFonts w:ascii="Times New Roman;serif" w:hAnsi="Times New Roman;serif"/>
          <w:b w:val="false"/>
          <w:color w:val="000000"/>
          <w:sz w:val="20"/>
        </w:rPr>
        <w:t>of, any voting stock of the Corporation (i) that such Person or any of such Person’s Affiliates or Associates (as defined under Regulation 12b-2 under the Act or any successor provision thereto) is deemed to “beneficially own” within the meaning of Section 13(d) of, and Regulation 13D under, the Act or any successor provision thereto, or (ii) that is the subject of, or the reference security for or that underlies any Derivative Interest of such Person or any of such Person’s Affiliates or Associates (as defined under Regulation 12b-2 under the Act or any successor provision thereto), with the number of shares of voting stock deemed Beneficially Owned being the notional or other number of shares of voting stock specified in the documentation evidencing the Derivative Interest as being subject to be acquired upon the exercise or settlement of the Derivative Interest or as the basis upon which the value or settlement amount of such Derivative Interest is to be calculated in whole or in part or, if no such number of shares of voting stock is specified in such documentation, as determined by the Board of Directors in good faith to be the number of shares of voting stock to which the Derivative Interest relates. When two or more Persons act as a partnership, limited partnership, syndicate, or other group, or otherwise act in concert, in each case, for the purpose of acquiring, holding, or disposing of securities of the Corporation or for the purpose of proposing one or more Stockholder Nominees, putting forward any other proposal for consideration or voting together on any matter presented at a stockholder meeting, such syndicate or group shall be deemed a “Person” for the purpose of this Section 7. In addition, any Person who, directly or indirectly, creates or uses a trust, proxy, power of attorney, pooling arrangement or any contract, arrangement, or device with the purpose or effect of divesting such Person of Beneficial Ownership of any voting stock of the Corporation or preventing the vesting of such Beneficial Ownership as part of a plan or scheme to evade the reporting requirements of this Section 7 shall be deemed for the purposes of these By-laws to be the Beneficial Owner of such voting stock.</w:t>
      </w:r>
    </w:p>
    <w:p>
      <w:pPr>
        <w:pStyle w:val="TextBody"/>
        <w:bidi w:val="0"/>
        <w:spacing w:lineRule="auto" w:line="288" w:before="32"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(v) In the case of a nomination by a stockholder to elect one or more directors to the Board of Directors pursuant to Article II, Section 7(b) or Section 7(c), the stockholder shall deliver a written representation and agreement from any such nominee that such nominee: (A) is not and will not become a party to any agreement, arrangement or understanding with, and has not given any commitment or assurance to, any person or entity as to how such person, if elected as a director of the Corporation, will act or vote on any issue or question if such agreement, arrangement or understanding has not been disclosed to the Corporation, or if such agreement, arrangement or understanding could limit or interfere with such person’s ability to comply, if elected as a director of the Corporation, with such person’s fiduciary duties under applicable law, (B) may not be, and may not become, a party to any compensatory, payment, indemnification or other financial agreement, arrangement or understanding with any person or entity other than the Corporation in connection with service or action as a director that has not been disclosed to the Corporation and (C) will comply with all of the Corporation’s corporate governance, conflict of interest, confidentiality and stock ownership and trading policies and guidelines, and any other Corporation policies and guidelines applicable to directors. In addition, at the request of the Corporation, any such nominee must promptly, but in any event within five business days of such request, sign, complete and submit to the Corporation all questionnaires required of directors of the Corporation and provide to the Corporation such other information as it may reasonably request. The Corporation may request such additional information as necessary to permit the Board of Directors to determine if such nominee is independent under any applicable listing standards, any applicable rules of the Securities and Exchange Commission and any publicly disclosed standards used by the Board of Directors in determining and disclosing the independence of the Corporation’s directors. Further, in the event that any information or communications provided by such nominating stockholder or such nominee to the Corporation or its stockholders ceases to be true and correct in all material respects or omits a material fact necessary to make the statements made, in light of the circumstances under which they were made, not misleading, each such stockholder or nominee, as the case may be, shall promptly notify the Secretary of any defect in such previously provided information and of the information that is required to correct any such defect, it being understood that providing any such notification shall not be deemed to cure any defect or limit the rights of the Board of Directors to determine any such nomination to be invalid.</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2"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(vi) A stockholder or other person who is directly or indirectly soliciting proxies from other stockholders on behalf of any person other than the Corporation or the Board of Directors in connection with any annual or special meeting of stockholders is required to use a proxy card color other than white, and the white proxy card shall be reserved for the exclusive use by the Corporation or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Section 8. </w:t>
      </w:r>
      <w:r>
        <w:rPr>
          <w:rFonts w:ascii="Times New Roman;serif" w:hAnsi="Times New Roman;serif"/>
          <w:b w:val="false"/>
          <w:color w:val="000000"/>
          <w:sz w:val="20"/>
          <w:u w:val="single"/>
        </w:rPr>
        <w:t>Voting</w:t>
      </w:r>
      <w:r>
        <w:rPr>
          <w:rFonts w:ascii="Times New Roman;serif" w:hAnsi="Times New Roman;serif"/>
          <w:b w:val="false"/>
          <w:color w:val="000000"/>
          <w:sz w:val="20"/>
        </w:rPr>
        <w:t>. Except as otherwise provided by statute or the Certificate of Incorporation, each holder of record of shares of stock of the Corporation having voting power shall be entitled at each meeting of the stock- holders to one vote for every share of such stock standing in his or her name on the record of stockholders of the Corporation (a) on the date fixed by the Board of Directors as the record date for the determination of the stockholders who shall be entitled to notice of and to vote at such meeting; or (b) if such record date shall not have been so fixed, then at the close of business on the day next preceding the day on which notice thereof shall be given; or (c) if notice is waived, at the close of business on the day next preceding the day on which the meeting is held. Each stockholder entitled to vote at any meeting of stockholders may authorize another person or persons to act for him or her by a proxy, which proxy must be authorized in accordance with Section 212 of the DGCL. Any such proxy shall be delivered to the secretary of such meeting at or prior to the time designated in the order of business for so delivering such proxies. No proxy shall be valid after the expiration of three years from the date thereof, unless the proxy provides for a longer period. Every proxy shall be revocable at the pleasure of the stockholder executing it, except in those cases where an irrevocable proxy is permitted by law. A stockholder may revoke any proxy that is not irrevocable by attending the meeting and voting in person or by delivering to the Secretary a revocation of the proxy or a new proxy bearing a later date no later than the time designated in the order of business for so delivering such proxies. In the event the Corporation receives proxies for disqualified or withdrawn nominees for the Board of Directors, such votes for such disqualified or withdrawn nominees in the proxies will be treated as abstentions. Except as otherwise required by law, the Certificate of Incorporation or these By-laws, any corporate action to be taken by vote of the stockholders shall be authorized by a majority of the total votes cast at a meeting of stockholders by the holders of shares present in person or represented by proxy and entitled to vote on such action. Unless required by statute, or determined by the chair of the meeting to be advisable, the vote on any question need not be by written ballot. On a vote by written ballot, each ballot shall be signed by the stockholder voting, or by his or her proxy, if there be such proxy, and shall state the number of shares voted.</w:t>
      </w:r>
    </w:p>
    <w:p>
      <w:pPr>
        <w:pStyle w:val="TextBody"/>
        <w:bidi w:val="0"/>
        <w:spacing w:lineRule="auto" w:line="288" w:before="1" w:after="283"/>
        <w:ind w:left="0" w:right="0" w:firstLine="720"/>
        <w:jc w:val="left"/>
        <w:rPr/>
      </w:pPr>
      <w:r>
        <w:rPr>
          <w:rFonts w:ascii="Times New Roman;serif" w:hAnsi="Times New Roman;serif"/>
          <w:b w:val="false"/>
          <w:color w:val="000000"/>
          <w:sz w:val="20"/>
        </w:rPr>
        <w:t xml:space="preserve">Section 9. </w:t>
      </w:r>
      <w:r>
        <w:rPr>
          <w:rFonts w:ascii="Times New Roman;serif" w:hAnsi="Times New Roman;serif"/>
          <w:b w:val="false"/>
          <w:color w:val="000000"/>
          <w:sz w:val="20"/>
          <w:u w:val="single"/>
        </w:rPr>
        <w:t>List of Stockholders</w:t>
      </w:r>
      <w:r>
        <w:rPr>
          <w:rFonts w:ascii="Times New Roman;serif" w:hAnsi="Times New Roman;serif"/>
          <w:b w:val="false"/>
          <w:color w:val="000000"/>
          <w:sz w:val="20"/>
        </w:rPr>
        <w:t>. The officer who has charge of the stock ledger of the Corporation shall prepare and make or cause to be prepared and made, no later than the 10th day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ending on the day before the meeting date, either at a place within the city where the meeting is to be held, which place shall be specified in the notice of the meeting, or, if not so specified, at the place where the meeting is to be held.</w:t>
      </w:r>
    </w:p>
    <w:p>
      <w:pPr>
        <w:pStyle w:val="TextBody"/>
        <w:bidi w:val="0"/>
        <w:spacing w:before="0" w:after="0"/>
        <w:jc w:val="left"/>
        <w:rPr/>
      </w:pPr>
      <w:r>
        <w:rPr/>
      </w:r>
    </w:p>
    <w:p>
      <w:pPr>
        <w:pStyle w:val="TextBody"/>
        <w:bidi w:val="0"/>
        <w:spacing w:lineRule="auto" w:line="288" w:before="1" w:after="283"/>
        <w:ind w:left="0" w:right="0" w:firstLine="720"/>
        <w:jc w:val="left"/>
        <w:rPr/>
      </w:pPr>
      <w:r>
        <w:rPr>
          <w:rFonts w:ascii="Times New Roman;serif" w:hAnsi="Times New Roman;serif"/>
          <w:b w:val="false"/>
          <w:color w:val="000000"/>
          <w:sz w:val="20"/>
        </w:rPr>
        <w:t xml:space="preserve">Section 10. </w:t>
      </w:r>
      <w:r>
        <w:rPr>
          <w:rFonts w:ascii="Times New Roman;serif" w:hAnsi="Times New Roman;serif"/>
          <w:b w:val="false"/>
          <w:color w:val="000000"/>
          <w:sz w:val="20"/>
          <w:u w:val="single"/>
        </w:rPr>
        <w:t>Inspectors</w:t>
      </w:r>
      <w:r>
        <w:rPr>
          <w:rFonts w:ascii="Times New Roman;serif" w:hAnsi="Times New Roman;serif"/>
          <w:b w:val="false"/>
          <w:color w:val="000000"/>
          <w:sz w:val="20"/>
        </w:rPr>
        <w:t>. The Board of Directors may, in advance of any meeting of stockholders, appoint one or more inspectors to act at such meeting or any adjournment thereof. If inspectors shall not be so appointed or if any of them shall fail to appear or act, the chair of the meeting may, and on the request of any stockholder entitled to vote thereat shall, appoint one or more inspectors. Each inspector, before entering upon the discharge of his or her duties, shall take and sign an oath faithfully to execute the duties of inspector at such meeting with strict impartiality and according to the best of his or her ability. The inspectors shall determine the number of shares outstanding,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chair of the meeting or any stockholder entitled to vote thereat, the inspectors shall make a report in writing of any challenge, request or matter determined by them and shall execute a certificate of any fact found by them. No director or candidate for the office of director shall act as inspector of an election of directors need not be stockholders.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Action Without a Meeting by Written Consent</w:t>
      </w:r>
      <w:r>
        <w:rPr>
          <w:rFonts w:ascii="Times New Roman;serif" w:hAnsi="Times New Roman;serif"/>
          <w:b w:val="false"/>
          <w:color w:val="000000"/>
          <w:sz w:val="20"/>
        </w:rPr>
        <w:t>. No action required to be taken or which may be taken at any annual or special meeting of stockholders of the Corporation may be taken without a meeting, except on written consent, setting forth the action so taken, signed by the holders of record of at least 80% of the outstanding shares entitled to vote thereon.</w:t>
      </w:r>
    </w:p>
    <w:p>
      <w:pPr>
        <w:pStyle w:val="TextBody"/>
        <w:bidi w:val="0"/>
        <w:spacing w:lineRule="auto" w:line="288" w:before="0" w:after="12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Proxy Access</w:t>
      </w:r>
      <w:r>
        <w:rPr>
          <w:rFonts w:ascii="Times New Roman;serif" w:hAnsi="Times New Roman;serif"/>
          <w:b w:val="false"/>
          <w:color w:val="000000"/>
          <w:sz w:val="20"/>
        </w:rPr>
        <w:t>.</w:t>
      </w:r>
    </w:p>
    <w:p>
      <w:pPr>
        <w:pStyle w:val="TextBody"/>
        <w:bidi w:val="0"/>
        <w:spacing w:lineRule="auto" w:line="288" w:before="91" w:after="120"/>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Subject to the provisions of this Section 12, the Corporation shall include in its proxy statement and on its form of proxy for an annual meeting of the stockholders at which directors are to be elected, the name of, and the Required Information (as defined below) relating to, any Stockholder Nominee who satisfies the eligibility requirements in this Section 12 (an “</w:t>
      </w:r>
      <w:r>
        <w:rPr>
          <w:rFonts w:ascii="Times New Roman;serif" w:hAnsi="Times New Roman;serif"/>
          <w:b w:val="false"/>
          <w:color w:val="000000"/>
          <w:sz w:val="20"/>
          <w:u w:val="single"/>
        </w:rPr>
        <w:t>Eligible Stockholder Nominee</w:t>
      </w:r>
      <w:r>
        <w:rPr>
          <w:color w:val="000000"/>
        </w:rPr>
        <w:t>”</w:t>
      </w:r>
      <w:r>
        <w:rPr>
          <w:rFonts w:ascii="Times New Roman;serif" w:hAnsi="Times New Roman;serif"/>
          <w:b w:val="false"/>
          <w:color w:val="000000"/>
          <w:sz w:val="20"/>
        </w:rPr>
        <w:t>) and who is identified in a notice that complies with Section 12(e) and that is timely delivered pursuant to Section 12(f) (the “</w:t>
      </w:r>
      <w:r>
        <w:rPr>
          <w:rFonts w:ascii="Times New Roman;serif" w:hAnsi="Times New Roman;serif"/>
          <w:b w:val="false"/>
          <w:color w:val="000000"/>
          <w:sz w:val="20"/>
          <w:u w:val="single"/>
        </w:rPr>
        <w:t>Stockholder Notice</w:t>
      </w:r>
      <w:r>
        <w:rPr>
          <w:color w:val="000000"/>
        </w:rPr>
        <w:t>”</w:t>
      </w:r>
      <w:r>
        <w:rPr>
          <w:rFonts w:ascii="Times New Roman;serif" w:hAnsi="Times New Roman;serif"/>
          <w:b w:val="false"/>
          <w:color w:val="000000"/>
          <w:sz w:val="20"/>
        </w:rPr>
        <w:t>) by a stockholder that satisfies, or by a group of no more than 20 stockholders that satisfy, the ownership and other requirements of this Section 12 (such stockholder or group, including each member thereof to the extent the context requires, the “</w:t>
      </w:r>
      <w:r>
        <w:rPr>
          <w:rFonts w:ascii="Times New Roman;serif" w:hAnsi="Times New Roman;serif"/>
          <w:b w:val="false"/>
          <w:color w:val="000000"/>
          <w:sz w:val="20"/>
          <w:u w:val="single"/>
        </w:rPr>
        <w:t>Eligible Stockholder</w:t>
      </w:r>
      <w:r>
        <w:rPr>
          <w:color w:val="000000"/>
        </w:rPr>
        <w:t>”</w:t>
      </w:r>
      <w:r>
        <w:rPr>
          <w:rFonts w:ascii="Times New Roman;serif" w:hAnsi="Times New Roman;serif"/>
          <w:b w:val="false"/>
          <w:color w:val="000000"/>
          <w:sz w:val="20"/>
        </w:rPr>
        <w:t>), and who expressly elects at the time of providing the Stockholder Notice to have such Eligible Stockholder Nominee included in the Corporation’s proxy materials pursuant to this Section 12. No stockholder may be a member of more than one group of stockholders constituting an Eligible Stockholder under this Section 12. In the event that the Eligible Stockholder consists of a group of stockholders, any and all requirements and obligations for an individual Eligible Stockholder that are set forth in this Section 12 shall apply to each member of the group; provided, however, that the Required Ownership Percentage (as defined in Section 12(b) below) shall apply to the ownership of the group in the aggregate.</w:t>
      </w:r>
    </w:p>
    <w:p>
      <w:pPr>
        <w:pStyle w:val="TextBody"/>
        <w:bidi w:val="0"/>
        <w:spacing w:lineRule="auto" w:line="288" w:before="91" w:after="120"/>
        <w:ind w:left="0" w:right="0" w:firstLine="720"/>
        <w:jc w:val="left"/>
        <w:rPr/>
      </w:pPr>
      <w:r>
        <w:rPr>
          <w:rFonts w:ascii="Times New Roman;serif" w:hAnsi="Times New Roman;serif"/>
          <w:b w:val="false"/>
          <w:color w:val="000000"/>
          <w:sz w:val="20"/>
        </w:rPr>
        <w:t>For purposes of this Section 12, the “</w:t>
      </w:r>
      <w:r>
        <w:rPr>
          <w:rFonts w:ascii="Times New Roman;serif" w:hAnsi="Times New Roman;serif"/>
          <w:b w:val="false"/>
          <w:color w:val="000000"/>
          <w:sz w:val="20"/>
          <w:u w:val="single"/>
        </w:rPr>
        <w:t>Required Information</w:t>
      </w:r>
      <w:r>
        <w:rPr>
          <w:color w:val="000000"/>
        </w:rPr>
        <w:t xml:space="preserve">” </w:t>
      </w:r>
      <w:r>
        <w:rPr>
          <w:rFonts w:ascii="Times New Roman;serif" w:hAnsi="Times New Roman;serif"/>
          <w:b w:val="false"/>
          <w:color w:val="000000"/>
          <w:sz w:val="20"/>
        </w:rPr>
        <w:t>shall consist of: (i) the information concerning the Eligible Stockholder Nominee and the Eligible Stockholder that is required to be disclosed in the Corporation’s proxy statement by the applicable requirements of the Act, as amended, and the rules and regulations promulgated thereunder, and as required by any applicable listing standards, (ii) if the Eligible Stockholder so elects, the Statement (as defined in Section 12(i) below), (iii) any other information that the Corporation or the Board of Directors determines, in their discretion, to include in the proxy statement relating to the nomination of the Eligible Stockholder Nominee, including, without limitation, any statement in opposition to the nomination and any of the information provided pursuant to this Section 12 and (iv) the information required under Article II, Section 7(b) (other than clauses (ii)(E) and (ii)(F) thereof) (and for such purposes, references in Article II, Section 7(b) to the stockholder or Beneficial Owner on whose behalf the nomination is made shall be deemed to refer to the Eligible Stockholder on whose behalf the Stockholder Notice is delivered).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Eligible Stockholder Ownership Requirements</w:t>
      </w:r>
      <w:r>
        <w:rPr>
          <w:rFonts w:ascii="Times New Roman;serif" w:hAnsi="Times New Roman;serif"/>
          <w:b w:val="false"/>
          <w:color w:val="000000"/>
          <w:sz w:val="20"/>
        </w:rPr>
        <w:t>. To qualify as an “Eligible Stockholder” pursuant to this Section 12, a stockholder or group of stockholders must (i) own and have owned (as defined in Section 12(c) below) 3% or more (the “</w:t>
      </w:r>
      <w:r>
        <w:rPr>
          <w:rFonts w:ascii="Times New Roman;serif" w:hAnsi="Times New Roman;serif"/>
          <w:b w:val="false"/>
          <w:color w:val="000000"/>
          <w:sz w:val="20"/>
          <w:u w:val="single"/>
        </w:rPr>
        <w:t>Required Ownership</w:t>
      </w:r>
      <w:r>
        <w:rPr>
          <w:color w:val="000000"/>
        </w:rPr>
        <w:t xml:space="preserve"> </w:t>
      </w:r>
      <w:r>
        <w:rPr>
          <w:rFonts w:ascii="Times New Roman;serif" w:hAnsi="Times New Roman;serif"/>
          <w:b w:val="false"/>
          <w:color w:val="000000"/>
          <w:sz w:val="20"/>
          <w:u w:val="single"/>
        </w:rPr>
        <w:t>Percentage</w:t>
      </w:r>
      <w:r>
        <w:rPr>
          <w:color w:val="000000"/>
        </w:rPr>
        <w:t>”</w:t>
      </w:r>
      <w:r>
        <w:rPr>
          <w:rFonts w:ascii="Times New Roman;serif" w:hAnsi="Times New Roman;serif"/>
          <w:b w:val="false"/>
          <w:color w:val="000000"/>
          <w:sz w:val="20"/>
        </w:rPr>
        <w:t>) of the number of outstanding shares of the Corporation’s common stock entitled to vote in the election of directors as of the most recent date for which such amount is given in any filing by the Corporation with the Securities and Exchange Commission prior to the submission of the Stockholder Notice (the “</w:t>
      </w:r>
      <w:r>
        <w:rPr>
          <w:rFonts w:ascii="Times New Roman;serif" w:hAnsi="Times New Roman;serif"/>
          <w:b w:val="false"/>
          <w:color w:val="000000"/>
          <w:sz w:val="20"/>
          <w:u w:val="single"/>
        </w:rPr>
        <w:t>Required Shares</w:t>
      </w:r>
      <w:r>
        <w:rPr>
          <w:color w:val="000000"/>
        </w:rPr>
        <w:t>”</w:t>
      </w:r>
      <w:r>
        <w:rPr>
          <w:rFonts w:ascii="Times New Roman;serif" w:hAnsi="Times New Roman;serif"/>
          <w:b w:val="false"/>
          <w:color w:val="000000"/>
          <w:sz w:val="20"/>
        </w:rPr>
        <w:t>) continuously for at least three years as of both the date the Stockholder Notice is delivered to the Secretary in accordance with this Section 12 and the record date for determining stockholders entitled to vote at the annual meeting of stockholders and (ii) thereafter continue to own the Required Shares through the annual meeting date.</w:t>
      </w:r>
    </w:p>
    <w:p>
      <w:pPr>
        <w:pStyle w:val="TextBody"/>
        <w:bidi w:val="0"/>
        <w:spacing w:lineRule="auto" w:line="288" w:before="0" w:after="180"/>
        <w:ind w:left="0" w:right="0" w:firstLine="720"/>
        <w:jc w:val="left"/>
        <w:rPr/>
      </w:pPr>
      <w:r>
        <w:rPr>
          <w:rFonts w:ascii="Times New Roman;serif" w:hAnsi="Times New Roman;serif"/>
          <w:b w:val="false"/>
          <w:color w:val="000000"/>
          <w:sz w:val="20"/>
        </w:rPr>
        <w:t>For purposes of satisfying the ownership requirements of this Section 12(b), two or more funds that are (i) under common management and investment control, (ii) under common management and funded primarily by a single employer or (iii) a “group of investment companies,” as such term is defined in Section 14(d)(1)(G)(ii) of the Investment Company Act of 1940, as amended, (such funds together under each of (i), (ii) or (iii) comprising a “</w:t>
      </w:r>
      <w:r>
        <w:rPr>
          <w:rFonts w:ascii="Times New Roman;serif" w:hAnsi="Times New Roman;serif"/>
          <w:b w:val="false"/>
          <w:color w:val="000000"/>
          <w:sz w:val="20"/>
          <w:u w:val="single"/>
        </w:rPr>
        <w:t>Qualifying</w:t>
      </w:r>
      <w:r>
        <w:rPr>
          <w:color w:val="000000"/>
        </w:rPr>
        <w:t xml:space="preserve"> </w:t>
      </w:r>
      <w:r>
        <w:rPr>
          <w:rFonts w:ascii="Times New Roman;serif" w:hAnsi="Times New Roman;serif"/>
          <w:b w:val="false"/>
          <w:color w:val="000000"/>
          <w:sz w:val="20"/>
          <w:u w:val="single"/>
        </w:rPr>
        <w:t>Fund</w:t>
      </w:r>
      <w:r>
        <w:rPr>
          <w:color w:val="000000"/>
        </w:rPr>
        <w:t>”</w:t>
      </w:r>
      <w:r>
        <w:rPr>
          <w:rFonts w:ascii="Times New Roman;serif" w:hAnsi="Times New Roman;serif"/>
          <w:b w:val="false"/>
          <w:color w:val="000000"/>
          <w:sz w:val="20"/>
        </w:rPr>
        <w:t>) shall be treated as one stockholder for the purposes of determining the members of a group of stockholders comprising one Eligible Stockholder, provided that each fund comprising a Qualifying Fund otherwise meets the requirements set forth in this Section 12.</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Definition of Ownership</w:t>
      </w:r>
      <w:r>
        <w:rPr>
          <w:rFonts w:ascii="Times New Roman;serif" w:hAnsi="Times New Roman;serif"/>
          <w:b w:val="false"/>
          <w:color w:val="000000"/>
          <w:sz w:val="20"/>
        </w:rPr>
        <w:t>. For purposes of this Section 12:</w:t>
      </w:r>
    </w:p>
    <w:p>
      <w:pPr>
        <w:pStyle w:val="TextBody"/>
        <w:bidi w:val="0"/>
        <w:spacing w:lineRule="auto" w:line="283" w:before="152" w:after="18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 an Eligible Stockholder shall be deemed to “own” only those outstanding shares of the Corporation’s common stock as to which the stockholder possesses both:</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18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(1) the full voting and investment rights pertaining to the shares and</w:t>
      </w:r>
    </w:p>
    <w:p>
      <w:pPr>
        <w:pStyle w:val="TextBody"/>
        <w:bidi w:val="0"/>
        <w:spacing w:lineRule="auto" w:line="288" w:before="1" w:after="18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(2) the full economic interest in (including the opportunity for profit and risk of loss on) such shares; provided that the number of shares calculated in accordance with clauses (1) and (2) shall not include any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sold by such stockholder or any of its affiliates in any transaction that has not been settled or closed (including any short sale),</w:t>
      </w:r>
    </w:p>
    <w:p>
      <w:pPr>
        <w:pStyle w:val="TextBody"/>
        <w:bidi w:val="0"/>
        <w:spacing w:before="10" w:after="283"/>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 borrowed by such stockholder or any of its affiliates for any purpose or purchased by such stockholder or any of its affiliates pursuant to an agreement to resell or</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outstanding shares of the Corporation, in any such case which instrument or agreement has, or is intended to have, or if exercised by either party thereto would have, the purpose or effect of: (I) reducing in any manner, to any extent or at any time in the future, such stockholder’s or any of its affiliates’ full right to vote or direct the voting of any such shares, and/or (II) hedging, offsetting, or altering to any degree gain or loss arising from the full economic ownership of such shares by such stockholder or affiliate; and</w:t>
      </w:r>
    </w:p>
    <w:p>
      <w:pPr>
        <w:pStyle w:val="TextBody"/>
        <w:bidi w:val="0"/>
        <w:spacing w:lineRule="auto" w:line="283" w:before="152" w:after="18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 A stockholder “owns” shares held in the name of a nominee or other intermediary so long as the stockholder retains the right to instruct how the shares are voted with respect to the election of directors and possesses the full economic interest in the shares. A person’s ownership of shares shall be deemed to continue during any period in which (1) the person has loaned such shares, provided that the person has the power to recall such loaned shares on five (5) business days’ notice; or (2) the person has delegated any voting power by means of a proxy, power of attorney or other instrument or arrangement which is revocable at any time by such person; and</w:t>
      </w:r>
    </w:p>
    <w:p>
      <w:pPr>
        <w:pStyle w:val="TextBody"/>
        <w:bidi w:val="0"/>
        <w:spacing w:lineRule="auto" w:line="283" w:before="152" w:after="18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(iii) The terms “owned,” “owning” and other variations of the word “own” shall have correlative meanings. Whether outstanding shares of the Corporation are “owned” for these purposes shall be determined by the Board of Directors. The term “affiliate” or “affiliates” shall have the meaning ascribed thereto under the General Rules and Regulations under the Exchange Act, as amended.</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Number of Eligible Stockholder Nominees</w:t>
      </w:r>
      <w:r>
        <w:rPr>
          <w:rFonts w:ascii="Times New Roman;serif" w:hAnsi="Times New Roman;serif"/>
          <w:b w:val="false"/>
          <w:color w:val="000000"/>
          <w:sz w:val="20"/>
        </w:rPr>
        <w:t>. The maximum number of Eligible Stockholder Nominees nominated by all Eligible Stockholders pursuant to this Section 12 (including individuals that were submitted by an Eligible Stockholder for inclusion in the Corporation’s proxy materials pursuant to this Section 12, but either are subsequently withdrawn or that the Board of Directors nominates as Board of Directors nominees) that will be included in the Corporation’s proxy materials with respect to an annual meeting of stockholders together with any nominees who were previously elected to the Board of Directors after being nominated pursuant to this Section 12 at any of the preceding two (2) annual meetings and who are re- nominated for election at such annual meeting by the Board of Directors, shall not exceed the greater of (i) two (2) or (ii) 20% of the total number of directors in office as of the last day on which a Stockholder Notice may be delivered to the Secretary pursuant to this Section 12, or if the number of directors calculated in this clause (ii) is not a whole number, the closest whole number below 20% (such greater number, the “</w:t>
      </w:r>
      <w:r>
        <w:rPr>
          <w:rFonts w:ascii="Times New Roman;serif" w:hAnsi="Times New Roman;serif"/>
          <w:b w:val="false"/>
          <w:color w:val="000000"/>
          <w:sz w:val="20"/>
          <w:u w:val="single"/>
        </w:rPr>
        <w:t>Maximum Number</w:t>
      </w:r>
      <w:r>
        <w:rPr>
          <w:color w:val="000000"/>
        </w:rPr>
        <w:t>”</w:t>
      </w:r>
      <w:r>
        <w:rPr>
          <w:rFonts w:ascii="Times New Roman;serif" w:hAnsi="Times New Roman;serif"/>
          <w:b w:val="false"/>
          <w:color w:val="000000"/>
          <w:sz w:val="20"/>
        </w:rPr>
        <w:t>). In the event that one or more vacancies for any reason occurs on the Board of Directors after the last day on which a Stockholder Notice may be delivered to the Secretary pursuant to Section 12 with respect to an annual meeting, but before the date of the Corporation’s annual meeting, and the Board of Directors resolves to reduce the size of the Board of Directors in connection therewith, the Maximum Number of Eligible Stockholder Nominees nominated pursuant to this Section 12 included in the Corporation’s proxy materials shall be calculated based on the number of directors in office as so reduced.</w:t>
      </w:r>
    </w:p>
    <w:p>
      <w:pPr>
        <w:pStyle w:val="TextBody"/>
        <w:bidi w:val="0"/>
        <w:spacing w:before="10" w:after="283"/>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Eligible Stockholder submitting more than one Eligible Stockholder Nominee for inclusion in the Corporation’s proxy materials pursuant to this Section 12 shall rank its Eligible Stockholder Nominees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order that such Eligible Stockholder desires such Eligible Stockholder Nominees to be selected for inclusion in the Corporation’s proxy materials in the event that the total number of Eligible Stockholder Nominees submitted by Eligible Stockholders pursuant to this Section 12 exceeds the Maximum Number of Eligible Stockholder Nominees provided for in this Section 12. In the event that the number of Eligible Stockholder Nominees submitted by Eligible Stockholders pursuant to this Section 12 exceeds the Maximum Number of Eligible Stockholder Nominees provided for in this Section 12, the highest-ranking Eligible Stockholder Nominee who meets the requirements of this Section 12 from each Eligible Stockholder will be selected for inclusion in the Corporation’s proxy materials until the Maximum Number is reached, going in order of the amount (largest to smallest) of shares of common stock of the Corporation each Eligible Stockholder disclosed as owned in its respective notice of a nomination submitted to the Corporation in accordance with the procedures set forth in this Section 12. If the maximum number is not reached after the highest-ranking Eligible Stockholder Nominee who meets the requirements of this Section 12 from each Eligible Stockholder has been selected, this process will continue as many times as necessary, following the same order each time, until the Maximum Number is reached. Following such determination, if any Eligible Stockholder Nominee who satisfies the eligibility requirements in this Section 12 thereafter withdraws from the election (or his or her nomination is withdrawn by the Eligible Stockholder) or is thereafter not included in the Corporation’s proxy materials or is not submitted for director election for any reason (including the failure to comply with this Section 12) other than due to a failure by the Corporation to include such Eligible Stockholder Nominee in the Corporation’s proxy materials in violation of this Section 12, no other nominee or nominees (other than any Eligible Stockholder Nominee already determined to be included in the Corporation’s proxy materials who continues to satisfy the eligibility requirements of this Section 12) shall be included in the Corporation’s proxy materials or otherwise submitted for director election in substitution thereof pursuant to this Section 12.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Contents of Stockholder Notice</w:t>
      </w:r>
      <w:r>
        <w:rPr>
          <w:rFonts w:ascii="Times New Roman;serif" w:hAnsi="Times New Roman;serif"/>
          <w:b w:val="false"/>
          <w:color w:val="000000"/>
          <w:sz w:val="20"/>
        </w:rPr>
        <w:t>. The inclusion of an Eligible Stockholder Nominee in the Corporation’s proxy materials shall be subject to the delivery to the Secretary of, and the Stockholder Notice shall set forth, the following:</w:t>
      </w:r>
    </w:p>
    <w:p>
      <w:pPr>
        <w:pStyle w:val="TextBody"/>
        <w:bidi w:val="0"/>
        <w:spacing w:lineRule="auto" w:line="288" w:before="0" w:after="120"/>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 as to the Eligible Stockholder (including, in the case of a group, each member thereof) giving the Stockholder Notice, (1) the name and address of each such stockholder or stockholders and (2) the class and number of shares of the Corporation which are owned of record and beneficially by such stockholder or stockholders;</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as to each Eligible Stockholder Nominee whom the Eligible Stockholder proposes to nominate for election to the Board of Directors pursuant to this Section 12:</w:t>
      </w:r>
    </w:p>
    <w:p>
      <w:pPr>
        <w:pStyle w:val="TextBody"/>
        <w:bidi w:val="0"/>
        <w:spacing w:lineRule="auto" w:line="283" w:before="0" w:after="120"/>
        <w:jc w:val="left"/>
        <w:rPr>
          <w:rFonts w:ascii="Times New Roman;serif" w:hAnsi="Times New Roman;serif"/>
          <w:b w:val="false"/>
          <w:color w:val="000000"/>
          <w:sz w:val="20"/>
        </w:rPr>
      </w:pPr>
      <w:r>
        <w:rPr>
          <w:rFonts w:ascii="Times New Roman;serif" w:hAnsi="Times New Roman;serif"/>
          <w:b w:val="false"/>
          <w:color w:val="000000"/>
          <w:sz w:val="20"/>
        </w:rPr>
        <w:t>(1) the Required Information (other than the information specified in clause (iii) of the definition of Required Information);</w:t>
      </w:r>
    </w:p>
    <w:p>
      <w:pPr>
        <w:pStyle w:val="TextBody"/>
        <w:bidi w:val="0"/>
        <w:spacing w:lineRule="auto" w:line="28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the Eligible Stockholder Nominee’s written consent to being named in any proxy statement for the applicable meeting as a nominee and to serving as a director if elected; and </w:t>
      </w:r>
    </w:p>
    <w:p>
      <w:pPr>
        <w:pStyle w:val="TextBody"/>
        <w:bidi w:val="0"/>
        <w:spacing w:lineRule="auto" w:line="283" w:before="0" w:after="0"/>
        <w:jc w:val="left"/>
        <w:rPr>
          <w:rFonts w:ascii="Times New Roman;serif" w:hAnsi="Times New Roman;serif"/>
          <w:b w:val="false"/>
          <w:color w:val="000000"/>
          <w:sz w:val="20"/>
        </w:rPr>
      </w:pPr>
      <w:r>
        <w:rPr>
          <w:rFonts w:ascii="Times New Roman;serif" w:hAnsi="Times New Roman;serif"/>
          <w:b w:val="false"/>
          <w:color w:val="000000"/>
          <w:sz w:val="20"/>
        </w:rPr>
        <w:t>(3) a written representation and agreement from such Eligible Stockholder Nominee that such Eligible Stockholder Nominee: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is not and will not become a party to any agreement, arrangement or understanding with, and has not given any commitment or assurance to, any person or entity as to how such person, if elected as a director of the Corporation, will act or vote on any issue or question if such agreement, arrangement or understanding has not been disclosed to the Corporation, or if such agreement, arrangement or understanding could limit or interfere with such person’s ability to comply, if elected as a director of the Corporation, with such person’s fiduciary duties under applicable law,</w: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may not be, and may not become, a party to any compensatory, payment, indemnification or other financial agreement, arrangement or understanding with any person or entity other than the Corporation in connection with service or action as a director that has not been disclosed to the Corporation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will comply with all of the Corporation’s corporate governance, conflict of interest, confidentiality and stock ownership and trading policies and guidelines, and any other Corporation policies and guidelines applicable to directors;</w:t>
      </w:r>
    </w:p>
    <w:p>
      <w:pPr>
        <w:pStyle w:val="TextBody"/>
        <w:bidi w:val="0"/>
        <w:spacing w:before="0" w:after="0"/>
        <w:jc w:val="left"/>
        <w:rPr/>
      </w:pPr>
      <w:r>
        <w:rPr/>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 copy of the Schedule 14N that has been filed with the Securities and Exchange Commission as required by Rule 14a-18 under the Exchange Act, as amended;</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the written agreement of the Eligible Stockholder (including, in the case of a group, each member thereof) addressed to the Secretary, setting forth the following additional agreements, representations, and warranties:</w:t>
      </w:r>
    </w:p>
    <w:p>
      <w:pPr>
        <w:pStyle w:val="TextBody"/>
        <w:bidi w:val="0"/>
        <w:spacing w:lineRule="auto" w:line="280" w:before="0" w:after="120"/>
        <w:jc w:val="left"/>
        <w:rPr>
          <w:rFonts w:ascii="Times New Roman;serif" w:hAnsi="Times New Roman;serif"/>
          <w:b w:val="false"/>
          <w:color w:val="000000"/>
          <w:sz w:val="20"/>
        </w:rPr>
      </w:pPr>
      <w:r>
        <w:rPr>
          <w:rFonts w:ascii="Times New Roman;serif" w:hAnsi="Times New Roman;serif"/>
          <w:b w:val="false"/>
          <w:color w:val="000000"/>
          <w:sz w:val="20"/>
        </w:rPr>
        <w:t>(1) one or more written statements of the Eligible Stockholder setting forth and certifying to the number of shares of the Corporation it is deemed to own for purposes of this Section 12;</w:t>
      </w:r>
    </w:p>
    <w:p>
      <w:pPr>
        <w:pStyle w:val="TextBody"/>
        <w:bidi w:val="0"/>
        <w:spacing w:lineRule="auto" w:line="280" w:before="0" w:after="120"/>
        <w:jc w:val="left"/>
        <w:rPr>
          <w:rFonts w:ascii="Times New Roman;serif" w:hAnsi="Times New Roman;serif"/>
          <w:b w:val="false"/>
          <w:color w:val="000000"/>
          <w:sz w:val="20"/>
        </w:rPr>
      </w:pPr>
      <w:r>
        <w:rPr>
          <w:rFonts w:ascii="Times New Roman;serif" w:hAnsi="Times New Roman;serif"/>
          <w:b w:val="false"/>
          <w:color w:val="000000"/>
          <w:sz w:val="20"/>
        </w:rPr>
        <w:t>(2) one or more written statements from the record holder of the shares (and from each intermediary through which the shares are or have been held during the requisite three-year holding period) verifying that, as of a date within seven (7) calendar days prior to the date the Stockholder Notice is delivered to the Secretary, the Eligible Stockholder owns, and has owned continuously for the preceding three (3) years, the Required Shares, and the Eligible Stockholder’s agreement to provide, within five (5) business days after the record date for the annual meeting of stockholders, written statements from the record holder and intermediaries verifying such Eligible Stockholder’s continuous ownership of the Required Shares through the record date;</w:t>
      </w:r>
    </w:p>
    <w:p>
      <w:pPr>
        <w:pStyle w:val="TextBody"/>
        <w:bidi w:val="0"/>
        <w:spacing w:lineRule="auto" w:line="280" w:before="0" w:after="120"/>
        <w:jc w:val="left"/>
        <w:rPr>
          <w:rFonts w:ascii="Times New Roman;serif" w:hAnsi="Times New Roman;serif"/>
          <w:b w:val="false"/>
          <w:color w:val="000000"/>
          <w:sz w:val="20"/>
        </w:rPr>
      </w:pPr>
      <w:r>
        <w:rPr>
          <w:rFonts w:ascii="Times New Roman;serif" w:hAnsi="Times New Roman;serif"/>
          <w:b w:val="false"/>
          <w:color w:val="000000"/>
          <w:sz w:val="20"/>
        </w:rPr>
        <w:t>(3) that such Eligible Stockholder: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acquired the Required Shares in the ordinary course of business and not     with the intent to change or influence control at the Corporation, and does not presently have such intent;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presently intends to maintain the Required Ownership Percentage of     the Required Shares through the date of the annual meeting of stockholders;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 has not nominated and will not otherwise nominate for election to the     Board of Directors at the annual meeting of stockholders any person other than the Eligible Stockholder Nominee(s) being nominated pursuant to this Section 12;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has not engaged and will not engage in, and has not been and will not be a “participant” in another person’s, “solicitation” within the meaning of Rule 14a-1(l) under the Exchange Act, as amended, in support of the election of any individual as a director at the annual meeting of stockholders other than its Eligible Stockholder Nominee or a nominee of the Board of Directors;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 will not distribute to any stockholder any form of proxy for the annual     meeting of stockholders other than the form distributed by the Corporation;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 confirms that it will notify the Corporation of any defects in, and otherwise update and supplement, the information provided to the Corporation pursuant to this Section 12 as required by Section 12(h);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 as to any funds purporting to be a Qualifying Fund, within five (5) business days after the date of the Stockholder Notice, will provide documentation reasonably satisfactory to the Corporation that demonstrates such funds satisfy the requirements of this Section 12 to be a Qualifying Fund;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(4) that the Eligible Stockholder agrees 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assume all liability stemming from any legal or regulatory violation arising out of the Eligible Stockholder’s communications with the stockholders of the Corporation or out of the information that such Eligible Stockholder provided to the Corporation;</w:t>
      </w:r>
    </w:p>
    <w:p>
      <w:pPr>
        <w:pStyle w:val="TextBody"/>
        <w:bidi w:val="0"/>
        <w:spacing w:lineRule="auto" w:line="288" w:before="1" w:after="240"/>
        <w:jc w:val="left"/>
        <w:rPr>
          <w:rFonts w:ascii="Times New Roman;serif" w:hAnsi="Times New Roman;serif"/>
          <w:b w:val="false"/>
          <w:color w:val="000000"/>
          <w:sz w:val="20"/>
        </w:rPr>
      </w:pPr>
      <w:r>
        <w:rPr>
          <w:rFonts w:ascii="Times New Roman;serif" w:hAnsi="Times New Roman;serif"/>
          <w:b w:val="false"/>
          <w:color w:val="000000"/>
          <w:sz w:val="20"/>
        </w:rPr>
        <w:t>(B) comply with all other laws, rules, regulations and listing standards applicable to any solicitation in connection with the annual meeting of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12;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file with the Securities and Exchange Commission any solicitation materials with the Corporation’s stockholders relating to the annual meeting, one or more of the Corporation’s directors or director nominees or any Eligible Stockholder Nominee, regardless of whether any such filing is required under Regulation 14A of the Exchange Act, as amended, or whether any exemption from filing is available for such solicitation or other communication under Regulation 14A of the Exchange Act, as amended; and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 intend to be present in person at the annual meeting (or virtually, if no in person meeting is held) or send a qualified representative in its place, to present its Eligible Stockholder Nominee at the meeting; and</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Timeliness of Stockholder Notice</w:t>
      </w:r>
      <w:r>
        <w:rPr>
          <w:rFonts w:ascii="Times New Roman;serif" w:hAnsi="Times New Roman;serif"/>
          <w:b w:val="false"/>
          <w:color w:val="000000"/>
          <w:sz w:val="20"/>
        </w:rPr>
        <w:t>. To be timely under this Section 12, the Stockholder Notice must be delivered to the Secretary at the principal executive offices of the Corporation not less than 120 calendar days nor more than 150 calendar days prior to the first anniversary of the date the Corporation’s proxy statement was first mailed to stockholders in connection with the prior year’s annual meeting of stockholders; provided, however, if no annual meeting was held in the previous year, or if the date of the applicable annual meeting is advanced by more than thirty (30) days or delayed by more than ninety (90) days from such anniversary date, the Stockholder Notice must be delivered to the Secretary not later than 120 days nor more than 150 days prior to the current year’s annual meeting or not later than the tenth (10th) calendar day following the date on which the Corporation makes a Public Announcement of the date of the applicable annual meeting. In no event shall any adjournment or postponement of an annual meeting, or the announcement thereof, commence a new time period (or extend any time period) for the delivery of the Stockholder Notice as described above.</w: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Director Questionnaires and Requests for Additional Information</w:t>
      </w:r>
      <w:r>
        <w:rPr>
          <w:rFonts w:ascii="Times New Roman;serif" w:hAnsi="Times New Roman;serif"/>
          <w:b w:val="false"/>
          <w:color w:val="000000"/>
          <w:sz w:val="20"/>
        </w:rPr>
        <w:t>. At the request of the Corporation, the Eligible Stockholder Nominee must promptly, but in any event within five business days of such request, sign, complete and submit to the Corporation all questionnaires required of directors of the Corporation and provide to the Corporation such other information as it may reasonably request. The Corporation may request such additional information as necessary to permit the Board of Directors to determine if each Eligible Stockholder Nominee is independent under any applicable listing standards, any applicable rules of the Securities and Exchange Commission and any publicly disclosed standards used by the Board of Directors in determining and disclosing the independence of the Corporation’s directors.</w: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Inaccuracies in Information Provided by Eligible Stockholders or Eligible</w:t>
      </w:r>
      <w:r>
        <w:rPr>
          <w:color w:val="000000"/>
        </w:rPr>
        <w:t xml:space="preserve"> </w:t>
      </w:r>
      <w:r>
        <w:rPr>
          <w:rFonts w:ascii="Times New Roman;serif" w:hAnsi="Times New Roman;serif"/>
          <w:b w:val="false"/>
          <w:color w:val="000000"/>
          <w:sz w:val="20"/>
          <w:u w:val="single"/>
        </w:rPr>
        <w:t>Stockholder Nominees</w:t>
      </w:r>
      <w:r>
        <w:rPr>
          <w:rFonts w:ascii="Times New Roman;serif" w:hAnsi="Times New Roman;serif"/>
          <w:b w:val="false"/>
          <w:color w:val="000000"/>
          <w:sz w:val="20"/>
        </w:rPr>
        <w:t xml:space="preserve">. In the event that any information or communications provided by the Eligible Stockholder or the Eligible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Eligible Stockholder Nominee, as the case may be, shall promptly notify the Secretary of any defect in such previously provided information and of the information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required to correct any such defect, it being understood that providing any such notification shall not be deemed to cure any defect or limit the Corporation’s rights to omit an Eligible Stockholder Nominee from its proxy materials pursuant to this Section 12.</w: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Information Included in Proxy Statement</w:t>
      </w:r>
      <w:r>
        <w:rPr>
          <w:rFonts w:ascii="Times New Roman;serif" w:hAnsi="Times New Roman;serif"/>
          <w:b w:val="false"/>
          <w:color w:val="000000"/>
          <w:sz w:val="20"/>
        </w:rPr>
        <w:t>. The Eligible Stockholder may provide to the Secretary, at the time the Stockholder Notice is provided, a written statement for inclusion in the Corporation’s proxy statement, not to exceed 500 words, in support of its Eligible Stockholder Nominee’s candidacy (the “</w:t>
      </w:r>
      <w:r>
        <w:rPr>
          <w:rFonts w:ascii="Times New Roman;serif" w:hAnsi="Times New Roman;serif"/>
          <w:b w:val="false"/>
          <w:color w:val="000000"/>
          <w:sz w:val="20"/>
          <w:u w:val="single"/>
        </w:rPr>
        <w:t>Statement</w:t>
      </w:r>
      <w:r>
        <w:rPr>
          <w:color w:val="000000"/>
        </w:rPr>
        <w:t>”</w:t>
      </w:r>
      <w:r>
        <w:rPr>
          <w:rFonts w:ascii="Times New Roman;serif" w:hAnsi="Times New Roman;serif"/>
          <w:b w:val="false"/>
          <w:color w:val="000000"/>
          <w:sz w:val="20"/>
        </w:rPr>
        <w:t>). Notwithstanding anything to the contrary contained in this Section 12,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12 shall limit the Corporation’s ability to solicit against, and include in its proxy materials its own statements relating to, any Eligible Stockholder or Eligible Stockholder Nominee.</w: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(j) </w:t>
      </w:r>
      <w:r>
        <w:rPr>
          <w:rFonts w:ascii="Times New Roman;serif" w:hAnsi="Times New Roman;serif"/>
          <w:b w:val="false"/>
          <w:color w:val="000000"/>
          <w:sz w:val="20"/>
          <w:u w:val="single"/>
        </w:rPr>
        <w:t>Exclusion of Eligible Stockholder Nominees from Proxy Materials</w:t>
      </w:r>
      <w:r>
        <w:rPr>
          <w:rFonts w:ascii="Times New Roman;serif" w:hAnsi="Times New Roman;serif"/>
          <w:b w:val="false"/>
          <w:color w:val="000000"/>
          <w:sz w:val="20"/>
        </w:rPr>
        <w:t>. The Corporation shall not be required to include, pursuant to this Section 12, any Eligible Stockholder Nominee in its proxy materials for any annual meeting of stockholders, and any such nomination shall be disregarded and no vote on such Eligible Stockholder Nominee will occur, notwithstanding that proxies in respect of such vote may have been received by the Corporation, if:</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Secretary receives a notice (whether or not subsequently withdrawn) that an Eligible Stockholder nominating such Eligible Stockholder Nominee has nominated any person for election to the Board of Directors pursuant to the advance notice requirements for stockholder nominees for directors set forth in Article II, Section 7 of these By-laws,</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Eligible Stockholder Nominee (1) is, or has been within the three (3) years preceding the date the Corporation first mails to the stockholders its notice of meeting that includes the name of the Eligible Stockholder Nominee, an officer or director of a company that is a competitor, as defined in Section 8 of the Clayton Antitrust Act of 1914, of the Corporation, as determined by the Board of Directors, (2) is not independent, as determined by the Board of Directors, under any applicable listing standards, any applicable rules of the Securities and Exchange Commission or any publicly disclosed standards used by the Board of Directors in determining and disclosing the independence of the Corporation’s directors, (3) who does not meet the audit committee independence requirements under any applicable listing standards, is not a “nonemployee director” for the purposes of Rule 16b-3 under the Act, as amended (or any successor rule) or is not an “outside director” for the purposes of Section 162(m) of the Internal Revenue Code (or any successor provision), (4) is or becomes a party to any compensatory, payment or other financial agreement, arrangement or understanding with any person other than the Corporation that has not been disclosed to the Corporation, (5) is named a subject of a criminal proceeding (excluding traffic violations and other minor offenses) pending as of the date the Corporation first mails to the stockholders its notice of meeting that includes the name of the Eligible Stockholder Nominee or, within the ten (10) years preceding such date, has been convicted in such a criminal proceeding, (6) is subject to any order of the type specified in Rule 506(d) of Regulation D promulgated under the Securities Act of 1933, as amended or (7) upon becoming a member of the Board of Directors would cause the Corporation to be in violation of these By-laws, the Articles of Incorporation, any applicable listing standard or applicable state or federal law, rule or regulation;</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Eligible Stockholder Nominee or the Eligible Stockholder (including, in the case of a group, any member thereof) who has nominated such Eligible Stockholder Nominee has engaged in or is currently engaged in, or has been or is a “participant” in another person’s, “solicitation” within the meaning of Rule 14a- 1(l) under the Exchange Act, as amended, in support of the election of any individual as a director at the meeting other than such Eligible Stockholder Nominee or a nominee of the Board of Directors;</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(iv) the Eligible Stockholder Nominee or the Eligible Stockholder (including, in the case of a group, any member thereof) shall have provided information to the Corporation in respect of such nomination that was untrue in any material respect or omitted to state a material fact necessary in order to make the statement made, in light of the circumstances under which it was made, not misleading; or </w:t>
      </w:r>
    </w:p>
    <w:p>
      <w:pPr>
        <w:pStyle w:val="TextBody"/>
        <w:bidi w:val="0"/>
        <w:spacing w:lineRule="auto" w:line="283" w:before="1"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 if the Eligible Stockholder (including, in the case of a group, any member thereof) or     applicable Eligible Stockholder Nominee otherwise shall have breached or contravened any of its or their agreements, representations or undertakings or failed to comply with this Section 12.</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(k) </w:t>
      </w:r>
      <w:r>
        <w:rPr>
          <w:rFonts w:ascii="Times New Roman;serif" w:hAnsi="Times New Roman;serif"/>
          <w:b w:val="false"/>
          <w:color w:val="000000"/>
          <w:sz w:val="20"/>
          <w:u w:val="single"/>
        </w:rPr>
        <w:t>Ineligibility of Certain Eligible Stockholder Nominees</w:t>
      </w:r>
      <w:r>
        <w:rPr>
          <w:rFonts w:ascii="Times New Roman;serif" w:hAnsi="Times New Roman;serif"/>
          <w:b w:val="false"/>
          <w:color w:val="000000"/>
          <w:sz w:val="20"/>
        </w:rPr>
        <w:t>. Any Eligible Stockholder     Nominee who is included in the Corporation’s proxy materials for a particular annual meeting of stockholders shall be ineligible to be a Eligible Stockholder Nominee pursuant to this Section 12 for the next two (2) annual meetings of stockholders if such Eligible Stockholder Nominee (i) withdraws from or becomes ineligible or unavailable for election at the annual meeting or (ii) does not receive at least 25% of the votes cast in favor of the Eligible Stockholder Nominee’s election.</w:t>
      </w:r>
    </w:p>
    <w:p>
      <w:pPr>
        <w:pStyle w:val="TextBody"/>
        <w:bidi w:val="0"/>
        <w:spacing w:lineRule="auto" w:line="288" w:before="0" w:after="120"/>
        <w:ind w:left="0" w:right="0" w:firstLine="1080"/>
        <w:jc w:val="left"/>
        <w:rPr/>
      </w:pPr>
      <w:r>
        <w:rPr>
          <w:rFonts w:ascii="Times New Roman;serif" w:hAnsi="Times New Roman;serif"/>
          <w:b w:val="false"/>
          <w:color w:val="000000"/>
          <w:sz w:val="20"/>
        </w:rPr>
        <w:t xml:space="preserve">(l) </w:t>
      </w:r>
      <w:r>
        <w:rPr>
          <w:rFonts w:ascii="Times New Roman;serif" w:hAnsi="Times New Roman;serif"/>
          <w:b w:val="false"/>
          <w:color w:val="000000"/>
          <w:sz w:val="20"/>
          <w:u w:val="single"/>
        </w:rPr>
        <w:t>Exclusive Method of Proxy Access</w:t>
      </w:r>
      <w:r>
        <w:rPr>
          <w:rFonts w:ascii="Times New Roman;serif" w:hAnsi="Times New Roman;serif"/>
          <w:b w:val="false"/>
          <w:color w:val="000000"/>
          <w:sz w:val="20"/>
        </w:rPr>
        <w:t>. This Section 12 shall be the exclusive method     for stockholders (including beneficial owners of stock) to include nominees for director election in the Corporation’s proxy materials.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Section 13. </w:t>
      </w:r>
      <w:r>
        <w:rPr>
          <w:rFonts w:ascii="Times New Roman;serif" w:hAnsi="Times New Roman;serif"/>
          <w:b w:val="false"/>
          <w:color w:val="000000"/>
          <w:sz w:val="20"/>
          <w:u w:val="single"/>
        </w:rPr>
        <w:t>Invalid Nominations</w:t>
      </w:r>
      <w:r>
        <w:rPr>
          <w:rFonts w:ascii="Times New Roman;serif" w:hAnsi="Times New Roman;serif"/>
          <w:b w:val="false"/>
          <w:color w:val="000000"/>
          <w:sz w:val="20"/>
        </w:rPr>
        <w:t>. Notwithstanding anything to the contrary set forth in this Article II, the Board of Directors or, during the annual meeting of stockholders of the Corporation, the chair of the annual meeting of stockholders shall declare a nomination by any stockholder to be invalid, and such nomination shall be disregarded notwithstanding that proxies in respect of such vote may have been received by the Corporation, if: (i) such stockholder (including, in the case of a group, any member thereof) or the applicable nominee thereof shall have breached its or their obligations under this Article II, including but not limited to Section 7 or 12 or breached any representations, agreements or undertakings required thereunder, (ii) such nominee or the applicable stockholder (including, in the case of a group, any member thereof) shall have provided information to the Corporation in respect of such nomination that was untrue in any material respect or omitted to state a material fact necessary in order to make the statement made, in light of the circumstances under which it was made, not misleading or (iii) if such stockholder (or a qualified representative thereof) does not appear in person at the annual meeting or special meeting, as applicable, of stockholders (or virtually, if no in person meeting is held) to present any nomination pursuant to Article II, Section 7 or 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III</w:t>
      </w:r>
    </w:p>
    <w:p>
      <w:pPr>
        <w:pStyle w:val="TextBody"/>
        <w:bidi w:val="0"/>
        <w:spacing w:before="2"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Board of Directors</w:t>
      </w:r>
    </w:p>
    <w:p>
      <w:pPr>
        <w:pStyle w:val="TextBody"/>
        <w:bidi w:val="0"/>
        <w:spacing w:before="8" w:after="283"/>
        <w:jc w:val="left"/>
        <w:rPr/>
      </w:pPr>
      <w:r>
        <w:rPr/>
      </w:r>
    </w:p>
    <w:p>
      <w:pPr>
        <w:pStyle w:val="TextBody"/>
        <w:bidi w:val="0"/>
        <w:spacing w:lineRule="auto" w:line="288" w:before="91"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General Powers</w:t>
      </w:r>
      <w:r>
        <w:rPr>
          <w:rFonts w:ascii="Times New Roman;serif" w:hAnsi="Times New Roman;serif"/>
          <w:b w:val="false"/>
          <w:color w:val="000000"/>
          <w:sz w:val="20"/>
        </w:rPr>
        <w:t>. The property, business and affairs of the Corporation shall be managed by the Board of Directors. The Board of Directors may exercise all such authority and powers of the Corporation and do all such lawful acts and things as are not by statute or the Certificate of Incorporation or these By-laws directed or required to be exercised or done by the stockholders.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Number, Term of Office, Qualifications and Election</w:t>
      </w:r>
      <w:r>
        <w:rPr>
          <w:rFonts w:ascii="Times New Roman;serif" w:hAnsi="Times New Roman;serif"/>
          <w:b w:val="false"/>
          <w:color w:val="000000"/>
          <w:sz w:val="20"/>
        </w:rPr>
        <w:t>.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 contested election, the directors will be elected by a plurality of the votes cast, meaning the directors receiving the largest number of “for” votes will be elected to the open director positions. A contested election is one in which: (i) as of the last day for giving notice of a stockholder nominee, a stockholder has nominated a candidate for director according to the requirements of our Bylaws, and (ii) as of the date that notice of the meeting is given, the Board of Directors considers that a stockholder candidacy has created a bona fide election contest.</w:t>
      </w:r>
    </w:p>
    <w:p>
      <w:pPr>
        <w:pStyle w:val="TextBody"/>
        <w:bidi w:val="0"/>
        <w:spacing w:before="8" w:after="283"/>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an uncontested election, each director will be elected by a vote of the majority of the votes cast and any nominee for Director in an uncontested election who does not receive a majority of votes cast for his or her election shall not be elected. A majority of votes cast means the number of shares cast “for” a director’s election exceeds the number of votes cast “against” that director. Any share (a) whose ballot is marked as withheld, (b) that is otherwise present at the meeting but for which there is an abstention, or (c) a share otherwise present at the meeting as to which a stockholder gives no authority or direction will not be treated as a vote cast. An incumbent director who is not elected because he or she does not receive a majority of votes cast for his or her election will continue to serve as a holdover director and shall submit his or her irrevocable offer of resignation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consideration by the Nominating and Corporate Governance Committee within ninety (90) days from the date of the election. The Nominating and Corporate Governance Committee shall consider all of the relevant facts and circumstances and recommend to the Board the action to be taken with respect to such offer of resignation in determining whether to accept such offer.</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Annual Meeting</w:t>
      </w:r>
      <w:r>
        <w:rPr>
          <w:rFonts w:ascii="Times New Roman;serif" w:hAnsi="Times New Roman;serif"/>
          <w:b w:val="false"/>
          <w:color w:val="000000"/>
          <w:sz w:val="20"/>
        </w:rPr>
        <w:t>. The Board of Directors shall meet for the purpose of organization, the election of officers and the transaction of other business, as soon as practicable after each annual meeting of the stockholders, on the same day and at the same place where such annual meeting shall be held. Notice of such meeting need not be given. Such meeting may be held at any other time or place (within or without the State of Delaware) which shall be specified in a notice thereof given as hereinafter provided in Section 6 of this Article III, or in a waiver of notice thereof.</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Regular Meetings</w:t>
      </w:r>
      <w:r>
        <w:rPr>
          <w:rFonts w:ascii="Times New Roman;serif" w:hAnsi="Times New Roman;serif"/>
          <w:b w:val="false"/>
          <w:color w:val="000000"/>
          <w:sz w:val="20"/>
        </w:rPr>
        <w:t>. Regular meetings of the Board of Directors shall be held at such times and places within or without the State of Delaware as the Board of Directors may from time to time by resolution determine. If any day fixed for a regular meeting shall be a legal holiday at the place where the meeting is to be held, then the meeting which would otherwise be held on that day shall be held at the same hour on the next succeeding business day. Notice of regular meetings of the Board of Directors need not be given except as otherwise required by statute or these By-laws.</w:t>
      </w:r>
    </w:p>
    <w:p>
      <w:pPr>
        <w:pStyle w:val="TextBody"/>
        <w:bidi w:val="0"/>
        <w:spacing w:lineRule="auto" w:line="280" w:before="0" w:after="120"/>
        <w:ind w:left="0" w:right="0" w:firstLine="720"/>
        <w:jc w:val="left"/>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Special Meetings</w:t>
      </w:r>
      <w:r>
        <w:rPr>
          <w:rFonts w:ascii="Times New Roman;serif" w:hAnsi="Times New Roman;serif"/>
          <w:b w:val="false"/>
          <w:color w:val="000000"/>
          <w:sz w:val="20"/>
        </w:rPr>
        <w:t>. Special meetings of the Board of Directors may be called at any time by the Chair of the Board of Directors, the Chief Executive Officer, the President, if any, or any two directors of the Corporation and shall be held at such time and at such place within or without the State of Delaware as shall be specified in the notice of meeting or waiver thereof.</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Notice of Meetings</w:t>
      </w:r>
      <w:r>
        <w:rPr>
          <w:rFonts w:ascii="Times New Roman;serif" w:hAnsi="Times New Roman;serif"/>
          <w:b w:val="false"/>
          <w:color w:val="000000"/>
          <w:sz w:val="20"/>
        </w:rPr>
        <w:t>. Notice of each special meeting of the Board of Directors (and of each regular meeting for which notice shall be required) shall be given by the Secretary as hereinafter provided in this Section 6, in which notice shall be stated the time and place of the meeting. Notice of each such meeting shall be delivered to each director, either personally or by telephone, telegraph, cable, or wireless, at least twenty- four hours before the time at which such meeting is to be held, or shall be mailed to each director by first-class mail postage prepaid, addressed to him or her at his or her residence or usual place of business, at least three days before the day on which such meeting is to be held. Notice of any such meeting need not be given to any director who shall, either before or after the meeting, submit a signed waiver of notice or who shall attend such meeting without objecting, at the beginning of such meeting, to the transaction of any business because the meeting is not lawfully called or convened. Except as otherwise specifically required by these By-laws, a notice or waiver of notice of any regular or special meeting of the Board of Directors need not state the purpose or purposes of such meeting.</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7. </w:t>
      </w:r>
      <w:r>
        <w:rPr>
          <w:rFonts w:ascii="Times New Roman;serif" w:hAnsi="Times New Roman;serif"/>
          <w:b w:val="false"/>
          <w:color w:val="000000"/>
          <w:sz w:val="20"/>
          <w:u w:val="single"/>
        </w:rPr>
        <w:t>Quorum and Manner of Acting</w:t>
      </w:r>
      <w:r>
        <w:rPr>
          <w:rFonts w:ascii="Times New Roman;serif" w:hAnsi="Times New Roman;serif"/>
          <w:b w:val="false"/>
          <w:color w:val="000000"/>
          <w:sz w:val="20"/>
        </w:rPr>
        <w:t>. Except as provided in Section 5 of Article IX of these By-laws, a majority of the directors shall be present in person at any meeting of the Board of Directors in order to constitute a quorum for the transaction of business at such meeting, and, except as otherwise expressly required by statute or the Certificate of Incorporation, the act of a majority of the directors present at any meeting at which a quorum is present shall be the act of the Board of Directors. In the absence of a quorum at any meeting of the Board of Directors, a majority of the directors present thereat, or if no director be present, the Secretary, may adjourn such meeting to another time and place, or such meeting, unless it be the annual meeting of the Board of Directors, need not be held. At any adjourned meeting at which a quorum is present, any business may be transacted which might have been transacted at the meeting as originally called. Except as provided in Section 13 of this Article III, Article IV and Section 5 of Article IX of these By-laws and as otherwise specifically authorized by resolution of the Board of Directors, the directors shall act only as a Board of Directors and the individual directors shall have no power as such.</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8. </w:t>
      </w:r>
      <w:r>
        <w:rPr>
          <w:rFonts w:ascii="Times New Roman;serif" w:hAnsi="Times New Roman;serif"/>
          <w:b w:val="false"/>
          <w:color w:val="000000"/>
          <w:sz w:val="20"/>
          <w:u w:val="single"/>
        </w:rPr>
        <w:t>Organization</w:t>
      </w:r>
      <w:r>
        <w:rPr>
          <w:rFonts w:ascii="Times New Roman;serif" w:hAnsi="Times New Roman;serif"/>
          <w:b w:val="false"/>
          <w:color w:val="000000"/>
          <w:sz w:val="20"/>
        </w:rPr>
        <w:t>. At each meeting of the Board of Directors, the Chair of the Board of Directors, if any, or, in his or her absence or inability to act, the Chief Executive Officer, or in his or her absence or inability to act, the President, if any, or, in his or her absence or inability to act, another director chosen by a majority of the directors present, shall act as chair of the meeting and preside thereat. The minutes of the meeting shall be recorded by any officer of the Corporation present and designated by the chair.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9. </w:t>
      </w:r>
      <w:r>
        <w:rPr>
          <w:rFonts w:ascii="Times New Roman;serif" w:hAnsi="Times New Roman;serif"/>
          <w:b w:val="false"/>
          <w:color w:val="000000"/>
          <w:sz w:val="20"/>
          <w:u w:val="single"/>
        </w:rPr>
        <w:t>Resignations</w:t>
      </w:r>
      <w:r>
        <w:rPr>
          <w:rFonts w:ascii="Times New Roman;serif" w:hAnsi="Times New Roman;serif"/>
          <w:b w:val="false"/>
          <w:color w:val="000000"/>
          <w:sz w:val="20"/>
        </w:rPr>
        <w:t>. Any director of the corporation may resign at any time by giving written notice of his or her resignation to the Board of Directors, the Chair of the Board of Directors, the Chief Executive Officer, the President, if any, or the Secretary. Any such resignation shall take effect at the time specified therein, or, if the time when it shall become effective shall not be specified therein, immediately upon its receipt; and, unless otherwise specified therein, the acceptance of such resignation shall not be necessary to make it effective.</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10. </w:t>
      </w:r>
      <w:r>
        <w:rPr>
          <w:rFonts w:ascii="Times New Roman;serif" w:hAnsi="Times New Roman;serif"/>
          <w:b w:val="false"/>
          <w:color w:val="000000"/>
          <w:sz w:val="20"/>
          <w:u w:val="single"/>
        </w:rPr>
        <w:t>Removal of Directors.</w:t>
      </w:r>
      <w:r>
        <w:rPr>
          <w:color w:val="000000"/>
        </w:rPr>
        <w:t xml:space="preserve"> </w:t>
      </w:r>
      <w:r>
        <w:rPr>
          <w:rFonts w:ascii="Times New Roman;serif" w:hAnsi="Times New Roman;serif"/>
          <w:b w:val="false"/>
          <w:color w:val="000000"/>
          <w:sz w:val="20"/>
        </w:rPr>
        <w:t>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Vacancies.</w:t>
      </w:r>
      <w:r>
        <w:rPr>
          <w:color w:val="000000"/>
        </w:rPr>
        <w:t xml:space="preserve"> </w:t>
      </w:r>
      <w:r>
        <w:rPr>
          <w:rFonts w:ascii="Times New Roman;serif" w:hAnsi="Times New Roman;serif"/>
          <w:b w:val="false"/>
          <w:color w:val="000000"/>
          <w:sz w:val="20"/>
        </w:rPr>
        <w:t>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Compensation</w:t>
      </w:r>
      <w:r>
        <w:rPr>
          <w:rFonts w:ascii="Times New Roman;serif" w:hAnsi="Times New Roman;serif"/>
          <w:b w:val="false"/>
          <w:color w:val="000000"/>
          <w:sz w:val="20"/>
        </w:rPr>
        <w:t>. The Board of Directors or a committee of the Board of Directors designated by it shall have authority to fix the compensation, including without limitation fees and reimbursement of expenses, of directors for services to the Corporation in any capacity; provided, however, that no such payment shall preclude any director from serving the Corporation in any other capacity and receiving compensation therefor.</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13. </w:t>
      </w:r>
      <w:r>
        <w:rPr>
          <w:rFonts w:ascii="Times New Roman;serif" w:hAnsi="Times New Roman;serif"/>
          <w:b w:val="false"/>
          <w:color w:val="000000"/>
          <w:sz w:val="20"/>
          <w:u w:val="single"/>
        </w:rPr>
        <w:t>Action without Meeting</w:t>
      </w:r>
      <w:r>
        <w:rPr>
          <w:rFonts w:ascii="Times New Roman;serif" w:hAnsi="Times New Roman;serif"/>
          <w:b w:val="false"/>
          <w:color w:val="000000"/>
          <w:sz w:val="20"/>
        </w:rPr>
        <w:t>.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pStyle w:val="TextBody"/>
        <w:bidi w:val="0"/>
        <w:spacing w:before="8"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14. </w:t>
      </w:r>
      <w:r>
        <w:rPr>
          <w:rFonts w:ascii="Times New Roman;serif" w:hAnsi="Times New Roman;serif"/>
          <w:b w:val="false"/>
          <w:color w:val="000000"/>
          <w:sz w:val="20"/>
          <w:u w:val="single"/>
        </w:rPr>
        <w:t>Participation in Meetings by Telephone and Other Equipment</w:t>
      </w:r>
      <w:r>
        <w:rPr>
          <w:rFonts w:ascii="Times New Roman;serif" w:hAnsi="Times New Roman;serif"/>
          <w:b w:val="false"/>
          <w:color w:val="000000"/>
          <w:sz w:val="20"/>
        </w:rPr>
        <w:t>. Members of the Board of Directors or of any committee thereof may participate in a meeting of the Board of Directors or committee by means of conference telephone or similar communications equipment by means of which all persons participating in the meeting can hear each other, and participation in a meeting pursuant to this Section shall constitute presence in person at such meeting.</w:t>
      </w:r>
    </w:p>
    <w:p>
      <w:pPr>
        <w:pStyle w:val="TextBody"/>
        <w:bidi w:val="0"/>
        <w:spacing w:before="0" w:after="0"/>
        <w:jc w:val="left"/>
        <w:rPr/>
      </w:pPr>
      <w:r>
        <w:rPr/>
      </w:r>
    </w:p>
    <w:p>
      <w:pPr>
        <w:pStyle w:val="TextBody"/>
        <w:bidi w:val="0"/>
        <w:spacing w:lineRule="auto" w:line="288" w:before="81" w:after="120"/>
        <w:jc w:val="center"/>
        <w:rPr>
          <w:rFonts w:ascii="Times New Roman;serif" w:hAnsi="Times New Roman;serif"/>
          <w:b w:val="false"/>
          <w:color w:val="000000"/>
          <w:sz w:val="20"/>
        </w:rPr>
      </w:pPr>
      <w:r>
        <w:rPr>
          <w:rFonts w:ascii="Times New Roman;serif" w:hAnsi="Times New Roman;serif"/>
          <w:b w:val="false"/>
          <w:color w:val="000000"/>
          <w:sz w:val="20"/>
        </w:rPr>
        <w:t>ARTICLE IV</w:t>
      </w:r>
    </w:p>
    <w:p>
      <w:pPr>
        <w:pStyle w:val="TextBody"/>
        <w:bidi w:val="0"/>
        <w:spacing w:lineRule="auto" w:line="288" w:before="0" w:after="1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Executive and Other Committees</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Executive and Other Committees</w:t>
      </w:r>
      <w:r>
        <w:rPr>
          <w:rFonts w:ascii="Times New Roman;serif" w:hAnsi="Times New Roman;serif"/>
          <w:b w:val="false"/>
          <w:color w:val="000000"/>
          <w:sz w:val="20"/>
        </w:rPr>
        <w:t>. The Board of Directors may, by a resolution passed by a majority of the whole Board, designate an Executive Committee, to consist of three or more directors of the Corporation, and one or more other committees, each such other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any member of the Executive Committee or such other committee or committees, the member or members thereof present at any meeting and not disqualified from voting, whether or not he, she or they constitute a quorum, may unanimously appoint another member of the Board of Directors to act at the meeting in the place of any such absent or disqualified member. The Executive Committee, while the Board of Directors is not in session, shall have and may exercise, and any such other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adopting, or recommending to the stockholders any action or matter (other than the election or removal of directors) expressly required by the DGCL to be submitted to stockholders for approval or (ii) adopting, amending or repealing any bylaw of the Corporation. Each committee shall keep written minutes of its proceedings and shall report such minutes to the Board of Directors when required. All such proceedings shall be subject to revision or alteration by the Board of Directors; provided, however, that rights of third parties shall not be prejudiced by such revision or alteration. The Board of Directors, by action of a majority of the entire Board, may at any time fill vacancies in, change the membership of, or dissolve any such committee.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Executive Committee: General</w:t>
      </w:r>
      <w:r>
        <w:rPr>
          <w:rFonts w:ascii="Times New Roman;serif" w:hAnsi="Times New Roman;serif"/>
          <w:b w:val="false"/>
          <w:color w:val="000000"/>
          <w:sz w:val="20"/>
        </w:rPr>
        <w:t>. Regular meetings of the Executive Committee shall be held at such times and places, within or without the State of Delaware, as a majority of such Committee may from time to time by resolution determine. Special meetings of the Executive Committee may be called at the request of any member thereof and may be held at such times and places, within or without the State of Delaware, as such Committee may from time to time by resolution determine or as shall be specified in the respective notices or waivers of notice thereof. Notice of regular meetings of such Committee need not be given except as otherwise required by statute or these By-laws. Notice of each special meeting of such Committee shall be given to each member of such Committee in the manner provided for in Section 6 of Article III of these By-laws. Subject to the provisions of this Article IV, the Executive Committee, by resolution of a majority of such Committee, shall fix its own rules of procedure. A majority of the Executive Committee shall be present in person at any meeting of the Executive Committee in order to constitute a quorum for the transaction of business at such meeting, and the act of a majority of those present at any meeting at which a quorum is present shall be the act of the Executive Committee. The members of the Executive Committee shall act only as a committee, and the individual members shall have no power as such.</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Other Committees: General</w:t>
      </w:r>
      <w:r>
        <w:rPr>
          <w:rFonts w:ascii="Times New Roman;serif" w:hAnsi="Times New Roman;serif"/>
          <w:b w:val="false"/>
          <w:color w:val="000000"/>
          <w:sz w:val="20"/>
        </w:rPr>
        <w:t>. A majority of any committee may fix its rules of procedure, determine its action, and fix the time and place, within or without the State of Delaware, of its meetings, unless the Board of Directors shall otherwise by resolution provide. Notice of such meetings shall be given to each member of the committee in the manner provided for in Section 6 of Article III of these By-laws. Nothing in this Article IV shall be deemed to prevent the Board of Directors from appointing one or more committees consisting in whole or in part of persons who are not directors of the Corporation; provided, however, that no such committee shall have or may exercise any authority of the Board of Directors.</w:t>
      </w:r>
    </w:p>
    <w:p>
      <w:pPr>
        <w:pStyle w:val="TextBody"/>
        <w:bidi w:val="0"/>
        <w:spacing w:before="2"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V</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Officers</w:t>
      </w:r>
    </w:p>
    <w:p>
      <w:pPr>
        <w:pStyle w:val="TextBody"/>
        <w:bidi w:val="0"/>
        <w:spacing w:before="7" w:after="283"/>
        <w:jc w:val="left"/>
        <w:rPr/>
      </w:pPr>
      <w:r>
        <w:rPr/>
      </w:r>
    </w:p>
    <w:p>
      <w:pPr>
        <w:pStyle w:val="TextBody"/>
        <w:bidi w:val="0"/>
        <w:spacing w:lineRule="auto" w:line="288" w:before="92" w:after="120"/>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Number and Qualifications</w:t>
      </w:r>
      <w:r>
        <w:rPr>
          <w:rFonts w:ascii="Times New Roman;serif" w:hAnsi="Times New Roman;serif"/>
          <w:b w:val="false"/>
          <w:color w:val="000000"/>
          <w:sz w:val="20"/>
        </w:rPr>
        <w:t>. The officers of the Corporation shall include a Chief Executive Officer, a Chief Financial Officer, a Secretary and a Treasurer. Any two or more offices may be held by the same person. Such officers shall be elected from time to time by the Board of Directors, each to hold office until his or her successor shall have been duly elected and shall have qualified, or until his or her death, or until he or she shall have resigned or until he or she shall have been removed, as hereinafter provided in these By-laws. The Board of Directors may from time to time appoint such other officers (including a Chair of the Board of Directors, a President, Chief Operating Officer, one or more Executive Vice Presidents and Vice Presidents and one or more Assistant Treasurers and Assistant Secretaries) and such agents as it may deem necessary or desirable for the business of the Corporation. The Board of Directors may from time to time authorize any principal officer or committee to appoint, and to prescribe the authority and duties of, any such subordinate officers or agents. Each of such other officers and agents shall have such authority, perform such duties, and hold office for such period, as are provided in these By-laws or as may be prescribed by the Board of Directors or by the principal officer or committee appointing such officer or agent.</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Resignations</w:t>
      </w:r>
      <w:r>
        <w:rPr>
          <w:rFonts w:ascii="Times New Roman;serif" w:hAnsi="Times New Roman;serif"/>
          <w:b w:val="false"/>
          <w:color w:val="000000"/>
          <w:sz w:val="20"/>
        </w:rPr>
        <w:t>. Any officer of the Corporation may resign at any time by giving written notice of his or her resignation to the Board of Directors, the Chair of the Board of Directors, if any, the Chief Executive Officer, the President, if any, or the Secretary. Any such resignation shall take effect at the time specified therein or, if the time when it shall become effective shall not be specified therein, immediately upon its receipt; and, unless otherwise specified therein, the acceptance of such resignation shall not be necessary to make it effective.</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Removal</w:t>
      </w:r>
      <w:r>
        <w:rPr>
          <w:rFonts w:ascii="Times New Roman;serif" w:hAnsi="Times New Roman;serif"/>
          <w:b w:val="false"/>
          <w:color w:val="000000"/>
          <w:sz w:val="20"/>
        </w:rPr>
        <w:t>. The Chief Executive Officer, the Chief Financial Officer or the Secretary may be removed, either with or without cause, at any time, by the vote of the majority of the entire Board of Directors at any meeting of the Board of Directors. Any other officer or agent of the Corporation may be removed, either with or without cause, at any time, either by the vote of the majority of the entire Board of Directors at any meeting of the Board of Directors or by the Chief Executive Officer.</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Vacancies</w:t>
      </w:r>
      <w:r>
        <w:rPr>
          <w:rFonts w:ascii="Times New Roman;serif" w:hAnsi="Times New Roman;serif"/>
          <w:b w:val="false"/>
          <w:color w:val="000000"/>
          <w:sz w:val="20"/>
        </w:rPr>
        <w:t>. A vacancy in any office, whether arising from death, resignation, disqualification, removal or any other cause, may be filled for the unexpired portion of the term of the office which shall be vacant, in the manner prescribed in these By-laws for the regular election or appointment to such office.</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Chair of the Board</w:t>
      </w:r>
      <w:r>
        <w:rPr>
          <w:rFonts w:ascii="Times New Roman;serif" w:hAnsi="Times New Roman;serif"/>
          <w:b w:val="false"/>
          <w:color w:val="000000"/>
          <w:sz w:val="20"/>
        </w:rPr>
        <w:t>. The Chair of the Board of Directors, if elected, shall, if present, preside at all meetings of the stockholders and the Board of Directors and, in general, shall have such other powers and perform such other duties as usually pertain to the office of the Chair of the Board of Directors or as from time to time may be assigned to him or her by the Board of Directors. At the discretion of the Board of Directors, the Chair of the Board of Directors, if elected, may be the chief executive officer of the Corporation and, if so appointed by the Board of Directors, shall have general and active supervision and direction over the business and affairs of the Corporation and over its officers, subject, however, to the control of the Board of Directors.</w:t>
      </w:r>
    </w:p>
    <w:p>
      <w:pPr>
        <w:pStyle w:val="TextBody"/>
        <w:bidi w:val="0"/>
        <w:spacing w:lineRule="auto" w:line="288" w:before="81" w:after="283"/>
        <w:ind w:left="0" w:right="0" w:firstLine="720"/>
        <w:jc w:val="left"/>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The President</w:t>
      </w:r>
      <w:r>
        <w:rPr>
          <w:rFonts w:ascii="Times New Roman;serif" w:hAnsi="Times New Roman;serif"/>
          <w:b w:val="false"/>
          <w:color w:val="000000"/>
          <w:sz w:val="20"/>
        </w:rPr>
        <w:t>. The President, if any, shall have general and active supervision and direction over the ordinary business operations and affairs of the Corporation and over its officers, subject, however, to the supervision and direction of the Chief Executive Officer of the Corporation and to the control of the Board of Directors. In general, the President, if any, shall have such other powers and perform such other duties as usually pertain to the office of the President, or as from time to time may be assigned to him or her by the Board of Directors.</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7. </w:t>
      </w:r>
      <w:r>
        <w:rPr>
          <w:rFonts w:ascii="Times New Roman;serif" w:hAnsi="Times New Roman;serif"/>
          <w:b w:val="false"/>
          <w:color w:val="000000"/>
          <w:sz w:val="20"/>
          <w:u w:val="single"/>
        </w:rPr>
        <w:t>Chief Executive Officer</w:t>
      </w:r>
      <w:r>
        <w:rPr>
          <w:rFonts w:ascii="Times New Roman;serif" w:hAnsi="Times New Roman;serif"/>
          <w:b w:val="false"/>
          <w:color w:val="000000"/>
          <w:sz w:val="20"/>
        </w:rPr>
        <w:t>. The Chief Executive Officer of the Corporation shall have general and active supervision and direction over the business and affairs of the Corporation and over its officers, subject, however, to the control of the Board of Directors. In general, the Chief Executive Officer shall have such other powers and perform such other duties as usually pertain to the office of the chief executive officer, or as from time to time may be assigned to him or her by the Board of Directors.</w:t>
      </w:r>
    </w:p>
    <w:p>
      <w:pPr>
        <w:pStyle w:val="TextBody"/>
        <w:bidi w:val="0"/>
        <w:spacing w:before="10" w:after="283"/>
        <w:jc w:val="left"/>
        <w:rPr/>
      </w:pPr>
      <w:r>
        <w:rPr/>
      </w:r>
    </w:p>
    <w:p>
      <w:pPr>
        <w:pStyle w:val="TextBody"/>
        <w:bidi w:val="0"/>
        <w:spacing w:lineRule="auto" w:line="280" w:before="0" w:after="0"/>
        <w:ind w:left="0" w:right="0" w:firstLine="720"/>
        <w:jc w:val="left"/>
        <w:rPr/>
      </w:pPr>
      <w:r>
        <w:rPr>
          <w:rFonts w:ascii="Times New Roman;serif" w:hAnsi="Times New Roman;serif"/>
          <w:b w:val="false"/>
          <w:color w:val="000000"/>
          <w:sz w:val="20"/>
        </w:rPr>
        <w:t xml:space="preserve">Section 8. </w:t>
      </w:r>
      <w:r>
        <w:rPr>
          <w:rFonts w:ascii="Times New Roman;serif" w:hAnsi="Times New Roman;serif"/>
          <w:b w:val="false"/>
          <w:color w:val="000000"/>
          <w:sz w:val="20"/>
          <w:u w:val="single"/>
        </w:rPr>
        <w:t>Chief Financial Officer</w:t>
      </w:r>
      <w:r>
        <w:rPr>
          <w:rFonts w:ascii="Times New Roman;serif" w:hAnsi="Times New Roman;serif"/>
          <w:b w:val="false"/>
          <w:color w:val="000000"/>
          <w:sz w:val="20"/>
        </w:rPr>
        <w:t>. The Chief Financial Officer of the Corporation shall be the principal financial officer and shall have such powers and perform such duties as usually pertain to his or her office or as from time to time may be assigned to him or her by the Board of Directors, the Chair of the Board of Directors, if any, the Chief Executive Officer or the President, if any.</w:t>
      </w:r>
    </w:p>
    <w:p>
      <w:pPr>
        <w:pStyle w:val="TextBody"/>
        <w:bidi w:val="0"/>
        <w:spacing w:before="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9. </w:t>
      </w:r>
      <w:r>
        <w:rPr>
          <w:rFonts w:ascii="Times New Roman;serif" w:hAnsi="Times New Roman;serif"/>
          <w:b w:val="false"/>
          <w:color w:val="000000"/>
          <w:sz w:val="20"/>
          <w:u w:val="single"/>
        </w:rPr>
        <w:t>Executive Vice Presidents</w:t>
      </w:r>
      <w:r>
        <w:rPr>
          <w:rFonts w:ascii="Times New Roman;serif" w:hAnsi="Times New Roman;serif"/>
          <w:b w:val="false"/>
          <w:color w:val="000000"/>
          <w:sz w:val="20"/>
        </w:rPr>
        <w:t>. Each Executive Vice President, if any, shall have such powers and perform such duties as from time to time may be assigned to him or her by the Board of Directors, the Chair of the Board of Directors, if any, the Chief Executive Officer or the President, if 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Section 10. </w:t>
      </w:r>
      <w:r>
        <w:rPr>
          <w:rFonts w:ascii="Times New Roman;serif" w:hAnsi="Times New Roman;serif"/>
          <w:b w:val="false"/>
          <w:color w:val="000000"/>
          <w:sz w:val="20"/>
          <w:u w:val="single"/>
        </w:rPr>
        <w:t>Treasurer</w:t>
      </w:r>
      <w:r>
        <w:rPr>
          <w:rFonts w:ascii="Times New Roman;serif" w:hAnsi="Times New Roman;serif"/>
          <w:b w:val="false"/>
          <w:color w:val="000000"/>
          <w:sz w:val="20"/>
        </w:rPr>
        <w:t>. The Treasurer shall:</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(a) have charge and custody of, and be responsible for, all the funds and securities of the Corporation;</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(b) keep full and accurate accounts of receipts and disbursements in books belonging to the Corporation and have control of all books of account of the Corporation;</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(c) cause all moneys and other valuables to be deposited to the credit of the Corporation in such depositaries as may be designated by the Board of Directors;</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(d) receive, and give receipts for, moneys due and payable to the Corporation from any source whatsoever;</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(e) disburse the funds of the Corporation and supervise the investment of its funds as ordered or authorized by the Board of Directors, taking proper vouchers therefor;</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(f) render to the Chair of the Board of Directors, if any, the Chief Executive Officer, the President, if any, the Board of Directors or any committee thereof, whenever required, an account of the financial condition of the Corporation and of his or her transactions as Treasurer;</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(g) in general, have such other powers and perform such other duties as usually pertain to the office of Treasurer or as from time to time may be assigned to him or her by the Board of Directors, the Chair of the Board of Directors, if any, the Chief Executive Officer or by the President, if 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Other Vice Presidents</w:t>
      </w:r>
      <w:r>
        <w:rPr>
          <w:rFonts w:ascii="Times New Roman;serif" w:hAnsi="Times New Roman;serif"/>
          <w:b w:val="false"/>
          <w:color w:val="000000"/>
          <w:sz w:val="20"/>
        </w:rPr>
        <w:t>. Each other Vice President, if any, shall have such powers and perform such duties as usually pertain to his or her office or as from time to time may be assigned to him or her by the Board of Directors, the Chair of the Board of Directors, if any, the Chief Executive Officer or the President, if any.</w: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Assistant Treasurers</w:t>
      </w:r>
      <w:r>
        <w:rPr>
          <w:rFonts w:ascii="Times New Roman;serif" w:hAnsi="Times New Roman;serif"/>
          <w:b w:val="false"/>
          <w:color w:val="000000"/>
          <w:sz w:val="20"/>
        </w:rPr>
        <w:t>. At the request of the Treasurer or in case of the absence or inability to act of the Treasurer, the Assistant Treasurer, or if there be more than one, the Assistant Treasurer designated by the Board of Directors or, in the absence of such designation, by the Chair of the Board of Directors, if any, the Chief Executive Officer or the President, if any, shall perform all the duties of the Treasurer, and when so acting, shall have all the powers of and be subject to all the restrictions upon the Treasurer. In general, each Assistant Treasurer shall have such other powers and perform such other duties as from time to time may be assigned to him or her by the Board of Directors, the Chair of the Board of Directors, if any, the Chief Executive Officer, the President, if any, or the Treasurer.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Section 13. </w:t>
      </w:r>
      <w:r>
        <w:rPr>
          <w:rFonts w:ascii="Times New Roman;serif" w:hAnsi="Times New Roman;serif"/>
          <w:b w:val="false"/>
          <w:color w:val="000000"/>
          <w:sz w:val="20"/>
          <w:u w:val="single"/>
        </w:rPr>
        <w:t>Secretary</w:t>
      </w:r>
      <w:r>
        <w:rPr>
          <w:rFonts w:ascii="Times New Roman;serif" w:hAnsi="Times New Roman;serif"/>
          <w:b w:val="false"/>
          <w:color w:val="000000"/>
          <w:sz w:val="20"/>
        </w:rPr>
        <w:t>. The Secretary shall:</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(a) keep, or cause to be kept, in one or more books provided for the purpose, the minutes of all meetings of the Board of Directors, of the committees of the Board and of the stockholders;</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(b) see that all notices are duly given in accordance with the provisions of these By- laws and as required by law;</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(c)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(d) see that the books, reports, statements, certificates and other documents and records required by law to be kept and filed are properly kept and filed; and</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(e) in general, have such other powers and perform such other duties as usually pertain to the office of Secretary or as from time to time may be assigned to him or her by the Board of Directors, the Chair of the Board of Directors, if any, the Chief Executive Officer or the President, if 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14. </w:t>
      </w:r>
      <w:r>
        <w:rPr>
          <w:rFonts w:ascii="Times New Roman;serif" w:hAnsi="Times New Roman;serif"/>
          <w:b w:val="false"/>
          <w:color w:val="000000"/>
          <w:sz w:val="20"/>
          <w:u w:val="single"/>
        </w:rPr>
        <w:t>Assistant Secretaries</w:t>
      </w:r>
      <w:r>
        <w:rPr>
          <w:rFonts w:ascii="Times New Roman;serif" w:hAnsi="Times New Roman;serif"/>
          <w:b w:val="false"/>
          <w:color w:val="000000"/>
          <w:sz w:val="20"/>
        </w:rPr>
        <w:t>. At the request of the Secretary or in case of his or her absence or inability to act, the Assistant Secretary, or if there be more than one, the Assistant Secretary designated by the Board of Directors or, in the absence of such designation, by the Chair of the Board of Directors, if any, the Chief Executive Officer or the President, if any, shall perform all the duties of the Secretary, and when so acting, shall have all the powers of and be subject to all the restrictions upon the Secretary. In general, each Assistant Secretary shall have such other powers and perform such other duties as from time to time may be assigned to him or her by the Board of Directors, the Chair of the Board of Directors, if any, the Chief Executive Officer, the President, if any, or the Secretary.</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15. </w:t>
      </w:r>
      <w:r>
        <w:rPr>
          <w:rFonts w:ascii="Times New Roman;serif" w:hAnsi="Times New Roman;serif"/>
          <w:b w:val="false"/>
          <w:color w:val="000000"/>
          <w:sz w:val="20"/>
          <w:u w:val="single"/>
        </w:rPr>
        <w:t>Compensation</w:t>
      </w:r>
      <w:r>
        <w:rPr>
          <w:rFonts w:ascii="Times New Roman;serif" w:hAnsi="Times New Roman;serif"/>
          <w:b w:val="false"/>
          <w:color w:val="000000"/>
          <w:sz w:val="20"/>
        </w:rPr>
        <w:t>. The compensation of the officers of the Corporation for their services as such officers shall be fixed from time to time by the Board of Directors or a committee of the Board of Directors designated by it, and no officer of the Corporation shall be prevented from receiving compensation by reason of the fact that he or she is also a director of the Corporation.</w:t>
      </w:r>
    </w:p>
    <w:p>
      <w:pPr>
        <w:pStyle w:val="TextBody"/>
        <w:bidi w:val="0"/>
        <w:spacing w:before="0" w:after="0"/>
        <w:jc w:val="left"/>
        <w:rPr/>
      </w:pPr>
      <w:r>
        <w:rPr/>
      </w:r>
    </w:p>
    <w:p>
      <w:pPr>
        <w:pStyle w:val="TextBody"/>
        <w:bidi w:val="0"/>
        <w:spacing w:lineRule="auto" w:line="288" w:before="81" w:after="120"/>
        <w:jc w:val="center"/>
        <w:rPr>
          <w:rFonts w:ascii="Times New Roman;serif" w:hAnsi="Times New Roman;serif"/>
          <w:b w:val="false"/>
          <w:color w:val="000000"/>
          <w:sz w:val="20"/>
        </w:rPr>
      </w:pPr>
      <w:r>
        <w:rPr>
          <w:rFonts w:ascii="Times New Roman;serif" w:hAnsi="Times New Roman;serif"/>
          <w:b w:val="false"/>
          <w:color w:val="000000"/>
          <w:sz w:val="20"/>
        </w:rPr>
        <w:t>ARTICLE VI</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Checks, Drafts, Bank, Accounts, Etc.</w:t>
      </w:r>
    </w:p>
    <w:p>
      <w:pPr>
        <w:pStyle w:val="TextBody"/>
        <w:bidi w:val="0"/>
        <w:spacing w:before="7" w:after="283"/>
        <w:jc w:val="left"/>
        <w:rPr/>
      </w:pPr>
      <w:r>
        <w:rPr/>
      </w:r>
    </w:p>
    <w:p>
      <w:pPr>
        <w:pStyle w:val="TextBody"/>
        <w:bidi w:val="0"/>
        <w:spacing w:lineRule="auto" w:line="288" w:before="92"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Checks, Drafts, etc</w:t>
      </w:r>
      <w:r>
        <w:rPr>
          <w:rFonts w:ascii="Times New Roman;serif" w:hAnsi="Times New Roman;serif"/>
          <w:b w:val="false"/>
          <w:color w:val="000000"/>
          <w:sz w:val="20"/>
        </w:rPr>
        <w:t>. All checks, drafts, bills of exchange or other orders for the payment of money out of the funds of the Corporation, and all notes or other evidences of indebtedness of the Corporation shall be signed in the name and on behalf of the Corporation by such person or persons and in such manner as shall from time to time be authorized by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Deposits</w:t>
      </w:r>
      <w:r>
        <w:rPr>
          <w:rFonts w:ascii="Times New Roman;serif" w:hAnsi="Times New Roman;serif"/>
          <w:b w:val="false"/>
          <w:color w:val="000000"/>
          <w:sz w:val="20"/>
        </w:rPr>
        <w:t>. All funds of the Corporation not otherwise employed shall be deposited from time to time to the credit of the Corporation in such banks, trust companies or other depositaries as the Board of Directors may from time to time designate or as may be designated by any officer or officers of the Corporation to whom such power of designation may from time to time be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General and Special Bank Accounts</w:t>
      </w:r>
      <w:r>
        <w:rPr>
          <w:rFonts w:ascii="Times New Roman;serif" w:hAnsi="Times New Roman;serif"/>
          <w:b w:val="false"/>
          <w:color w:val="000000"/>
          <w:sz w:val="20"/>
        </w:rPr>
        <w:t>. The Board of Directors may from time to time authorize the opening and keeping of general and special bank accounts with such banks, trust companies or other depositaries as the Board of Directors may designate or as may be designated by any officer or officers of the Corporation to whom such power of designation may from time to time be delegated by the Board of Directors. The Board of Directors may make such special rules and regulations with respect to such bank accounts, not inconsistent with provisions of these By-laws, as it may deem expedient.</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Proxies in Respect of Securities of Other Corporations</w:t>
      </w:r>
      <w:r>
        <w:rPr>
          <w:rFonts w:ascii="Times New Roman;serif" w:hAnsi="Times New Roman;serif"/>
          <w:b w:val="false"/>
          <w:color w:val="000000"/>
          <w:sz w:val="20"/>
        </w:rPr>
        <w:t>. Unless otherwise provided by resolution adopted by the Board of Directors, the Chair of the Board of Directors, if any, the Chief Executive Officer, the President, if any, or any Vice President, if any,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 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VII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Shares and Their Transfer—Examination of Books</w:t>
      </w:r>
    </w:p>
    <w:p>
      <w:pPr>
        <w:pStyle w:val="TextBody"/>
        <w:bidi w:val="0"/>
        <w:spacing w:before="7" w:after="283"/>
        <w:jc w:val="left"/>
        <w:rPr/>
      </w:pPr>
      <w:r>
        <w:rPr/>
      </w:r>
    </w:p>
    <w:p>
      <w:pPr>
        <w:pStyle w:val="TextBody"/>
        <w:bidi w:val="0"/>
        <w:spacing w:lineRule="auto" w:line="288" w:before="92"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Stock Certificates</w:t>
      </w:r>
      <w:r>
        <w:rPr>
          <w:rFonts w:ascii="Times New Roman;serif" w:hAnsi="Times New Roman;serif"/>
          <w:b w:val="false"/>
          <w:color w:val="000000"/>
          <w:sz w:val="20"/>
        </w:rPr>
        <w:t>. Every holder of stock of the Corporation shall be entitled to have a certificate, in such form as shall be approved by the Board of Directors, certifying the number and class of shares of stock of the Corporation owned by him or her. The certificates representing shares of the respective classes of stock shall be numbered in order of their issue and shall be signed in the name of the Corporation by the Chair of the Board of Directors, if any, or the Chief Executive Officer, or the President, if any, or a Vice President, if any, and by the Treasurer or an Assistant Treasurer or the Secretary or an Assistant Secretary, and sealed with the seal of the Corporation (which seal may be a facsimile, engraved or printed).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Books of Account and Record of Stockholders</w:t>
      </w:r>
      <w:r>
        <w:rPr>
          <w:rFonts w:ascii="Times New Roman;serif" w:hAnsi="Times New Roman;serif"/>
          <w:b w:val="false"/>
          <w:color w:val="000000"/>
          <w:sz w:val="20"/>
        </w:rPr>
        <w:t>. The books and records of the Corporation may be kept at such places, within or without the State of Delaware, as the Board of Directors may from time to time determine. The stock record books and the blank stock certificate books shall be kept by the Secretary or by any other officer or agent designated by the Board of Directors.</w:t>
      </w:r>
    </w:p>
    <w:p>
      <w:pPr>
        <w:pStyle w:val="TextBody"/>
        <w:bidi w:val="0"/>
        <w:spacing w:before="8" w:after="283"/>
        <w:jc w:val="left"/>
        <w:rPr/>
      </w:pPr>
      <w:r>
        <w:rPr/>
      </w:r>
    </w:p>
    <w:p>
      <w:pPr>
        <w:pStyle w:val="TextBody"/>
        <w:bidi w:val="0"/>
        <w:spacing w:lineRule="auto" w:line="288"/>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Transfers of Shares</w:t>
      </w:r>
      <w:r>
        <w:rPr>
          <w:rFonts w:ascii="Times New Roman;serif" w:hAnsi="Times New Roman;serif"/>
          <w:b w:val="false"/>
          <w:color w:val="000000"/>
          <w:sz w:val="20"/>
        </w:rPr>
        <w:t xml:space="preserve">. Transfers of shares of stock of the Corporation shall be made on the stock records of the Corporation only upon authorization by the registered holder thereof, or by his or her attorney thereunto authorized by power of attorney duly executed and filed with the Secretary or with a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agent or transfer clerk, and on surrender of the certificate or certificates for such shares properly endorsed or accompanied by a duly executed stock transfer power and the payment of all taxes thereon.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otherwise provided by law, the Corporation shall be entitled to recognize the exclusive right of a person in whose name any share or shares stand on the record of stockholders as the owner of such share or shares for all purposes, including without limitation the rights to receive dividends or other distributions and to vote as such owner, and the Corporation may hold any such stockholder of record liable for calls and assessments and the Corporation shall not be bound to recognize any equitable or legal claim to or interest in any such share or shares on the part of any other person, whether or not it shall have express or other notice thereof. Whenever any transfers of shares shall be made for collateral security and not absolutely, and both the transferor and transferee request the Corporation to do so, such fact shall be stated in the entry of the transfer.</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Regulations</w:t>
      </w:r>
      <w:r>
        <w:rPr>
          <w:rFonts w:ascii="Times New Roman;serif" w:hAnsi="Times New Roman;serif"/>
          <w:b w:val="false"/>
          <w:color w:val="000000"/>
          <w:sz w:val="20"/>
        </w:rPr>
        <w:t>. The Board of Directors may make such additional rules and regulations, not inconsistent with these By-laws, as it may deem expedient concerning the issue, transfer and registration of certificates for shares of stock of the Corporation. It may appoint, or authorize any officer or officers to appoint, one or more transfer agents or one or more transfer clerks and one or more registrars and may require all certificates for shares of stock to bear the signature or signatures of any of them.</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Lost, Destroyed or Mutilated Certificates</w:t>
      </w:r>
      <w:r>
        <w:rPr>
          <w:rFonts w:ascii="Times New Roman;serif" w:hAnsi="Times New Roman;serif"/>
          <w:b w:val="false"/>
          <w:color w:val="000000"/>
          <w:sz w:val="20"/>
        </w:rPr>
        <w:t>. The holder of any certificate representing shares of stock of the Corporation shall immediately notify the Corporation of any loss, destruction or mutilation of such certificate, and the Corporation may issue a new certificate of stock in the place of any certificate theretofore issued by it which the owner thereof shall allege to have been lost, stolen or destroyed or which shall have been mutilated, and the Board of Directors may, in its discretion, require such owner or his or her legal representatives to give the Corporation and/or any agent of the Corporation designated by it a bond in such sum, limited or unlimited, and in such form and with such surety or sureties as the Board of Directors in its absolute discretion shall determine, to indemnify the Corporation and/or such agent against any claim that may be made against it on account of the alleged loss theft, or destruction of any such certificate, or the issuance of a new certificate. Anything herein to the contrary notwithstanding, the Board of Directors, in its absolute discretion, may refuse to issue any such new certificate, except pursuant to legal proceedings under the laws of the State of Delaware.</w:t>
      </w:r>
    </w:p>
    <w:p>
      <w:pPr>
        <w:pStyle w:val="TextBody"/>
        <w:bidi w:val="0"/>
        <w:spacing w:before="8"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Stockholder’s Right of Inspection</w:t>
      </w:r>
      <w:r>
        <w:rPr>
          <w:rFonts w:ascii="Times New Roman;serif" w:hAnsi="Times New Roman;serif"/>
          <w:b w:val="false"/>
          <w:color w:val="000000"/>
          <w:sz w:val="20"/>
        </w:rPr>
        <w:t>. Any stockholder of record, in person or by attorney or other agent, shall, upon written demand under oath stating the purpose thereof, have the right during the usual hours of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7. </w:t>
      </w:r>
      <w:r>
        <w:rPr>
          <w:rFonts w:ascii="Times New Roman;serif" w:hAnsi="Times New Roman;serif"/>
          <w:b w:val="false"/>
          <w:color w:val="000000"/>
          <w:sz w:val="20"/>
          <w:u w:val="single"/>
        </w:rPr>
        <w:t>Fixing of Record Date</w:t>
      </w:r>
      <w:r>
        <w:rPr>
          <w:rFonts w:ascii="Times New Roman;serif" w:hAnsi="Times New Roman;serif"/>
          <w:b w:val="false"/>
          <w:color w:val="000000"/>
          <w:sz w:val="20"/>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be not more than sixty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0" w:after="0"/>
        <w:jc w:val="left"/>
        <w:rPr/>
      </w:pPr>
      <w:r>
        <w:rPr/>
      </w:r>
    </w:p>
    <w:p>
      <w:pPr>
        <w:pStyle w:val="TextBody"/>
        <w:bidi w:val="0"/>
        <w:spacing w:lineRule="auto" w:line="288" w:before="1" w:after="120"/>
        <w:jc w:val="center"/>
        <w:rPr>
          <w:rFonts w:ascii="Times New Roman;serif" w:hAnsi="Times New Roman;serif"/>
          <w:b w:val="false"/>
          <w:color w:val="000000"/>
          <w:sz w:val="20"/>
        </w:rPr>
      </w:pPr>
      <w:r>
        <w:rPr>
          <w:rFonts w:ascii="Times New Roman;serif" w:hAnsi="Times New Roman;serif"/>
          <w:b w:val="false"/>
          <w:color w:val="000000"/>
          <w:sz w:val="20"/>
        </w:rPr>
        <w:t>ARTICLE VIII</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before="7"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2" w:after="1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the Certificate of Incorporation relating thereto, if any, dividends upon the capital stock of the Corporation may be declared by the Board of Directors at any regular or special meeting, pursuant to law. Subject to the provisions of the Certificate of Incorporation, dividends may be paid in cash, in property or in shares of the capital stock of the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Before payment of any dividend, there may be set aside out of any funds of the Corporation available for dividends such sum or sums as the Board of Directors from time to time, in its absolute discretion, think proper as a reserve or reserves to meet contingencies, or for equalizing dividends, or for repairing or maintaining any property of the Corporation, or for such other purpose or purposes as the Board of Directors shall determine to be in the interest of the Corporation, and the Board of Directors may modify or abolish any such reserve in the manner in which it was created.</w:t>
      </w:r>
    </w:p>
    <w:p>
      <w:pPr>
        <w:pStyle w:val="TextBody"/>
        <w:bidi w:val="0"/>
        <w:spacing w:before="9"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IX</w:t>
      </w:r>
    </w:p>
    <w:p>
      <w:pPr>
        <w:pStyle w:val="TextBody"/>
        <w:bidi w:val="0"/>
        <w:spacing w:before="2" w:after="283"/>
        <w:jc w:val="left"/>
        <w:rPr/>
      </w:pPr>
      <w:r>
        <w:rPr/>
      </w:r>
    </w:p>
    <w:p>
      <w:pPr>
        <w:pStyle w:val="TextBody"/>
        <w:bidi w:val="0"/>
        <w:spacing w:lineRule="auto" w:line="288" w:before="1"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Indemnification</w:t>
      </w:r>
    </w:p>
    <w:p>
      <w:pPr>
        <w:pStyle w:val="TextBody"/>
        <w:bidi w:val="0"/>
        <w:spacing w:before="7" w:after="283"/>
        <w:jc w:val="left"/>
        <w:rPr/>
      </w:pPr>
      <w:r>
        <w:rPr/>
      </w:r>
    </w:p>
    <w:p>
      <w:pPr>
        <w:pStyle w:val="TextBody"/>
        <w:bidi w:val="0"/>
        <w:spacing w:lineRule="auto" w:line="288" w:before="91"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Right to Indemnification</w:t>
      </w:r>
      <w:r>
        <w:rPr>
          <w:rFonts w:ascii="Times New Roman;serif" w:hAnsi="Times New Roman;serif"/>
          <w:b w:val="false"/>
          <w:color w:val="000000"/>
          <w:sz w:val="20"/>
        </w:rPr>
        <w:t>. The Corporation shall, to the fullest extent permitted by applicable law as then in effect, indemnify any person (the “</w:t>
      </w:r>
      <w:r>
        <w:rPr>
          <w:rFonts w:ascii="Times New Roman;serif" w:hAnsi="Times New Roman;serif"/>
          <w:b w:val="false"/>
          <w:color w:val="000000"/>
          <w:sz w:val="20"/>
          <w:u w:val="single"/>
        </w:rPr>
        <w:t>Indemnitee</w:t>
      </w:r>
      <w:r>
        <w:rPr>
          <w:color w:val="000000"/>
        </w:rPr>
        <w:t>”</w:t>
      </w:r>
      <w:r>
        <w:rPr>
          <w:rFonts w:ascii="Times New Roman;serif" w:hAnsi="Times New Roman;serif"/>
          <w:b w:val="false"/>
          <w:color w:val="000000"/>
          <w:sz w:val="20"/>
        </w:rPr>
        <w:t>) who was or is involved in any manner (including, without limitation, as a party or a witness) or was or is threatened to be made so involved in any threatened, pending or completed investigation, claim, action, suit or proceeding, whether civil, criminal, administrative or investigative (including, without limitation, any action, suit or proceeding by or in the right of the Corporation to procure a judgment in its favor) (a “</w:t>
      </w:r>
      <w:r>
        <w:rPr>
          <w:rFonts w:ascii="Times New Roman;serif" w:hAnsi="Times New Roman;serif"/>
          <w:b w:val="false"/>
          <w:color w:val="000000"/>
          <w:sz w:val="20"/>
          <w:u w:val="single"/>
        </w:rPr>
        <w:t>Proceeding</w:t>
      </w:r>
      <w:r>
        <w:rPr>
          <w:color w:val="000000"/>
        </w:rPr>
        <w:t>”</w:t>
      </w:r>
      <w:r>
        <w:rPr>
          <w:rFonts w:ascii="Times New Roman;serif" w:hAnsi="Times New Roman;serif"/>
          <w:b w:val="false"/>
          <w:color w:val="000000"/>
          <w:sz w:val="20"/>
        </w:rPr>
        <w:t>) by reason of the fact that he or she is or was a director or officer of the Corporation, or is or was serving at the request of the Corporation in any capacity for another corporation or for a partnership, joint venture, trust or other enterprise (including, without limitation, service with respect to any employee benefit plan), whether the basis of any such Proceeding is alleged action in an official capacity as a director or officer or in any other such official capacity, against all expenses, liability and loss (including, without limitation, attorneys’ fees, judgments, fines, ERISA excise taxes or penalties and amounts paid or to be paid in settlement) actually and reasonably incurred by him or her in connection with such Proceeding. The right to indemnification conferred in this Article IX shall include the right to receive payment in advance of any expenses incurred by the Indemnitee in connection with such Proceeding, consistent with applicable law as then in effect. All right to indemnification conferred in this Article IX, including such right to advance payments and the evidentiary, procedural and other provisions of this Article IX, shall be a contract right. The Corporation may, by action of its Board of Directors, provide indemnification for employees, agents, attorneys and representatives of the Corporation with up to the same scope and extent as provided for officers and directors.</w:t>
      </w:r>
    </w:p>
    <w:p>
      <w:pPr>
        <w:pStyle w:val="TextBody"/>
        <w:bidi w:val="0"/>
        <w:spacing w:before="2"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Insurance, Contracts and Funding</w:t>
      </w:r>
      <w:r>
        <w:rPr>
          <w:rFonts w:ascii="Times New Roman;serif" w:hAnsi="Times New Roman;serif"/>
          <w:b w:val="false"/>
          <w:color w:val="000000"/>
          <w:sz w:val="20"/>
        </w:rPr>
        <w:t>. The Corporation may purchase and maintain insurance to protect itself and any person who is, was or may become an officer, director, employee, agent, attorney or representative of the Corporation or, at the request of the Corporation, an officer, director, employee, agent, attorney or representative of another corporation or entity, against any expense, liability or loss asserted against him or her incurred by him or her in connection with any Proceeding an any such capacity, or arising out of his or her status as such, whether or not the Corporation would have the power to indemnify him or her against such expense, liability or loss under the provisions of this Article IX or otherwise. The Corporation may enter into contracts with any director, officer, employee, agent, attorney or representative of the Corporation, or any person serving as such at the request of the Corporation for another corporation or entity, in furtherance of the provisions of Article IX of the Certificate of Incorporation or this Article IX and may create a trust fund, grant a security interest or use other means (including, without limitation, a letter of credit) to ensure the payment of such amounts as may be necessary to effect indemnification of any person entitled thereto.</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Indemnification; Not Exclusive Right</w:t>
      </w:r>
      <w:r>
        <w:rPr>
          <w:rFonts w:ascii="Times New Roman;serif" w:hAnsi="Times New Roman;serif"/>
          <w:b w:val="false"/>
          <w:color w:val="000000"/>
          <w:sz w:val="20"/>
        </w:rPr>
        <w:t xml:space="preserve">. The right of indemnification provided in this Article IX shall not be exclusive of any other rights to which any person seeking indemnification may otherwise be entitled under any provision of the Certificate of Incorporation, By-law or agreement or otherwise. The provisions of this Article IX shall inure to the benefit of the heirs and legal representatives of any person entitled to indemnity under this Article IX and shall be applicable to all Proceedings, whether arising from acts or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omissions occurring before or after the adoption of this Article IX. No amendment or repeal of any provision of this Article IX shall remove, abridge or adversely affect any right of indemnification or any other benefits of the Indemnitee under the provisions of this Article IX with respect to any Proceeding involving any act or omission which occurred prior to such amendment.</w:t>
      </w:r>
    </w:p>
    <w:p>
      <w:pPr>
        <w:pStyle w:val="TextBody"/>
        <w:bidi w:val="0"/>
        <w:spacing w:before="9" w:after="283"/>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Advancement of Expenses; Procedures; Presumptions and Effect of Certain</w:t>
      </w:r>
      <w:r>
        <w:rPr>
          <w:color w:val="000000"/>
        </w:rPr>
        <w:t xml:space="preserve"> </w:t>
      </w:r>
      <w:r>
        <w:rPr>
          <w:rFonts w:ascii="Times New Roman;serif" w:hAnsi="Times New Roman;serif"/>
          <w:b w:val="false"/>
          <w:color w:val="000000"/>
          <w:sz w:val="20"/>
          <w:u w:val="single"/>
        </w:rPr>
        <w:t>Proceedings; Remedies</w:t>
      </w:r>
      <w:r>
        <w:rPr>
          <w:rFonts w:ascii="Times New Roman;serif" w:hAnsi="Times New Roman;serif"/>
          <w:b w:val="false"/>
          <w:color w:val="000000"/>
          <w:sz w:val="20"/>
        </w:rPr>
        <w:t>. In furtherance, but not in limitation, of the provisions of the Certificate of Incorporation or the foregoing provisions of this Article IX, the following procedures, presumptions and remedies shall apply with respect to advancement of expenses and the right to indemnification under the Certificate of Incorporation or this Article IX:</w:t>
      </w:r>
    </w:p>
    <w:p>
      <w:pPr>
        <w:pStyle w:val="TextBody"/>
        <w:bidi w:val="0"/>
        <w:spacing w:lineRule="auto" w:line="288" w:before="91" w:after="283"/>
        <w:ind w:left="0" w:right="0" w:firstLine="1079"/>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Advancement of Expenses</w:t>
      </w:r>
      <w:r>
        <w:rPr>
          <w:rFonts w:ascii="Times New Roman;serif" w:hAnsi="Times New Roman;serif"/>
          <w:b w:val="false"/>
          <w:color w:val="000000"/>
          <w:sz w:val="20"/>
        </w:rPr>
        <w:t>. All reasonable expenses incurred by or on behalf of the Indemnitee in connection with any Proceeding shall be advanced to the Indemnitee by the Corporation within 20 days after the receipt by the Corporation of a statement or statements from the Indemnitee requesting such advance or advances from time to time, whether prior to or after final disposition of such Proceeding. Such statement or statements reasonably shall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 pursuant to this Article IX.</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(b) Procedure for Determination of Entitlement to Indemnification.</w:t>
      </w:r>
    </w:p>
    <w:p>
      <w:pPr>
        <w:pStyle w:val="TextBody"/>
        <w:bidi w:val="0"/>
        <w:spacing w:lineRule="auto" w:line="288" w:before="91" w:after="283"/>
        <w:ind w:left="0" w:right="0" w:firstLine="1079"/>
        <w:jc w:val="left"/>
        <w:rPr/>
      </w:pPr>
      <w:r>
        <w:rPr>
          <w:rFonts w:ascii="Times New Roman;serif" w:hAnsi="Times New Roman;serif"/>
          <w:b w:val="false"/>
          <w:color w:val="000000"/>
          <w:sz w:val="20"/>
        </w:rPr>
        <w:t>(i) To obtain indemnification, an Indemnitee shall submit to the Chair of the Board of Directors, if any, the Chief Executive Officer, the President, if any, or Secretary a written request, including such documentation and information as is reasonably available to the Indemnitee and reasonably necessary to determine whether and to what extent the Indemnitee is entitled to indemnification (the “</w:t>
      </w:r>
      <w:r>
        <w:rPr>
          <w:rFonts w:ascii="Times New Roman;serif" w:hAnsi="Times New Roman;serif"/>
          <w:b w:val="false"/>
          <w:color w:val="000000"/>
          <w:sz w:val="20"/>
          <w:u w:val="single"/>
        </w:rPr>
        <w:t>Supporting Documentation</w:t>
      </w:r>
      <w:r>
        <w:rPr>
          <w:color w:val="000000"/>
        </w:rPr>
        <w:t>”</w:t>
      </w:r>
      <w:r>
        <w:rPr>
          <w:rFonts w:ascii="Times New Roman;serif" w:hAnsi="Times New Roman;serif"/>
          <w:b w:val="false"/>
          <w:color w:val="000000"/>
          <w:sz w:val="20"/>
        </w:rPr>
        <w:t>). The determination of the Indemnitee’s entitlement to indemnification shall be made not later than 60 days after receipt by the Corporation of the written request for indemnification together with the Supporting Documentation. The Chair of the Board of Directors, if any, the Chief Executive Officer, the President, if any, or Secretary shall, promptly upon receipt of such a request for indemnification, advise the Board of Directors in writing that the Indemnitee has requested indemnification.</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 The Indemnitee’s entitlement to indemnification shall be determined in one of the following ways: (A) by a majority vote of the Disinterested Directors (as hereinafter defined) (or the Disinterested Director, if only one); (B) by a written opinion of Independent Counsel (as hereinafter defined) if (x) a Change in Control (as hereinafter defined) shall have occurred and the Indemnitee so requests or (y) there is no Disinterested Director or a majority of the Disinterested Directors (or the Disinterested Director, if only one) so directs; (C) by the stockholders of the Corporation (but only if a majority of the Disinterested Directors (or the Disinterested Director, if only one) determines that the issue of entitlement to indemnification should be submitted to the stockholders for their determination); or (D) as provided in Section 4(c) of this Article IX.</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(iii) In the event the determination of entitlement to indemnification is to be made by Independent Counsel pursuant to Section 4(b)(ii) of this Article IX, a majority of the Disinterested Directors (or the Disinterested Director, if only one) shall select the Independent Counsel, but only an Independent Counsel to which the Indemnitee does not reasonably object; provided, however, that if a Change in Control shall have occurred, the Indemnitee shall select such Independent Counsel, but only an Independent Counsel to which the Board of Directors does not reasonably object.</w:t>
      </w:r>
    </w:p>
    <w:p>
      <w:pPr>
        <w:pStyle w:val="TextBody"/>
        <w:bidi w:val="0"/>
        <w:spacing w:lineRule="auto" w:line="288" w:before="91" w:after="283"/>
        <w:ind w:left="0" w:right="0" w:firstLine="1079"/>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Presumptions and Effect of Certain Proceedings</w:t>
      </w:r>
      <w:r>
        <w:rPr>
          <w:rFonts w:ascii="Times New Roman;serif" w:hAnsi="Times New Roman;serif"/>
          <w:b w:val="false"/>
          <w:color w:val="000000"/>
          <w:sz w:val="20"/>
        </w:rPr>
        <w:t xml:space="preserve">. Except as otherwise expressly provided in this Article IX, the Indemnitee shall be presumed to be entitled to indemnification upon submission of a request for indemnification together with the Supporting Documentation in accordance with Section 4(b)(i) of this Article IX, and thereafter the Corporation shall have the burden of proof to overcome that presumption in reaching a contrary determination. In any event, if the person or persons empowered under Section 4(b) of this Article IX to determine entitlement to indemnification shall not have been appointed or shall not have made a determination within 60 days after receipt by the Corporation of the request therefor together with the Supporting Documentation, the Indemnitee shall be deemed to be entitled to indemnification. With regard to the right to indemnification for expenses, if and to the extent that the Indemnitee has been successful on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1" w:after="283"/>
        <w:jc w:val="left"/>
        <w:rPr>
          <w:rFonts w:ascii="Times New Roman;serif" w:hAnsi="Times New Roman;serif"/>
          <w:b w:val="false"/>
          <w:color w:val="000000"/>
          <w:sz w:val="20"/>
        </w:rPr>
      </w:pPr>
      <w:r>
        <w:rPr>
          <w:rFonts w:ascii="Times New Roman;serif" w:hAnsi="Times New Roman;serif"/>
          <w:b w:val="false"/>
          <w:color w:val="000000"/>
          <w:sz w:val="20"/>
        </w:rPr>
        <w:t>merits or otherwise in any Proceeding, or if and to the extent that the Indemnitee was not a party to the Proceeding or if a Proceeding was terminated without a determination of liability on the part of the Indemnitee with respect to any claim, issue or matter therein or without any payments in settlement or compromise being made by the Indemnitee with respect to a claim, issue or matter therein, the Indemnitee shall be deemed to be entitled to indemnification, which entitlement shall not be diminished by any determination which may be made pursuant to Sections 4(b)(ii)(A), (B) or (C). In either case, the Indemnitee shall be entitled to such indemnification, unless (A) the Indemnitee misrepresented or failed to disclose a material fact in making the request for indemnification or in the Supporting Documentation or (B) such indemnification is prohibited by law, in either case as finally determined by adjudication or, at the Indemnitee’s sole option, arbitration (as provided in Section 4(d)(i) of this Article IX). The termination of any Proceeding described in Section 1 of this Article IX, or of any claim, issue or matter therein, by judgment, order, settlement or conviction, or upon a plea of nolo contendere or its equivalent, shall not, of itself, adversely affect the right of the Indemnitee to indemnification or create any presumption with respect to any standard of conduct or belief or any other matter which might form a basis for a determination that the Indemnitee is not entitled to indemnification.</w:t>
      </w:r>
    </w:p>
    <w:p>
      <w:pPr>
        <w:pStyle w:val="TextBody"/>
        <w:bidi w:val="0"/>
        <w:spacing w:before="0" w:after="0"/>
        <w:jc w:val="left"/>
        <w:rPr/>
      </w:pPr>
      <w:r>
        <w:rPr/>
      </w:r>
    </w:p>
    <w:p>
      <w:pPr>
        <w:pStyle w:val="TextBody"/>
        <w:bidi w:val="0"/>
        <w:spacing w:lineRule="auto" w:line="288" w:before="0" w:after="0"/>
        <w:ind w:left="0" w:right="0" w:firstLine="1079"/>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Remedies of Indemnitee</w:t>
      </w:r>
      <w:r>
        <w:rPr>
          <w:rFonts w:ascii="Times New Roman;serif" w:hAnsi="Times New Roman;serif"/>
          <w:b w:val="false"/>
          <w:color w:val="000000"/>
          <w:sz w:val="20"/>
        </w:rPr>
        <w:t>.</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 In the event that a determination is made pursuant to Section 4(b) of this Article IX that the Indemnitee is not entitled to indemnification under this Article IX, (A) the Indemnitee shall be entitled to seek an adjudication of his or her entitlement to such indemnification either, at the Indemnitee’s sole option, in (x) an appropriate court of the State of Delaware or any other court of competent jurisdiction or (y) an arbitration to be conducted by three arbitrators (or, if the dispute involves less than $100,000,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Corporation shall have the burden of proof that the Indemnitee is not entitled to indemnification under this Article IX.</w:t>
      </w:r>
    </w:p>
    <w:p>
      <w:pPr>
        <w:pStyle w:val="TextBody"/>
        <w:bidi w:val="0"/>
        <w:spacing w:lineRule="auto" w:line="288" w:before="91" w:after="283"/>
        <w:ind w:left="0" w:right="0" w:firstLine="1079"/>
        <w:jc w:val="left"/>
        <w:rPr/>
      </w:pPr>
      <w:r>
        <w:rPr>
          <w:rFonts w:ascii="Times New Roman;serif" w:hAnsi="Times New Roman;serif"/>
          <w:b w:val="false"/>
          <w:color w:val="000000"/>
          <w:sz w:val="20"/>
        </w:rPr>
        <w:t>(ii) If a determination shall have been made or deemed to have been made, pursuant to Section 4(b) or (c) of this Article IX, that the Indemnitee is entitled to indemnification, the Corporation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either case as finally determined by adjudication or, at the Indemnitee’s sole option, arbitration (as provided in Section 4(d)(i) of this Article IX). In the event that (C) advancement of expenses is not timely made pursuant to Section 4(a) of this Article IX or (D) payment of indemnification is not made within five days after a determination of entitlement to indemnification has been made or deemed to have been made pursuant to Section 4(b) or (c) of this Article IX, the Indemnitee shall be entitled to seek judicial enforcement of the Corporation’s obligation to pay to the Indemnitee such advancement of expenses or indemnification. Notwithstanding the foregoing, the Corporation may bring an action, in an appropriate court in the State of Delaware or any other court of competent jurisdiction, contesting the right of the Indemnitee to receive indemnification hereunder due to the occurrence of an event described in subclause (A) or (B) of this clause (ii) (a “</w:t>
      </w:r>
      <w:r>
        <w:rPr>
          <w:rFonts w:ascii="Times New Roman;serif" w:hAnsi="Times New Roman;serif"/>
          <w:b w:val="false"/>
          <w:color w:val="000000"/>
          <w:sz w:val="20"/>
          <w:u w:val="single"/>
        </w:rPr>
        <w:t>Disqualifying Event</w:t>
      </w:r>
      <w:r>
        <w:rPr>
          <w:color w:val="000000"/>
        </w:rPr>
        <w:t>”</w:t>
      </w:r>
      <w:r>
        <w:rPr>
          <w:rFonts w:ascii="Times New Roman;serif" w:hAnsi="Times New Roman;serif"/>
          <w:b w:val="false"/>
          <w:color w:val="000000"/>
          <w:sz w:val="20"/>
        </w:rPr>
        <w:t>), provided, however, that if the Indemnitee shall elect, at his or her sole option, that such dispute shall be determined by arbitration (as provided in Section 4(d)(i) of this Article IX), the Corporation shall proceed by such arbitration. In any such enforcement or other proceeding or action in which whether a Disqualifying Event has occurred is an issue, the Corporation shall have the burden of proving the occurrence of such Disqualifying Event.</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(iii) The Corporation shall be precluded from asserting in any judicial proceeding or arbitration commenced pursuant to this Section 4(d) that the procedures and presumptions of this Article IX are not valid, binding and enforceable and shall stipulate in any such court or before any such arbitrator or arbitrators that the Corporation is bound by all the provisions of this Article IX.</w:t>
      </w:r>
    </w:p>
    <w:p>
      <w:pPr>
        <w:pStyle w:val="TextBody"/>
        <w:bidi w:val="0"/>
        <w:spacing w:lineRule="auto" w:line="288" w:before="91" w:after="283"/>
        <w:ind w:left="0" w:right="0" w:firstLine="1079"/>
        <w:jc w:val="left"/>
        <w:rPr>
          <w:rFonts w:ascii="Times New Roman;serif" w:hAnsi="Times New Roman;serif"/>
          <w:b w:val="false"/>
          <w:color w:val="000000"/>
          <w:sz w:val="20"/>
        </w:rPr>
      </w:pPr>
      <w:r>
        <w:rPr>
          <w:rFonts w:ascii="Times New Roman;serif" w:hAnsi="Times New Roman;serif"/>
          <w:b w:val="false"/>
          <w:color w:val="000000"/>
          <w:sz w:val="20"/>
        </w:rPr>
        <w:t xml:space="preserve">(iv) In the event that the Indemnitee, pursuant to this Article IX, seeks a judicial adjudication of or an award in arbitration to enforce his or her rights under, or to recover damages for breach of, this Article IX, or is otherwise involved in any adjudication or arbitration with respect to his or her right to indemnification, the Indemnitee shall be entitled to recover from the Corporation, and shall be indemnified by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1" w:after="283"/>
        <w:jc w:val="left"/>
        <w:rPr>
          <w:rFonts w:ascii="Times New Roman;serif" w:hAnsi="Times New Roman;serif"/>
          <w:b w:val="false"/>
          <w:color w:val="000000"/>
          <w:sz w:val="20"/>
        </w:rPr>
      </w:pPr>
      <w:r>
        <w:rPr>
          <w:rFonts w:ascii="Times New Roman;serif" w:hAnsi="Times New Roman;serif"/>
          <w:b w:val="false"/>
          <w:color w:val="000000"/>
          <w:sz w:val="20"/>
        </w:rPr>
        <w:t>the Corporation against, any expenses actually and reasonably incurred by him or her if the Indemnitee prevails in such judicial adjudication or arbitration.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pStyle w:val="TextBody"/>
        <w:bidi w:val="0"/>
        <w:spacing w:before="2" w:after="283"/>
        <w:jc w:val="left"/>
        <w:rPr/>
      </w:pPr>
      <w:r>
        <w:rPr/>
      </w:r>
    </w:p>
    <w:p>
      <w:pPr>
        <w:pStyle w:val="TextBody"/>
        <w:bidi w:val="0"/>
        <w:spacing w:lineRule="auto" w:line="288" w:before="0" w:after="0"/>
        <w:ind w:left="0" w:right="0" w:firstLine="1079"/>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Section 4:</w:t>
      </w:r>
    </w:p>
    <w:p>
      <w:pPr>
        <w:pStyle w:val="TextBody"/>
        <w:bidi w:val="0"/>
        <w:spacing w:lineRule="auto" w:line="288" w:before="91" w:after="283"/>
        <w:ind w:left="0" w:right="0" w:firstLine="1079"/>
        <w:jc w:val="left"/>
        <w:rPr/>
      </w:pPr>
      <w:r>
        <w:rPr>
          <w:rFonts w:ascii="Times New Roman;serif" w:hAnsi="Times New Roman;serif"/>
          <w:b w:val="false"/>
          <w:color w:val="000000"/>
          <w:sz w:val="20"/>
        </w:rPr>
        <w:t>(i) “</w:t>
      </w:r>
      <w:r>
        <w:rPr>
          <w:rFonts w:ascii="Times New Roman;serif" w:hAnsi="Times New Roman;serif"/>
          <w:b w:val="false"/>
          <w:color w:val="000000"/>
          <w:sz w:val="20"/>
          <w:u w:val="single"/>
        </w:rPr>
        <w:t>Change in Control</w:t>
      </w:r>
      <w:r>
        <w:rPr>
          <w:color w:val="000000"/>
        </w:rPr>
        <w:t xml:space="preserve">” </w:t>
      </w:r>
      <w:r>
        <w:rPr>
          <w:rFonts w:ascii="Times New Roman;serif" w:hAnsi="Times New Roman;serif"/>
          <w:b w:val="false"/>
          <w:color w:val="000000"/>
          <w:sz w:val="20"/>
        </w:rPr>
        <w:t xml:space="preserve">means a change in control of the Corporation of a nature that would be required to be reported in response to Item 5(f) of Schedule 14A of Regulation 14A promulgated under the </w:t>
      </w:r>
      <w:r>
        <w:rPr>
          <w:rFonts w:ascii="Times New Roman;serif" w:hAnsi="Times New Roman;serif"/>
          <w:b w:val="false"/>
          <w:color w:val="000000"/>
          <w:sz w:val="20"/>
          <w:u w:val="single"/>
        </w:rPr>
        <w:t>Act</w:t>
      </w:r>
      <w:r>
        <w:rPr>
          <w:rFonts w:ascii="Times New Roman;serif" w:hAnsi="Times New Roman;serif"/>
          <w:b w:val="false"/>
          <w:color w:val="000000"/>
          <w:sz w:val="20"/>
        </w:rPr>
        <w:t>, whether or not the Corporation is then subject to such reporting requirement; provided that, without limitation, such a change in control shall be deemed to have occurred if (A) any “person” (as such term is used in Sections 13(d) and 14(d) of the Act) is or becomes the “beneficial owner” (as defined in Rule 13d-3 under the Act), directly or indirectly, of securities of the Corporation representing 20 percent or more of the combined voting power of the Corporation’s then outstanding securities without the prior approval of at least two-thirds of the members of the Board of Directors in office immediately prior to such acquisition; (B) the Corporation is a party to a merger, consolidation, sale of assets or other reorganization, or a proxy contest, as a consequence of which members of the Board of Directors in office immediately prior to such transaction or event constitute less than a majority of the Board of Directors thereafter; or (C) during any period of two consecutive years, individuals who at the beginning of such period constituted the Board of Directors (including for this purpose any new director whose election or nomination for election by the Corporation’s stockholders was approved by a vote of at least two- thirds of the directors then still in office who were directors at the beginning of such period) cease for any reason to constitute at least a majority of the Board of Directors.</w:t>
      </w:r>
    </w:p>
    <w:p>
      <w:pPr>
        <w:pStyle w:val="TextBody"/>
        <w:bidi w:val="0"/>
        <w:spacing w:lineRule="auto" w:line="288" w:before="91" w:after="283"/>
        <w:ind w:left="0" w:right="0" w:firstLine="1079"/>
        <w:jc w:val="left"/>
        <w:rPr/>
      </w:pPr>
      <w:r>
        <w:rPr>
          <w:rFonts w:ascii="Times New Roman;serif" w:hAnsi="Times New Roman;serif"/>
          <w:b w:val="false"/>
          <w:color w:val="000000"/>
          <w:sz w:val="20"/>
        </w:rPr>
        <w:t>(ii) “</w:t>
      </w:r>
      <w:r>
        <w:rPr>
          <w:rFonts w:ascii="Times New Roman;serif" w:hAnsi="Times New Roman;serif"/>
          <w:b w:val="false"/>
          <w:color w:val="000000"/>
          <w:sz w:val="20"/>
          <w:u w:val="single"/>
        </w:rPr>
        <w:t>Disinterested Director</w:t>
      </w:r>
      <w:r>
        <w:rPr>
          <w:color w:val="000000"/>
        </w:rPr>
        <w:t xml:space="preserve">” </w:t>
      </w:r>
      <w:r>
        <w:rPr>
          <w:rFonts w:ascii="Times New Roman;serif" w:hAnsi="Times New Roman;serif"/>
          <w:b w:val="false"/>
          <w:color w:val="000000"/>
          <w:sz w:val="20"/>
        </w:rPr>
        <w:t>means a director of the Corporation who is not or was not a material party to the Proceeding in respect of which indemnification is sought by the Indemnitee.</w:t>
      </w:r>
    </w:p>
    <w:p>
      <w:pPr>
        <w:pStyle w:val="TextBody"/>
        <w:bidi w:val="0"/>
        <w:spacing w:lineRule="auto" w:line="288" w:before="91" w:after="283"/>
        <w:ind w:left="0" w:right="0" w:firstLine="1079"/>
        <w:jc w:val="left"/>
        <w:rPr/>
      </w:pPr>
      <w:r>
        <w:rPr>
          <w:rFonts w:ascii="Times New Roman;serif" w:hAnsi="Times New Roman;serif"/>
          <w:b w:val="false"/>
          <w:color w:val="000000"/>
          <w:sz w:val="20"/>
        </w:rPr>
        <w:t>(iii) “</w:t>
      </w:r>
      <w:r>
        <w:rPr>
          <w:rFonts w:ascii="Times New Roman;serif" w:hAnsi="Times New Roman;serif"/>
          <w:b w:val="false"/>
          <w:color w:val="000000"/>
          <w:sz w:val="20"/>
          <w:u w:val="single"/>
        </w:rPr>
        <w:t>Independent Counsel</w:t>
      </w:r>
      <w:r>
        <w:rPr>
          <w:color w:val="000000"/>
        </w:rPr>
        <w:t xml:space="preserve">” </w:t>
      </w:r>
      <w:r>
        <w:rPr>
          <w:rFonts w:ascii="Times New Roman;serif" w:hAnsi="Times New Roman;serif"/>
          <w:b w:val="false"/>
          <w:color w:val="000000"/>
          <w:sz w:val="20"/>
        </w:rPr>
        <w:t>means a law firm or a member of a law firm that neither presently is, nor in the past five years has been, retained to represent: (A) the Corporation or the Indemnitee in any matter or (B) any other party to the Proceeding giving rise to a claim for indemnification under this Article IX. Notwithstanding the foregoing, the term “Independent Counsel” shall not include any person who, under the applicable standards of professional conduct then prevailing under the law of the State of Delaware, would have a conflict of interest in representing either the Corporation or the Indemnitee in an action to determine the Indemnitee’s rights under this Article IX.</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Acts of Disinterested Directors</w:t>
      </w:r>
      <w:r>
        <w:rPr>
          <w:rFonts w:ascii="Times New Roman;serif" w:hAnsi="Times New Roman;serif"/>
          <w:b w:val="false"/>
          <w:color w:val="000000"/>
          <w:sz w:val="20"/>
        </w:rPr>
        <w:t>. Disinterested Directors considering or acting on any indemnification matter under this Article IX or otherwise may consider or take action as the Board of Directors or may consider or take action as a committee or individually or otherwise. In the event Disinterested Directors consider or take action as the Board of Directors, one- third of the total number of directors shall constitute a quorum.</w:t>
      </w:r>
    </w:p>
    <w:p>
      <w:pPr>
        <w:pStyle w:val="TextBody"/>
        <w:bidi w:val="0"/>
        <w:spacing w:before="9" w:after="283"/>
        <w:jc w:val="left"/>
        <w:rPr/>
      </w:pPr>
      <w:r>
        <w:rPr/>
      </w:r>
    </w:p>
    <w:p>
      <w:pPr>
        <w:pStyle w:val="TextBody"/>
        <w:bidi w:val="0"/>
        <w:spacing w:lineRule="auto" w:line="288" w:before="1" w:after="283"/>
        <w:ind w:left="0" w:right="0" w:firstLine="720"/>
        <w:jc w:val="left"/>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or provisions of this Article IX shall be held to be invalid, illegal or unenforceable for any reason whatsoever: (i) the validity, legality and enforceability of the remaining pro- visions of this Article IX (including, without limitation, all portions of any paragraph of this Article IX containing any such provision held to be invalid, illegal or unenforceable, that are not themselves invalid, illegal or unenforceable) shall not in any way be affected or impaired thereby; and (ii) to the fullest extent possible, the provisions of this Article IX (including, without limitation, all portions of any paragraph of this Article IX containing any such provision held to be invalid, illegal or</w:t>
      </w:r>
    </w:p>
    <w:p>
      <w:pPr>
        <w:pStyle w:val="TextBody"/>
        <w:bidi w:val="0"/>
        <w:spacing w:before="0" w:after="0"/>
        <w:jc w:val="left"/>
        <w:rPr/>
      </w:pPr>
      <w:r>
        <w:rPr/>
      </w:r>
    </w:p>
    <w:p>
      <w:pPr>
        <w:pStyle w:val="TextBody"/>
        <w:bidi w:val="0"/>
        <w:spacing w:lineRule="auto" w:line="288" w:before="81" w:after="283"/>
        <w:jc w:val="left"/>
        <w:rPr>
          <w:rFonts w:ascii="Times New Roman;serif" w:hAnsi="Times New Roman;serif"/>
          <w:b w:val="false"/>
          <w:color w:val="000000"/>
          <w:sz w:val="20"/>
        </w:rPr>
      </w:pPr>
      <w:r>
        <w:rPr>
          <w:rFonts w:ascii="Times New Roman;serif" w:hAnsi="Times New Roman;serif"/>
          <w:b w:val="false"/>
          <w:color w:val="000000"/>
          <w:sz w:val="20"/>
        </w:rPr>
        <w:t>unenforceable, that are not themselves invalid, illegal or unenforceable) shall be construed so as to give effect to the intent manifested by the provision held invalid, illegal or unenforceable.</w:t>
      </w:r>
    </w:p>
    <w:p>
      <w:pPr>
        <w:pStyle w:val="TextBody"/>
        <w:bidi w:val="0"/>
        <w:spacing w:before="11"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X</w:t>
      </w:r>
    </w:p>
    <w:p>
      <w:pPr>
        <w:pStyle w:val="TextBody"/>
        <w:bidi w:val="0"/>
        <w:spacing w:before="2" w:after="283"/>
        <w:jc w:val="left"/>
        <w:rPr/>
      </w:pPr>
      <w:r>
        <w:rPr/>
      </w:r>
    </w:p>
    <w:p>
      <w:pPr>
        <w:pStyle w:val="TextBody"/>
        <w:bidi w:val="0"/>
        <w:spacing w:lineRule="auto" w:line="288"/>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92" w:after="283"/>
        <w:jc w:val="left"/>
        <w:rPr>
          <w:rFonts w:ascii="Times New Roman;serif" w:hAnsi="Times New Roman;serif"/>
          <w:b w:val="false"/>
          <w:color w:val="000000"/>
          <w:sz w:val="20"/>
        </w:rPr>
      </w:pPr>
      <w:r>
        <w:rPr>
          <w:rFonts w:ascii="Times New Roman;serif" w:hAnsi="Times New Roman;serif"/>
          <w:b w:val="false"/>
          <w:color w:val="000000"/>
          <w:sz w:val="20"/>
        </w:rPr>
        <w:t>The fiscal year of the Corporation shall be fixed by resolution of the Board of Directors.</w:t>
      </w:r>
    </w:p>
    <w:p>
      <w:pPr>
        <w:pStyle w:val="TextBody"/>
        <w:bidi w:val="0"/>
        <w:spacing w:before="6"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XI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Miscellaneous</w:t>
      </w:r>
    </w:p>
    <w:p>
      <w:pPr>
        <w:pStyle w:val="TextBody"/>
        <w:bidi w:val="0"/>
        <w:spacing w:before="10" w:after="283"/>
        <w:jc w:val="left"/>
        <w:rPr/>
      </w:pPr>
      <w:r>
        <w:rPr/>
      </w:r>
    </w:p>
    <w:p>
      <w:pPr>
        <w:pStyle w:val="TextBody"/>
        <w:bidi w:val="0"/>
        <w:spacing w:lineRule="auto" w:line="288" w:before="91" w:after="283"/>
        <w:ind w:left="0" w:right="0" w:firstLine="720"/>
        <w:jc w:val="left"/>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Seal.</w:t>
      </w:r>
      <w:r>
        <w:rPr>
          <w:color w:val="000000"/>
        </w:rPr>
        <w:t xml:space="preserve"> </w:t>
      </w:r>
      <w:r>
        <w:rPr>
          <w:rFonts w:ascii="Times New Roman;serif" w:hAnsi="Times New Roman;serif"/>
          <w:b w:val="false"/>
          <w:color w:val="000000"/>
          <w:sz w:val="20"/>
        </w:rPr>
        <w:t>The Board of Directors shall provide a corporate seal, which shall be circular in form and bear the name of the Corporation and the words and figures denoting its organization under the laws of the State of Delaware and the year thereof.</w:t>
      </w:r>
    </w:p>
    <w:p>
      <w:pPr>
        <w:pStyle w:val="TextBody"/>
        <w:bidi w:val="0"/>
        <w:spacing w:before="9" w:after="283"/>
        <w:jc w:val="left"/>
        <w:rPr/>
      </w:pPr>
      <w:r>
        <w:rPr/>
      </w:r>
    </w:p>
    <w:p>
      <w:pPr>
        <w:pStyle w:val="TextBody"/>
        <w:bidi w:val="0"/>
        <w:spacing w:lineRule="auto" w:line="288" w:before="1" w:after="283"/>
        <w:ind w:left="0" w:right="0" w:firstLine="720"/>
        <w:jc w:val="left"/>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Notices.</w:t>
      </w:r>
      <w:r>
        <w:rPr>
          <w:color w:val="000000"/>
        </w:rPr>
        <w:t xml:space="preserve"> </w:t>
      </w:r>
      <w:r>
        <w:rPr>
          <w:rFonts w:ascii="Times New Roman;serif" w:hAnsi="Times New Roman;serif"/>
          <w:b w:val="false"/>
          <w:color w:val="000000"/>
          <w:sz w:val="20"/>
        </w:rPr>
        <w:t>Whenever notice is required to be given by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or by directors or committee members may be given personally, in writing or by means of electronic transmission. For purposes of these By-laws, “electronic transmission” shall have the meaning provided in Section 232 of the DGCL.</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 XII</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Amendments</w:t>
      </w:r>
    </w:p>
    <w:p>
      <w:pPr>
        <w:pStyle w:val="TextBody"/>
        <w:bidi w:val="0"/>
        <w:spacing w:before="9" w:after="283"/>
        <w:jc w:val="left"/>
        <w:rPr/>
      </w:pPr>
      <w:r>
        <w:rPr/>
      </w:r>
    </w:p>
    <w:p>
      <w:pPr>
        <w:pStyle w:val="TextBody"/>
        <w:bidi w:val="0"/>
        <w:spacing w:lineRule="auto" w:line="288" w:before="92" w:after="283"/>
        <w:jc w:val="left"/>
        <w:rPr>
          <w:rFonts w:ascii="Times New Roman;serif" w:hAnsi="Times New Roman;serif"/>
          <w:b w:val="false"/>
          <w:color w:val="000000"/>
          <w:sz w:val="20"/>
        </w:rPr>
      </w:pPr>
      <w:r>
        <w:rPr>
          <w:rFonts w:ascii="Times New Roman;serif" w:hAnsi="Times New Roman;serif"/>
          <w:b w:val="false"/>
          <w:color w:val="000000"/>
          <w:sz w:val="20"/>
        </w:rPr>
        <w:t>These By-laws may be amended or repealed, or new By-laws may be adopted (a) at any annual or special meeting of the stockholders, by a majority of the total votes of the stockholders or when stockholders are entitled to vote by class, by a majority of the appropriate class, present in person or represented by proxy and entitled to vote on such action; provided, however, that the notice of such meeting shall have been given as provided in these By-laws, which notice shall mention that amendment or repeal of these By- laws or the adoption of new By-laws is one of the purposes of such meeting, or (b) by the Board of Directors at any meeting thereof; provided, however, that notice of such meeting shall have been given as provided in these By-laws, which notice shall mention that amendment or repeal of the By-laws or the adoption of new By-laws is one of the purposes of such meeting; provided, further, that By-laws adopted by the Board of Directors may be amended or repealed by the stockholders as hereinabove provided.</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before="120" w:after="120"/>
        <w:jc w:val="center"/>
        <w:rPr/>
      </w:pPr>
      <w:r>
        <w:rPr/>
        <w:drawing>
          <wp:inline distT="0" distB="0" distL="0" distR="0">
            <wp:extent cx="2190750" cy="4191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2190750" cy="419100"/>
                    </a:xfrm>
                    <a:prstGeom prst="rect">
                      <a:avLst/>
                    </a:prstGeom>
                  </pic:spPr>
                </pic:pic>
              </a:graphicData>
            </a:graphic>
          </wp:inline>
        </w:drawing>
      </w:r>
    </w:p>
    <w:p>
      <w:pPr>
        <w:pStyle w:val="TextBody"/>
        <w:bidi w:val="0"/>
        <w:spacing w:lineRule="auto" w:line="288" w:before="300" w:after="180"/>
        <w:jc w:val="center"/>
        <w:rPr>
          <w:rFonts w:ascii="Arial;sans-serif" w:hAnsi="Arial;sans-serif"/>
          <w:b/>
          <w:color w:val="000000"/>
          <w:sz w:val="36"/>
        </w:rPr>
      </w:pPr>
      <w:r>
        <w:rPr>
          <w:rFonts w:ascii="Arial;sans-serif" w:hAnsi="Arial;sans-serif"/>
          <w:b/>
          <w:color w:val="000000"/>
          <w:sz w:val="36"/>
        </w:rPr>
        <w:t>FactSet Reports Results for Fourth Quarter and Fiscal 2026</w:t>
      </w:r>
    </w:p>
    <w:p>
      <w:pPr>
        <w:pStyle w:val="TextBody"/>
        <w:bidi w:val="0"/>
        <w:spacing w:lineRule="auto" w:line="319" w:before="60" w:after="283"/>
        <w:jc w:val="center"/>
        <w:rPr>
          <w:rFonts w:ascii="Arial;sans-serif" w:hAnsi="Arial;sans-serif"/>
          <w:b/>
          <w:i/>
          <w:color w:val="000000"/>
          <w:sz w:val="26"/>
        </w:rPr>
      </w:pPr>
      <w:r>
        <w:rPr>
          <w:rFonts w:ascii="Arial;sans-serif" w:hAnsi="Arial;sans-serif"/>
          <w:b/>
          <w:i/>
          <w:color w:val="000000"/>
          <w:sz w:val="26"/>
        </w:rPr>
        <w:t>Strong commercial execution and AI momentum drive organic ASV growth of 7.0%</w:t>
      </w:r>
    </w:p>
    <w:p>
      <w:pPr>
        <w:pStyle w:val="TextBody"/>
        <w:bidi w:val="0"/>
        <w:spacing w:before="60" w:after="283"/>
        <w:jc w:val="center"/>
        <w:rPr/>
      </w:pPr>
      <w:r>
        <w:rPr/>
      </w:r>
    </w:p>
    <w:p>
      <w:pPr>
        <w:pStyle w:val="TextBody"/>
        <w:bidi w:val="0"/>
        <w:spacing w:lineRule="auto" w:line="319" w:before="60" w:after="283"/>
        <w:jc w:val="left"/>
        <w:rPr>
          <w:rFonts w:ascii="Arial;sans-serif" w:hAnsi="Arial;sans-serif"/>
          <w:b w:val="false"/>
          <w:color w:val="000000"/>
          <w:sz w:val="20"/>
        </w:rPr>
      </w:pPr>
      <w:r>
        <w:rPr>
          <w:rFonts w:ascii="Arial;sans-serif" w:hAnsi="Arial;sans-serif"/>
          <w:b w:val="false"/>
          <w:color w:val="000000"/>
          <w:sz w:val="20"/>
        </w:rPr>
        <w:t xml:space="preserve">NORWALK, Conn., September 30, 2026 - FactSet (NYSE: FDS) (NASDAQ: FDS), a leading global intelligence and AI solutions provider to the financial markets, today announced results for its fourth quarter and fiscal 2026 ended August 31, 2026.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A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8" w:space="0" w:color="B6B6B6"/>
              <w:bottom w:val="single" w:sz="8" w:space="0" w:color="B6B6B6"/>
              <w:right w:val="single" w:sz="8" w:space="0" w:color="B6B6B6"/>
            </w:tcBorders>
            <w:tcMar>
              <w:top w:w="52" w:type="dxa"/>
              <w:left w:w="0" w:type="dxa"/>
              <w:bottom w:w="30" w:type="dxa"/>
            </w:tcMar>
            <w:vAlign w:val="center"/>
          </w:tcPr>
          <w:p>
            <w:pPr>
              <w:pStyle w:val="TableContents"/>
              <w:bidi w:val="0"/>
              <w:spacing w:lineRule="auto" w:line="319" w:before="360" w:after="120"/>
              <w:jc w:val="left"/>
              <w:rPr>
                <w:rFonts w:ascii="Arial;sans-serif" w:hAnsi="Arial;sans-serif"/>
                <w:b/>
                <w:color w:val="000000"/>
                <w:sz w:val="24"/>
              </w:rPr>
            </w:pPr>
            <w:r>
              <w:rPr>
                <w:rFonts w:ascii="Arial;sans-serif" w:hAnsi="Arial;sans-serif"/>
                <w:b/>
                <w:color w:val="000000"/>
                <w:sz w:val="24"/>
              </w:rPr>
              <w:t>Q4 and Fiscal 2026 Highlights</w:t>
            </w:r>
          </w:p>
          <w:p>
            <w:pPr>
              <w:pStyle w:val="TableContents"/>
              <w:bidi w:val="0"/>
              <w:spacing w:lineRule="auto" w:line="319" w:before="60" w:after="120"/>
              <w:ind w:left="0" w:right="0" w:hanging="360"/>
              <w:jc w:val="left"/>
              <w:rPr/>
            </w:pPr>
            <w:r>
              <w:rPr>
                <w:color w:val="000000"/>
              </w:rPr>
              <w:t>•</w:t>
            </w:r>
            <w:r>
              <w:rPr>
                <w:rFonts w:ascii="Arial;sans-serif" w:hAnsi="Arial;sans-serif"/>
                <w:b/>
                <w:color w:val="000000"/>
                <w:sz w:val="20"/>
              </w:rPr>
              <w:t xml:space="preserve">Robust growth: </w:t>
            </w:r>
            <w:r>
              <w:rPr>
                <w:rFonts w:ascii="Arial;sans-serif" w:hAnsi="Arial;sans-serif"/>
                <w:b w:val="false"/>
                <w:color w:val="000000"/>
                <w:sz w:val="20"/>
              </w:rPr>
              <w:t>Q4</w:t>
            </w:r>
            <w:r>
              <w:rPr>
                <w:color w:val="000000"/>
              </w:rPr>
              <w:t xml:space="preserve"> </w:t>
            </w:r>
            <w:r>
              <w:rPr>
                <w:rFonts w:ascii="Arial;sans-serif" w:hAnsi="Arial;sans-serif"/>
                <w:b w:val="false"/>
                <w:color w:val="000000"/>
                <w:sz w:val="20"/>
              </w:rPr>
              <w:t>GAAP revenues grew 6.3% year over year to $634.7 million, with organic revenues up 7.1%. Organic ASV increased by $168.2 million year over year to $2,568.2 million, up 7.0%.</w:t>
            </w:r>
          </w:p>
          <w:p>
            <w:pPr>
              <w:pStyle w:val="TableContents"/>
              <w:bidi w:val="0"/>
              <w:spacing w:lineRule="auto" w:line="319" w:before="0" w:after="120"/>
              <w:ind w:left="0" w:right="0" w:hanging="360"/>
              <w:jc w:val="left"/>
              <w:rPr/>
            </w:pPr>
            <w:r>
              <w:rPr>
                <w:color w:val="000000"/>
              </w:rPr>
              <w:t>•</w:t>
            </w:r>
            <w:r>
              <w:rPr>
                <w:rFonts w:ascii="Arial;sans-serif" w:hAnsi="Arial;sans-serif"/>
                <w:b/>
                <w:color w:val="000000"/>
                <w:sz w:val="20"/>
              </w:rPr>
              <w:t xml:space="preserve">Commercial excellence: </w:t>
            </w:r>
            <w:r>
              <w:rPr>
                <w:rFonts w:ascii="Arial;sans-serif" w:hAnsi="Arial;sans-serif"/>
                <w:b w:val="false"/>
                <w:color w:val="000000"/>
                <w:sz w:val="20"/>
              </w:rPr>
              <w:t>Enterprise relationships deepened. Annual ASV retention remained above 95%. During Q4, average renewal contract length increased by ~30%.</w:t>
            </w:r>
          </w:p>
          <w:p>
            <w:pPr>
              <w:pStyle w:val="TableContents"/>
              <w:bidi w:val="0"/>
              <w:spacing w:lineRule="auto" w:line="319" w:before="0" w:after="120"/>
              <w:ind w:left="0" w:right="0" w:hanging="360"/>
              <w:jc w:val="left"/>
              <w:rPr/>
            </w:pPr>
            <w:r>
              <w:rPr>
                <w:color w:val="000000"/>
              </w:rPr>
              <w:t>•</w:t>
            </w:r>
            <w:r>
              <w:rPr>
                <w:rFonts w:ascii="Arial;sans-serif" w:hAnsi="Arial;sans-serif"/>
                <w:b/>
                <w:color w:val="000000"/>
                <w:sz w:val="20"/>
              </w:rPr>
              <w:t xml:space="preserve">AI momentum: </w:t>
            </w:r>
            <w:r>
              <w:rPr>
                <w:rFonts w:ascii="Arial;sans-serif" w:hAnsi="Arial;sans-serif"/>
                <w:b w:val="false"/>
                <w:color w:val="000000"/>
                <w:sz w:val="20"/>
              </w:rPr>
              <w:t>AI solutions ASV added in fiscal 2026 more than doubled year over year.</w:t>
            </w:r>
          </w:p>
          <w:p>
            <w:pPr>
              <w:pStyle w:val="TableContents"/>
              <w:bidi w:val="0"/>
              <w:spacing w:lineRule="auto" w:line="319" w:before="0" w:after="180"/>
              <w:ind w:left="0" w:right="0" w:hanging="360"/>
              <w:jc w:val="left"/>
              <w:rPr/>
            </w:pPr>
            <w:r>
              <w:rPr>
                <w:color w:val="000000"/>
              </w:rPr>
              <w:t>•</w:t>
            </w:r>
            <w:r>
              <w:rPr>
                <w:rFonts w:ascii="Arial;sans-serif" w:hAnsi="Arial;sans-serif"/>
                <w:b/>
                <w:color w:val="000000"/>
                <w:sz w:val="20"/>
              </w:rPr>
              <w:t>Capital returns:</w:t>
            </w:r>
            <w:r>
              <w:rPr>
                <w:color w:val="000000"/>
              </w:rPr>
              <w:t xml:space="preserve"> </w:t>
            </w:r>
            <w:r>
              <w:rPr>
                <w:rFonts w:ascii="Arial;sans-serif" w:hAnsi="Arial;sans-serif"/>
                <w:b w:val="false"/>
                <w:color w:val="000000"/>
                <w:sz w:val="20"/>
              </w:rPr>
              <w:t>FactSet returned more than $179 million to shareholders in Q4, including $138 million in share repurchases and more than $41 million in dividends. During fiscal 2026, FactSet returned $808 million to shareholders and achieved its twenty-seventh consecutive year of dividend increases.</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"FactSet delivered strong results, highlighted by a record increase in organic ASV for both the fourth quarter and fiscal year with continued momentum across our AI and data solutions. During the year, we accelerated innovation, strengthened commercial execution, and improved productivity across the organization.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"As demand for trusted financial intelligence continues to grow, FactSet's high-quality data, embedded workflows, service excellence, and deep client relationships position us to drive sustainable growth and long-term shareholder value."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Sanoke Viswanathan, CEO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38150"/>
                <wp:effectExtent l="0" t="0" r="0" b="0"/>
                <wp:wrapNone/>
                <wp:docPr id="36" name="Frame35"/>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319" w:before="120" w:after="283"/>
        <w:ind w:left="0" w:right="0" w:firstLine="180"/>
        <w:jc w:val="center"/>
        <w:rPr>
          <w:rFonts w:ascii="Arial;sans-serif" w:hAnsi="Arial;sans-serif"/>
          <w:b/>
          <w:color w:val="000000"/>
          <w:sz w:val="26"/>
        </w:rPr>
      </w:pPr>
      <w:r>
        <w:rPr>
          <w:rFonts w:ascii="Arial;sans-serif" w:hAnsi="Arial;sans-serif"/>
          <w:b/>
          <w:color w:val="000000"/>
          <w:sz w:val="26"/>
        </w:rPr>
        <w:t>Key Financial Measures*</w:t>
      </w:r>
    </w:p>
    <w:tbl>
      <w:tblPr>
        <w:tblW w:w="10205" w:type="dxa"/>
        <w:jc w:val="left"/>
        <w:tblInd w:w="0" w:type="dxa"/>
        <w:tblLayout w:type="fixed"/>
        <w:tblCellMar>
          <w:top w:w="28" w:type="dxa"/>
          <w:left w:w="28" w:type="dxa"/>
          <w:bottom w:w="28" w:type="dxa"/>
          <w:right w:w="28" w:type="dxa"/>
        </w:tblCellMar>
      </w:tblPr>
      <w:tblGrid>
        <w:gridCol w:w="505"/>
        <w:gridCol w:w="444"/>
        <w:gridCol w:w="446"/>
        <w:gridCol w:w="211"/>
        <w:gridCol w:w="826"/>
        <w:gridCol w:w="271"/>
        <w:gridCol w:w="211"/>
        <w:gridCol w:w="826"/>
        <w:gridCol w:w="271"/>
        <w:gridCol w:w="265"/>
        <w:gridCol w:w="265"/>
        <w:gridCol w:w="426"/>
        <w:gridCol w:w="109"/>
        <w:gridCol w:w="109"/>
        <w:gridCol w:w="109"/>
        <w:gridCol w:w="211"/>
        <w:gridCol w:w="976"/>
        <w:gridCol w:w="271"/>
        <w:gridCol w:w="211"/>
        <w:gridCol w:w="976"/>
        <w:gridCol w:w="271"/>
        <w:gridCol w:w="264"/>
        <w:gridCol w:w="266"/>
        <w:gridCol w:w="426"/>
        <w:gridCol w:w="300"/>
        <w:gridCol w:w="300"/>
        <w:gridCol w:w="439"/>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(Condensed and Unaudited)</w:t>
            </w:r>
          </w:p>
        </w:tc>
        <w:tc>
          <w:tcPr>
            <w:tcW w:w="2616"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9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Twelve Months Ended</w:t>
            </w:r>
          </w:p>
        </w:tc>
        <w:tc>
          <w:tcPr>
            <w:tcW w:w="9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B6B6B6"/>
              <w:right w:val="single" w:sz="8" w:space="0" w:color="B6B6B6"/>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Latest</w:t>
            </w:r>
          </w:p>
        </w:tc>
      </w:tr>
      <w:tr>
        <w:trPr/>
        <w:tc>
          <w:tcPr>
            <w:tcW w:w="1395"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FY2026</w:t>
            </w:r>
          </w:p>
        </w:tc>
      </w:tr>
      <w:tr>
        <w:trPr/>
        <w:tc>
          <w:tcPr>
            <w:tcW w:w="1395"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(Results in thousands, except per share data)</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1039"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Guidance</w:t>
            </w:r>
          </w:p>
        </w:tc>
      </w:tr>
      <w:tr>
        <w:trPr/>
        <w:tc>
          <w:tcPr>
            <w:tcW w:w="1395"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634,698 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596,901 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2,476,256 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2,321,748 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$2,450 - $2,470M</w:t>
            </w:r>
          </w:p>
        </w:tc>
      </w:tr>
      <w:tr>
        <w:trPr/>
        <w:tc>
          <w:tcPr>
            <w:tcW w:w="1395"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right w:val="single" w:sz="8" w:space="0" w:color="B6B6B6"/>
            </w:tcBorders>
            <w:shd w:fill="CCEE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 - 31.0%</w:t>
            </w:r>
          </w:p>
        </w:tc>
      </w:tr>
      <w:tr>
        <w:trPr/>
        <w:tc>
          <w:tcPr>
            <w:tcW w:w="1395"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34.0% - 35.5%</w:t>
            </w:r>
          </w:p>
        </w:tc>
      </w:tr>
      <w:tr>
        <w:trPr/>
        <w:tc>
          <w:tcPr>
            <w:tcW w:w="1395"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$14.85 - $15.35</w:t>
            </w:r>
          </w:p>
        </w:tc>
      </w:tr>
      <w:tr>
        <w:trPr/>
        <w:tc>
          <w:tcPr>
            <w:tcW w:w="1395"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EPS</w:t>
            </w:r>
          </w:p>
        </w:tc>
        <w:tc>
          <w:tcPr>
            <w:tcW w:w="211"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271" w:type="dxa"/>
            <w:tcBorders>
              <w:bottom w:val="single" w:sz="8" w:space="0" w:color="B6B6B6"/>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71" w:type="dxa"/>
            <w:tcBorders>
              <w:bottom w:val="single" w:sz="8" w:space="0" w:color="B6B6B6"/>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4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B6B6B6"/>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18.01 </w:t>
            </w:r>
          </w:p>
        </w:tc>
        <w:tc>
          <w:tcPr>
            <w:tcW w:w="271" w:type="dxa"/>
            <w:tcBorders>
              <w:bottom w:val="single" w:sz="8" w:space="0" w:color="B6B6B6"/>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16.98 </w:t>
            </w:r>
          </w:p>
        </w:tc>
        <w:tc>
          <w:tcPr>
            <w:tcW w:w="271" w:type="dxa"/>
            <w:tcBorders>
              <w:bottom w:val="single" w:sz="8" w:space="0" w:color="B6B6B6"/>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4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9" w:type="dxa"/>
            <w:gridSpan w:val="3"/>
            <w:tcBorders>
              <w:bottom w:val="single" w:sz="8" w:space="0" w:color="B6B6B6"/>
              <w:right w:val="single" w:sz="8" w:space="0" w:color="B6B6B6"/>
            </w:tcBorders>
            <w:shd w:fill="CCEEFF"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$17.25 - $17.75</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ind w:left="0" w:right="0" w:firstLine="180"/>
        <w:jc w:val="both"/>
        <w:rPr>
          <w:rFonts w:ascii="Arial;sans-serif" w:hAnsi="Arial;sans-serif"/>
          <w:b w:val="false"/>
          <w:color w:val="000000"/>
          <w:sz w:val="14"/>
        </w:rPr>
      </w:pPr>
      <w:r>
        <w:rPr>
          <w:rFonts w:ascii="Arial;sans-serif" w:hAnsi="Arial;sans-serif"/>
          <w:b w:val="false"/>
          <w:color w:val="000000"/>
          <w:sz w:val="14"/>
        </w:rPr>
        <w:t xml:space="preserve">* See reconciliation of U.S. GAAP to adjusted key financial measures in the back of this press release.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Fourth Quarter Fiscal 2026 Highlights</w:t>
      </w:r>
    </w:p>
    <w:p>
      <w:pPr>
        <w:pStyle w:val="TextBody"/>
        <w:bidi w:val="0"/>
        <w:spacing w:lineRule="auto" w:line="319" w:before="200" w:after="200"/>
        <w:ind w:left="0" w:right="0" w:hanging="360"/>
        <w:jc w:val="both"/>
        <w:rPr/>
      </w:pPr>
      <w:r>
        <w:rPr>
          <w:color w:val="000000"/>
        </w:rPr>
        <w:t>•</w:t>
      </w:r>
      <w:r>
        <w:rPr>
          <w:rFonts w:ascii="Arial;sans-serif" w:hAnsi="Arial;sans-serif"/>
          <w:b/>
          <w:color w:val="000000"/>
          <w:sz w:val="18"/>
        </w:rPr>
        <w:t>GAAP revenues</w:t>
      </w:r>
      <w:r>
        <w:rPr>
          <w:color w:val="000000"/>
        </w:rPr>
        <w:t xml:space="preserve"> </w:t>
      </w:r>
      <w:r>
        <w:rPr>
          <w:rFonts w:ascii="Arial;sans-serif" w:hAnsi="Arial;sans-serif"/>
          <w:b w:val="false"/>
          <w:color w:val="000000"/>
          <w:sz w:val="18"/>
        </w:rPr>
        <w:t xml:space="preserve">increased 6.3% or $37.8 million to $634.7 million compared with $596.9 million in the prior year period. </w:t>
      </w:r>
    </w:p>
    <w:p>
      <w:pPr>
        <w:pStyle w:val="TextBody"/>
        <w:bidi w:val="0"/>
        <w:spacing w:lineRule="auto" w:line="319" w:before="200" w:after="200"/>
        <w:ind w:left="0" w:right="0" w:hanging="360"/>
        <w:jc w:val="both"/>
        <w:rPr/>
      </w:pPr>
      <w:r>
        <w:rPr>
          <w:color w:val="000000"/>
        </w:rPr>
        <w:t>•</w:t>
      </w:r>
      <w:r>
        <w:rPr>
          <w:rFonts w:ascii="Arial;sans-serif" w:hAnsi="Arial;sans-serif"/>
          <w:b/>
          <w:color w:val="000000"/>
          <w:sz w:val="18"/>
        </w:rPr>
        <w:t>Organic revenues</w:t>
      </w:r>
      <w:r>
        <w:rPr>
          <w:color w:val="000000"/>
        </w:rPr>
        <w:t xml:space="preserve"> </w:t>
      </w:r>
      <w:r>
        <w:rPr>
          <w:rFonts w:ascii="Arial;sans-serif" w:hAnsi="Arial;sans-serif"/>
          <w:b w:val="false"/>
          <w:color w:val="000000"/>
          <w:sz w:val="18"/>
        </w:rPr>
        <w:t>grew 7.1% year over year to $635.5 million.</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Annual Subscription Value</w:t>
      </w:r>
      <w:r>
        <w:rPr>
          <w:color w:val="000000"/>
        </w:rPr>
        <w:t xml:space="preserve"> </w:t>
      </w:r>
      <w:r>
        <w:rPr>
          <w:rFonts w:ascii="Arial;sans-serif" w:hAnsi="Arial;sans-serif"/>
          <w:b w:val="false"/>
          <w:color w:val="000000"/>
          <w:sz w:val="18"/>
        </w:rPr>
        <w:t xml:space="preserve">("ASV") was $2,565.2 million at August 31, 2026.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 xml:space="preserve">Organic ASV </w:t>
      </w:r>
      <w:r>
        <w:rPr>
          <w:rFonts w:ascii="Arial;sans-serif" w:hAnsi="Arial;sans-serif"/>
          <w:b w:val="false"/>
          <w:color w:val="000000"/>
          <w:sz w:val="18"/>
        </w:rPr>
        <w:t xml:space="preserve">was $2,568.2 million at August 31, 2026, up 7.0% or $168.2 million year over year.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 xml:space="preserve">GAAP operating margin </w:t>
      </w:r>
      <w:r>
        <w:rPr>
          <w:rFonts w:ascii="Arial;sans-serif" w:hAnsi="Arial;sans-serif"/>
          <w:b w:val="false"/>
          <w:color w:val="000000"/>
          <w:sz w:val="18"/>
        </w:rPr>
        <w:t>was</w:t>
      </w:r>
      <w:r>
        <w:rPr>
          <w:color w:val="000000"/>
        </w:rPr>
        <w:t xml:space="preserve"> </w:t>
      </w:r>
      <w:r>
        <w:rPr>
          <w:rFonts w:ascii="Arial;sans-serif" w:hAnsi="Arial;sans-serif"/>
          <w:b w:val="false"/>
          <w:color w:val="000000"/>
          <w:sz w:val="18"/>
        </w:rPr>
        <w:t xml:space="preserve">24.7% compared with 29.7% in the prior year period, primarily due to higher employee compensation costs, mainly driven by one-time restructuring charges and ASV-linked incentive plans, partially offset by an increase in revenues.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Adjusted operating margin</w:t>
      </w:r>
      <w:r>
        <w:rPr>
          <w:rFonts w:ascii="Arial;sans-serif" w:hAnsi="Arial;sans-serif"/>
          <w:b w:val="false"/>
          <w:color w:val="000000"/>
          <w:sz w:val="18"/>
        </w:rPr>
        <w:t xml:space="preserve">, which excludes acquisition-related intangible asset amortization and non-recurring items, was 33.0% compared with 33.8% in the prior year period, mainly due to higher compensation expense from ASV-linked incentive plans and technology-related expenses.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 xml:space="preserve">GAAP diluted EPS </w:t>
      </w:r>
      <w:r>
        <w:rPr>
          <w:rFonts w:ascii="Arial;sans-serif" w:hAnsi="Arial;sans-serif"/>
          <w:b w:val="false"/>
          <w:color w:val="000000"/>
          <w:sz w:val="18"/>
        </w:rPr>
        <w:t xml:space="preserve">was $3.41 compared with $4.03 for the same period in fiscal 2025, mainly driven by higher operating expenses, including non-recurring items, and a gain on the divestiture of a business in the prior year, partially offset by growth in revenues and a lower share count.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Adjusted diluted EPS</w:t>
      </w:r>
      <w:r>
        <w:rPr>
          <w:color w:val="000000"/>
        </w:rPr>
        <w:t xml:space="preserve"> </w:t>
      </w:r>
      <w:r>
        <w:rPr>
          <w:rFonts w:ascii="Arial;sans-serif" w:hAnsi="Arial;sans-serif"/>
          <w:b w:val="false"/>
          <w:color w:val="000000"/>
          <w:sz w:val="18"/>
        </w:rPr>
        <w:t xml:space="preserve">increased 11.6% to $4.52 compared with $4.05 in the prior year period, driven by growth in revenues and a lower share count.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Net cash provided by operating activities</w:t>
      </w:r>
      <w:r>
        <w:rPr>
          <w:color w:val="000000"/>
        </w:rPr>
        <w:t xml:space="preserve"> </w:t>
      </w:r>
      <w:r>
        <w:rPr>
          <w:rFonts w:ascii="Arial;sans-serif" w:hAnsi="Arial;sans-serif"/>
          <w:b w:val="false"/>
          <w:color w:val="000000"/>
          <w:sz w:val="18"/>
        </w:rPr>
        <w:t>was $204.7 million for the fourth quarter of fiscal 2026, a decrease of 3.5% compared with the prior year period.</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Free cash flow</w:t>
      </w:r>
      <w:r>
        <w:rPr>
          <w:color w:val="000000"/>
        </w:rPr>
        <w:t xml:space="preserve"> </w:t>
      </w:r>
      <w:r>
        <w:rPr>
          <w:rFonts w:ascii="Arial;sans-serif" w:hAnsi="Arial;sans-serif"/>
          <w:b w:val="false"/>
          <w:color w:val="000000"/>
          <w:sz w:val="18"/>
        </w:rPr>
        <w:t>was $177.3 million for the fourth quarter of fiscal 2026, a decrease of 0.5% compared with the prior year period.</w:t>
      </w:r>
    </w:p>
    <w:p>
      <w:pPr>
        <w:pStyle w:val="TextBody"/>
        <w:bidi w:val="0"/>
        <w:spacing w:lineRule="auto" w:line="319" w:before="0" w:after="260"/>
        <w:ind w:left="0" w:right="0" w:hanging="360"/>
        <w:jc w:val="both"/>
        <w:rPr/>
      </w:pPr>
      <w:r>
        <w:rPr>
          <w:color w:val="000000"/>
        </w:rPr>
        <w:t>•</w:t>
      </w:r>
      <w:r>
        <w:rPr>
          <w:rFonts w:ascii="Arial;sans-serif" w:hAnsi="Arial;sans-serif"/>
          <w:b/>
          <w:color w:val="000000"/>
          <w:sz w:val="18"/>
        </w:rPr>
        <w:t>GAAP effective tax rate</w:t>
      </w:r>
      <w:r>
        <w:rPr>
          <w:color w:val="000000"/>
        </w:rPr>
        <w:t xml:space="preserve"> </w:t>
      </w:r>
      <w:r>
        <w:rPr>
          <w:rFonts w:ascii="Arial;sans-serif" w:hAnsi="Arial;sans-serif"/>
          <w:b w:val="false"/>
          <w:color w:val="000000"/>
          <w:sz w:val="18"/>
        </w:rPr>
        <w:t>decreased to 16.1% compared with 18.7% for the prior year period primarily due to the favorable resolution of uncertain tax positions in the U.S.</w:t>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38150"/>
                <wp:effectExtent l="0" t="0" r="0" b="0"/>
                <wp:wrapNone/>
                <wp:docPr id="37" name="Frame36"/>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2</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268" w:before="0" w:after="260"/>
        <w:jc w:val="both"/>
        <w:rPr>
          <w:rFonts w:ascii="Arial;sans-serif" w:hAnsi="Arial;sans-serif"/>
          <w:b/>
          <w:color w:val="000000"/>
          <w:sz w:val="24"/>
        </w:rPr>
      </w:pPr>
      <w:r>
        <w:rPr>
          <w:rFonts w:ascii="Arial;sans-serif" w:hAnsi="Arial;sans-serif"/>
          <w:b/>
          <w:color w:val="000000"/>
          <w:sz w:val="24"/>
        </w:rPr>
        <w:t>Full Year Fiscal 2026 Highlights</w:t>
      </w:r>
    </w:p>
    <w:p>
      <w:pPr>
        <w:pStyle w:val="TextBody"/>
        <w:bidi w:val="0"/>
        <w:spacing w:lineRule="auto" w:line="319" w:before="200" w:after="200"/>
        <w:ind w:left="0" w:right="0" w:hanging="360"/>
        <w:jc w:val="both"/>
        <w:rPr/>
      </w:pPr>
      <w:r>
        <w:rPr>
          <w:color w:val="000000"/>
        </w:rPr>
        <w:t>•</w:t>
      </w:r>
      <w:r>
        <w:rPr>
          <w:rFonts w:ascii="Arial;sans-serif" w:hAnsi="Arial;sans-serif"/>
          <w:b/>
          <w:color w:val="000000"/>
          <w:sz w:val="18"/>
        </w:rPr>
        <w:t>GAAP revenues</w:t>
      </w:r>
      <w:r>
        <w:rPr>
          <w:color w:val="000000"/>
        </w:rPr>
        <w:t xml:space="preserve"> </w:t>
      </w:r>
      <w:r>
        <w:rPr>
          <w:rFonts w:ascii="Arial;sans-serif" w:hAnsi="Arial;sans-serif"/>
          <w:b w:val="false"/>
          <w:color w:val="000000"/>
          <w:sz w:val="18"/>
        </w:rPr>
        <w:t>increased 6.7% or $154.5 million to $2.48 billion. This result continues FactSet's track record of 47 consecutive years of increased revenues for the Company.</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 xml:space="preserve">GAAP operating margin </w:t>
      </w:r>
      <w:r>
        <w:rPr>
          <w:rFonts w:ascii="Arial;sans-serif" w:hAnsi="Arial;sans-serif"/>
          <w:b w:val="false"/>
          <w:color w:val="000000"/>
          <w:sz w:val="18"/>
        </w:rPr>
        <w:t xml:space="preserve">was 28.3% compared with 32.2% for the prior year, primarily due to higher employee compensation costs, mainly driven by one-time restructuring charges, ASV-linked incentive plans and one-time CEO compensation costs, partially offset by growth in revenues.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Adjusted operating margin</w:t>
      </w:r>
      <w:r>
        <w:rPr>
          <w:color w:val="000000"/>
        </w:rPr>
        <w:t xml:space="preserve"> </w:t>
      </w:r>
      <w:r>
        <w:rPr>
          <w:rFonts w:ascii="Arial;sans-serif" w:hAnsi="Arial;sans-serif"/>
          <w:b w:val="false"/>
          <w:color w:val="000000"/>
          <w:sz w:val="18"/>
        </w:rPr>
        <w:t xml:space="preserve">was 34.5% compared with 36.3% in the prior year, mainly due to higher compensation expense from ASV-linked incentive plans and technology expenses. </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 xml:space="preserve">GAAP diluted EPS </w:t>
      </w:r>
      <w:r>
        <w:rPr>
          <w:rFonts w:ascii="Arial;sans-serif" w:hAnsi="Arial;sans-serif"/>
          <w:b w:val="false"/>
          <w:color w:val="000000"/>
          <w:sz w:val="18"/>
        </w:rPr>
        <w:t>was $14.57 compared with $15.55 in the prior year period, mainly driven by higher operating expenses, including non-recurring items, partially offset by growth in revenues and a lower share count.</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Adjusted diluted EPS</w:t>
      </w:r>
      <w:r>
        <w:rPr>
          <w:color w:val="000000"/>
        </w:rPr>
        <w:t xml:space="preserve"> </w:t>
      </w:r>
      <w:r>
        <w:rPr>
          <w:rFonts w:ascii="Arial;sans-serif" w:hAnsi="Arial;sans-serif"/>
          <w:b w:val="false"/>
          <w:color w:val="000000"/>
          <w:sz w:val="18"/>
        </w:rPr>
        <w:t>increased 6.1% to $18.01, primarily driven by growth in revenues and a lower share count. Fiscal 2026 marks the 30th consecutive year that FactSet has increased its adjusted diluted EPS.</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Net cash provided by operating activities</w:t>
      </w:r>
      <w:r>
        <w:rPr>
          <w:color w:val="000000"/>
        </w:rPr>
        <w:t xml:space="preserve"> </w:t>
      </w:r>
      <w:r>
        <w:rPr>
          <w:rFonts w:ascii="Arial;sans-serif" w:hAnsi="Arial;sans-serif"/>
          <w:b w:val="false"/>
          <w:color w:val="000000"/>
          <w:sz w:val="18"/>
        </w:rPr>
        <w:t>was $822.2 million for fiscal 2026, an increase of 13.2% compared with the prior year period.</w:t>
      </w:r>
    </w:p>
    <w:p>
      <w:pPr>
        <w:pStyle w:val="TextBody"/>
        <w:bidi w:val="0"/>
        <w:spacing w:lineRule="auto" w:line="319" w:before="0" w:after="200"/>
        <w:ind w:left="0" w:right="0" w:hanging="360"/>
        <w:jc w:val="both"/>
        <w:rPr/>
      </w:pPr>
      <w:r>
        <w:rPr>
          <w:color w:val="000000"/>
        </w:rPr>
        <w:t>•</w:t>
      </w:r>
      <w:r>
        <w:rPr>
          <w:rFonts w:ascii="Arial;sans-serif" w:hAnsi="Arial;sans-serif"/>
          <w:b/>
          <w:color w:val="000000"/>
          <w:sz w:val="18"/>
        </w:rPr>
        <w:t>Free cash flow</w:t>
      </w:r>
      <w:r>
        <w:rPr>
          <w:color w:val="000000"/>
        </w:rPr>
        <w:t xml:space="preserve"> </w:t>
      </w:r>
      <w:r>
        <w:rPr>
          <w:rFonts w:ascii="Arial;sans-serif" w:hAnsi="Arial;sans-serif"/>
          <w:b w:val="false"/>
          <w:color w:val="000000"/>
          <w:sz w:val="18"/>
        </w:rPr>
        <w:t xml:space="preserve">was $707.5 million for fiscal 2026, an increase of 14.6% compared with the prior year period. </w:t>
      </w:r>
    </w:p>
    <w:p>
      <w:pPr>
        <w:pStyle w:val="TextBody"/>
        <w:bidi w:val="0"/>
        <w:spacing w:lineRule="auto" w:line="319" w:before="0" w:after="200"/>
        <w:ind w:left="0" w:right="0" w:hanging="360"/>
        <w:jc w:val="both"/>
        <w:rPr/>
      </w:pPr>
      <w:r>
        <w:rPr>
          <w:color w:val="4B4B4B"/>
        </w:rPr>
        <w:t>•</w:t>
      </w:r>
      <w:r>
        <w:rPr>
          <w:rFonts w:ascii="Arial;sans-serif" w:hAnsi="Arial;sans-serif"/>
          <w:b/>
          <w:color w:val="000000"/>
          <w:sz w:val="18"/>
        </w:rPr>
        <w:t>GAAP effective tax rate</w:t>
      </w:r>
      <w:r>
        <w:rPr>
          <w:color w:val="000000"/>
        </w:rPr>
        <w:t xml:space="preserve"> </w:t>
      </w:r>
      <w:r>
        <w:rPr>
          <w:rFonts w:ascii="Arial;sans-serif" w:hAnsi="Arial;sans-serif"/>
          <w:b w:val="false"/>
          <w:color w:val="000000"/>
          <w:sz w:val="18"/>
        </w:rPr>
        <w:t xml:space="preserve">increased to 17.9% compared with 17.2% for the prior year period primarily due to a stock-based compensation tax shortfall and the limitation on the deductibility of executive compensation, partially offset by the favorable resolution of uncertain tax positions in the U.S. </w:t>
      </w:r>
    </w:p>
    <w:p>
      <w:pPr>
        <w:pStyle w:val="TextBody"/>
        <w:bidi w:val="0"/>
        <w:spacing w:lineRule="auto" w:line="268" w:before="320" w:after="120"/>
        <w:jc w:val="left"/>
        <w:rPr>
          <w:rFonts w:ascii="Arial;sans-serif" w:hAnsi="Arial;sans-serif"/>
          <w:b/>
          <w:color w:val="000000"/>
          <w:sz w:val="24"/>
        </w:rPr>
      </w:pPr>
      <w:r>
        <w:rPr>
          <w:rFonts w:ascii="Arial;sans-serif" w:hAnsi="Arial;sans-serif"/>
          <w:b/>
          <w:color w:val="000000"/>
          <w:sz w:val="24"/>
        </w:rPr>
        <w:t xml:space="preserve">Annual Subscription Value (ASV) </w:t>
      </w:r>
    </w:p>
    <w:p>
      <w:pPr>
        <w:pStyle w:val="TextBody"/>
        <w:bidi w:val="0"/>
        <w:spacing w:lineRule="auto" w:line="319" w:before="0" w:after="200"/>
        <w:jc w:val="both"/>
        <w:rPr>
          <w:rFonts w:ascii="Arial;sans-serif" w:hAnsi="Arial;sans-serif"/>
          <w:b w:val="false"/>
          <w:color w:val="000000"/>
          <w:sz w:val="18"/>
        </w:rPr>
      </w:pPr>
      <w:r>
        <w:rPr>
          <w:rFonts w:ascii="Arial;sans-serif" w:hAnsi="Arial;sans-serif"/>
          <w:b w:val="false"/>
          <w:color w:val="000000"/>
          <w:sz w:val="18"/>
        </w:rPr>
        <w:t>ASV at any given point in time represents the forward-looking revenues for the next 12 months from all subscription services currently supplied to clients. Organic ASV at any point in time equals our ASV excluding ASV from acquisitions and the comparable impact of dispositions and discontinued lines of business effected within the last 12 months and the impact of foreign currency movements.</w:t>
      </w:r>
    </w:p>
    <w:p>
      <w:pPr>
        <w:pStyle w:val="TextBody"/>
        <w:bidi w:val="0"/>
        <w:spacing w:lineRule="auto" w:line="319" w:before="0" w:after="200"/>
        <w:jc w:val="both"/>
        <w:rPr>
          <w:rFonts w:ascii="Arial;sans-serif" w:hAnsi="Arial;sans-serif"/>
          <w:b w:val="false"/>
          <w:color w:val="000000"/>
          <w:sz w:val="18"/>
        </w:rPr>
      </w:pPr>
      <w:r>
        <w:rPr>
          <w:rFonts w:ascii="Arial;sans-serif" w:hAnsi="Arial;sans-serif"/>
          <w:b w:val="false"/>
          <w:color w:val="000000"/>
          <w:sz w:val="18"/>
        </w:rPr>
        <w:t xml:space="preserve">ASV was $2,565.2 million at August 31, 2026, compared with $2,405.6 million at August 31, 2025. Organic ASV was $2,568.2 million at August 31, 2026, up $168.2 million from the prior year, for a growth rate of 7.0%. </w:t>
      </w:r>
    </w:p>
    <w:p>
      <w:pPr>
        <w:pStyle w:val="TextBody"/>
        <w:bidi w:val="0"/>
        <w:spacing w:lineRule="auto" w:line="319" w:before="320" w:after="120"/>
        <w:jc w:val="left"/>
        <w:rPr>
          <w:rFonts w:ascii="Arial;sans-serif" w:hAnsi="Arial;sans-serif"/>
          <w:b/>
          <w:color w:val="000000"/>
          <w:sz w:val="24"/>
        </w:rPr>
      </w:pPr>
      <w:r>
        <w:rPr>
          <w:rFonts w:ascii="Arial;sans-serif" w:hAnsi="Arial;sans-serif"/>
          <w:b/>
          <w:color w:val="000000"/>
          <w:sz w:val="24"/>
        </w:rPr>
        <w:t>Segment Revenues and ASV</w:t>
      </w:r>
    </w:p>
    <w:tbl>
      <w:tblPr>
        <w:tblW w:w="10205" w:type="dxa"/>
        <w:jc w:val="left"/>
        <w:tblInd w:w="0" w:type="dxa"/>
        <w:tblLayout w:type="fixed"/>
        <w:tblCellMar>
          <w:top w:w="28" w:type="dxa"/>
          <w:left w:w="28" w:type="dxa"/>
          <w:bottom w:w="28" w:type="dxa"/>
          <w:right w:w="28" w:type="dxa"/>
        </w:tblCellMar>
      </w:tblPr>
      <w:tblGrid>
        <w:gridCol w:w="503"/>
        <w:gridCol w:w="403"/>
        <w:gridCol w:w="406"/>
        <w:gridCol w:w="434"/>
        <w:gridCol w:w="331"/>
        <w:gridCol w:w="303"/>
        <w:gridCol w:w="434"/>
        <w:gridCol w:w="331"/>
        <w:gridCol w:w="303"/>
        <w:gridCol w:w="564"/>
        <w:gridCol w:w="541"/>
        <w:gridCol w:w="543"/>
        <w:gridCol w:w="338"/>
        <w:gridCol w:w="338"/>
        <w:gridCol w:w="339"/>
        <w:gridCol w:w="461"/>
        <w:gridCol w:w="461"/>
        <w:gridCol w:w="463"/>
        <w:gridCol w:w="325"/>
        <w:gridCol w:w="325"/>
        <w:gridCol w:w="326"/>
        <w:gridCol w:w="504"/>
        <w:gridCol w:w="504"/>
        <w:gridCol w:w="725"/>
      </w:tblGrid>
      <w:tr>
        <w:trPr/>
        <w:tc>
          <w:tcPr>
            <w:tcW w:w="5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(Results in millions)</w:t>
            </w:r>
          </w:p>
        </w:tc>
        <w:tc>
          <w:tcPr>
            <w:tcW w:w="106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Aug. 31, 2026 </w:t>
              <w:br/>
              <w:t>ASV</w:t>
            </w:r>
          </w:p>
        </w:tc>
        <w:tc>
          <w:tcPr>
            <w:tcW w:w="106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Aug. 31, 2025 </w:t>
              <w:br/>
              <w:t>ASV</w:t>
            </w:r>
          </w:p>
        </w:tc>
        <w:tc>
          <w:tcPr>
            <w:tcW w:w="1648"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Aug. 31, 2026 Organic ASV </w:t>
            </w:r>
          </w:p>
        </w:tc>
        <w:tc>
          <w:tcPr>
            <w:tcW w:w="1015"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Organic ASV </w:t>
              <w:br/>
              <w:t>Growth</w:t>
            </w:r>
          </w:p>
        </w:tc>
        <w:tc>
          <w:tcPr>
            <w:tcW w:w="1385"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Q4 FY26 Revenues </w:t>
            </w:r>
          </w:p>
        </w:tc>
        <w:tc>
          <w:tcPr>
            <w:tcW w:w="976"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 FY25</w:t>
              <w:br/>
              <w:t>Revenues</w:t>
            </w:r>
          </w:p>
        </w:tc>
        <w:tc>
          <w:tcPr>
            <w:tcW w:w="1733" w:type="dxa"/>
            <w:gridSpan w:val="3"/>
            <w:tcBorders>
              <w:top w:val="single" w:sz="8" w:space="0" w:color="B6B6B6"/>
              <w:left w:val="single" w:sz="8" w:space="0" w:color="B6B6B6"/>
              <w:right w:val="single" w:sz="8" w:space="0" w:color="B6B6B6"/>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Organic Revenues Growth</w:t>
            </w:r>
          </w:p>
        </w:tc>
      </w:tr>
      <w:tr>
        <w:trPr/>
        <w:tc>
          <w:tcPr>
            <w:tcW w:w="1312"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Americas </w:t>
            </w:r>
          </w:p>
        </w:tc>
        <w:tc>
          <w:tcPr>
            <w:tcW w:w="1068"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$1,678.2</w:t>
            </w:r>
          </w:p>
        </w:tc>
        <w:tc>
          <w:tcPr>
            <w:tcW w:w="1068"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$1,570.1</w:t>
            </w:r>
          </w:p>
        </w:tc>
        <w:tc>
          <w:tcPr>
            <w:tcW w:w="1648"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$1,678.2 </w:t>
            </w:r>
          </w:p>
        </w:tc>
        <w:tc>
          <w:tcPr>
            <w:tcW w:w="1015"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7.1%</w:t>
            </w:r>
          </w:p>
        </w:tc>
        <w:tc>
          <w:tcPr>
            <w:tcW w:w="1385"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$414.3</w:t>
            </w:r>
          </w:p>
        </w:tc>
        <w:tc>
          <w:tcPr>
            <w:tcW w:w="976" w:type="dxa"/>
            <w:gridSpan w:val="3"/>
            <w:tcBorders>
              <w:top w:val="single" w:sz="8" w:space="0" w:color="B6B6B6"/>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$388.7 </w:t>
            </w:r>
          </w:p>
        </w:tc>
        <w:tc>
          <w:tcPr>
            <w:tcW w:w="1733" w:type="dxa"/>
            <w:gridSpan w:val="3"/>
            <w:tcBorders>
              <w:top w:val="single" w:sz="8" w:space="0" w:color="B6B6B6"/>
              <w:left w:val="single" w:sz="8" w:space="0" w:color="B6B6B6"/>
              <w:right w:val="single" w:sz="8" w:space="0" w:color="B6B6B6"/>
            </w:tcBorders>
            <w:shd w:fill="CCEEFF" w:val="clear"/>
            <w:tcMar>
              <w:top w:w="52" w:type="dxa"/>
              <w:bottom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6.7%</w:t>
            </w:r>
          </w:p>
        </w:tc>
      </w:tr>
      <w:tr>
        <w:trPr/>
        <w:tc>
          <w:tcPr>
            <w:tcW w:w="1312"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EMEA</w:t>
            </w:r>
          </w:p>
        </w:tc>
        <w:tc>
          <w:tcPr>
            <w:tcW w:w="1068"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$620.9</w:t>
            </w:r>
          </w:p>
        </w:tc>
        <w:tc>
          <w:tcPr>
            <w:tcW w:w="1068"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$591.6</w:t>
            </w:r>
          </w:p>
        </w:tc>
        <w:tc>
          <w:tcPr>
            <w:tcW w:w="1648"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$623.6 </w:t>
            </w:r>
          </w:p>
        </w:tc>
        <w:tc>
          <w:tcPr>
            <w:tcW w:w="1015"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5.2%</w:t>
            </w:r>
          </w:p>
        </w:tc>
        <w:tc>
          <w:tcPr>
            <w:tcW w:w="1385"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$154.8</w:t>
            </w:r>
          </w:p>
        </w:tc>
        <w:tc>
          <w:tcPr>
            <w:tcW w:w="976" w:type="dxa"/>
            <w:gridSpan w:val="3"/>
            <w:tcBorders>
              <w:top w:val="single" w:sz="8" w:space="0" w:color="B6B6B6"/>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$147.4</w:t>
            </w:r>
          </w:p>
        </w:tc>
        <w:tc>
          <w:tcPr>
            <w:tcW w:w="1733" w:type="dxa"/>
            <w:gridSpan w:val="3"/>
            <w:tcBorders>
              <w:top w:val="single" w:sz="8" w:space="0" w:color="B6B6B6"/>
              <w:left w:val="single" w:sz="8" w:space="0" w:color="B6B6B6"/>
              <w:right w:val="single" w:sz="8" w:space="0" w:color="B6B6B6"/>
            </w:tcBorders>
            <w:shd w:fill="FFFFFF" w:val="clear"/>
            <w:tcMar>
              <w:top w:w="52" w:type="dxa"/>
              <w:bottom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6.6%</w:t>
            </w:r>
          </w:p>
        </w:tc>
      </w:tr>
      <w:tr>
        <w:trPr/>
        <w:tc>
          <w:tcPr>
            <w:tcW w:w="1312"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APAC</w:t>
            </w:r>
          </w:p>
        </w:tc>
        <w:tc>
          <w:tcPr>
            <w:tcW w:w="1068"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$266.1</w:t>
            </w:r>
          </w:p>
        </w:tc>
        <w:tc>
          <w:tcPr>
            <w:tcW w:w="1068"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$243.9</w:t>
            </w:r>
          </w:p>
        </w:tc>
        <w:tc>
          <w:tcPr>
            <w:tcW w:w="1648"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$266.4 </w:t>
            </w:r>
          </w:p>
        </w:tc>
        <w:tc>
          <w:tcPr>
            <w:tcW w:w="1015"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10.6%</w:t>
            </w:r>
          </w:p>
        </w:tc>
        <w:tc>
          <w:tcPr>
            <w:tcW w:w="1385"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$65.6</w:t>
            </w:r>
          </w:p>
        </w:tc>
        <w:tc>
          <w:tcPr>
            <w:tcW w:w="976" w:type="dxa"/>
            <w:gridSpan w:val="3"/>
            <w:tcBorders>
              <w:top w:val="single" w:sz="8" w:space="0" w:color="B6B6B6"/>
              <w:left w:val="single" w:sz="8" w:space="0" w:color="B6B6B6"/>
              <w:bottom w:val="single" w:sz="8" w:space="0" w:color="B6B6B6"/>
            </w:tcBorders>
            <w:shd w:fill="CCEEFF" w:val="clear"/>
            <w:tcMar>
              <w:top w:w="52"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$60.8</w:t>
            </w:r>
          </w:p>
        </w:tc>
        <w:tc>
          <w:tcPr>
            <w:tcW w:w="1733" w:type="dxa"/>
            <w:gridSpan w:val="3"/>
            <w:tcBorders>
              <w:top w:val="single" w:sz="8" w:space="0" w:color="B6B6B6"/>
              <w:left w:val="single" w:sz="8" w:space="0" w:color="B6B6B6"/>
              <w:bottom w:val="single" w:sz="8" w:space="0" w:color="B6B6B6"/>
              <w:right w:val="single" w:sz="8" w:space="0" w:color="B6B6B6"/>
            </w:tcBorders>
            <w:shd w:fill="CCEEFF" w:val="clear"/>
            <w:tcMar>
              <w:top w:w="52"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11.0%</w:t>
            </w:r>
          </w:p>
        </w:tc>
      </w:tr>
    </w:tbl>
    <w:p>
      <w:pPr>
        <w:pStyle w:val="TextBody"/>
        <w:bidi w:val="0"/>
        <w:spacing w:lineRule="auto" w:line="319" w:before="320" w:after="200"/>
        <w:jc w:val="left"/>
        <w:rPr>
          <w:rFonts w:ascii="Arial;sans-serif" w:hAnsi="Arial;sans-serif"/>
          <w:b/>
          <w:color w:val="000000"/>
          <w:sz w:val="24"/>
        </w:rPr>
      </w:pPr>
      <w:r>
        <w:rPr>
          <w:rFonts w:ascii="Arial;sans-serif" w:hAnsi="Arial;sans-serif"/>
          <w:b/>
          <w:color w:val="000000"/>
          <w:sz w:val="24"/>
        </w:rPr>
        <w:t>Share Repurchase Program</w:t>
      </w:r>
    </w:p>
    <w:p>
      <w:pPr>
        <w:pStyle w:val="TextBody"/>
        <w:bidi w:val="0"/>
        <w:spacing w:lineRule="auto" w:line="316" w:before="0" w:after="0"/>
        <w:jc w:val="both"/>
        <w:rPr>
          <w:rFonts w:ascii="Arial;sans-serif" w:hAnsi="Arial;sans-serif"/>
          <w:b w:val="false"/>
          <w:color w:val="000000"/>
          <w:sz w:val="18"/>
        </w:rPr>
      </w:pPr>
      <w:r>
        <w:rPr>
          <w:rFonts w:ascii="Arial;sans-serif" w:hAnsi="Arial;sans-serif"/>
          <w:b w:val="false"/>
          <w:color w:val="000000"/>
          <w:sz w:val="18"/>
        </w:rPr>
        <w:t xml:space="preserve">FactSet repurchased 552,064 shares of its common stock for $138.0 million at an average price of $249.90 during the fourth quarter of fiscal 2026 under the Company’s share repurchase program. As of August 31, 2026, $356.0 million remained available for share repurchases under this program. </w:t>
      </w:r>
    </w:p>
    <w:p>
      <w:pPr>
        <w:pStyle w:val="TextBody"/>
        <w:bidi w:val="0"/>
        <w:spacing w:before="320" w:after="200"/>
        <w:jc w:val="left"/>
        <w:rPr/>
      </w:pPr>
      <w:r>
        <w:rPr/>
      </w:r>
    </w:p>
    <w:p>
      <w:pPr>
        <w:pStyle w:val="TextBody"/>
        <w:bidi w:val="0"/>
        <w:spacing w:before="320" w:after="200"/>
        <w:jc w:val="left"/>
        <w:rPr/>
      </w:pPr>
      <w:r>
        <w:rPr/>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38150"/>
                <wp:effectExtent l="0" t="0" r="0" b="0"/>
                <wp:wrapNone/>
                <wp:docPr id="38" name="Frame37"/>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3</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316" w:before="320" w:after="200"/>
        <w:jc w:val="left"/>
        <w:rPr>
          <w:rFonts w:ascii="Arial;sans-serif" w:hAnsi="Arial;sans-serif"/>
          <w:b/>
          <w:color w:val="000000"/>
          <w:sz w:val="24"/>
        </w:rPr>
      </w:pPr>
      <w:r>
        <w:rPr>
          <w:rFonts w:ascii="Arial;sans-serif" w:hAnsi="Arial;sans-serif"/>
          <w:b/>
          <w:color w:val="000000"/>
          <w:sz w:val="24"/>
        </w:rPr>
        <w:t>Annual Business Outlook</w:t>
      </w:r>
    </w:p>
    <w:p>
      <w:pPr>
        <w:pStyle w:val="TextBody"/>
        <w:bidi w:val="0"/>
        <w:spacing w:before="0" w:after="0"/>
        <w:jc w:val="both"/>
        <w:rPr/>
      </w:pPr>
      <w:r>
        <w:rPr/>
      </w:r>
    </w:p>
    <w:p>
      <w:pPr>
        <w:pStyle w:val="TextBody"/>
        <w:bidi w:val="0"/>
        <w:spacing w:lineRule="auto" w:line="319" w:before="0" w:after="200"/>
        <w:jc w:val="both"/>
        <w:rPr>
          <w:rFonts w:ascii="Arial;sans-serif" w:hAnsi="Arial;sans-serif"/>
          <w:b/>
          <w:color w:val="000000"/>
          <w:sz w:val="22"/>
        </w:rPr>
      </w:pPr>
      <w:r>
        <w:rPr>
          <w:rFonts w:ascii="Arial;sans-serif" w:hAnsi="Arial;sans-serif"/>
          <w:b/>
          <w:color w:val="000000"/>
          <w:sz w:val="22"/>
        </w:rPr>
        <w:t>Fiscal 2027 Expectations:</w:t>
      </w:r>
    </w:p>
    <w:tbl>
      <w:tblPr>
        <w:tblW w:w="5468" w:type="dxa"/>
        <w:jc w:val="left"/>
        <w:tblInd w:w="0" w:type="dxa"/>
        <w:tblLayout w:type="fixed"/>
        <w:tblCellMar>
          <w:top w:w="28" w:type="dxa"/>
          <w:left w:w="28" w:type="dxa"/>
          <w:bottom w:w="28" w:type="dxa"/>
          <w:right w:w="28" w:type="dxa"/>
        </w:tblCellMar>
      </w:tblPr>
      <w:tblGrid>
        <w:gridCol w:w="742"/>
        <w:gridCol w:w="653"/>
        <w:gridCol w:w="660"/>
        <w:gridCol w:w="500"/>
        <w:gridCol w:w="500"/>
        <w:gridCol w:w="500"/>
        <w:gridCol w:w="548"/>
        <w:gridCol w:w="548"/>
        <w:gridCol w:w="554"/>
        <w:gridCol w:w="109"/>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Metric</w:t>
            </w:r>
          </w:p>
        </w:tc>
        <w:tc>
          <w:tcPr>
            <w:tcW w:w="3150" w:type="dxa"/>
            <w:gridSpan w:val="6"/>
            <w:tcBorders>
              <w:top w:val="single" w:sz="8" w:space="0" w:color="DBDBDB"/>
              <w:left w:val="single" w:sz="8" w:space="0" w:color="DBDBDB"/>
              <w:right w:val="single" w:sz="8" w:space="0" w:color="DBDBDB"/>
            </w:tcBorders>
            <w:tcMar>
              <w:top w:w="52" w:type="dxa"/>
              <w:bottom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20"/>
              </w:rPr>
              <w:t>Guidance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Organic ASV Growth</w:t>
            </w:r>
          </w:p>
        </w:tc>
        <w:tc>
          <w:tcPr>
            <w:tcW w:w="3150" w:type="dxa"/>
            <w:gridSpan w:val="6"/>
            <w:tcBorders>
              <w:top w:val="single" w:sz="8" w:space="0" w:color="DBDBDB"/>
              <w:left w:val="single" w:sz="8" w:space="0" w:color="DBDBDB"/>
              <w:right w:val="single" w:sz="8" w:space="0" w:color="DBDBDB"/>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5.0% – 6.5%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Revenues</w:t>
            </w:r>
          </w:p>
        </w:tc>
        <w:tc>
          <w:tcPr>
            <w:tcW w:w="3150" w:type="dxa"/>
            <w:gridSpan w:val="6"/>
            <w:tcBorders>
              <w:top w:val="single" w:sz="8" w:space="0" w:color="DBDBDB"/>
              <w:left w:val="single" w:sz="8" w:space="0" w:color="DBDBDB"/>
              <w:right w:val="single" w:sz="8" w:space="0" w:color="DBDBDB"/>
            </w:tcBorders>
            <w:shd w:fill="FFFFFF"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$2,600 – $2,625 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DBDBDB"/>
              <w:left w:val="single" w:sz="8" w:space="0" w:color="DBDBDB"/>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GAAP</w:t>
            </w:r>
          </w:p>
        </w:tc>
        <w:tc>
          <w:tcPr>
            <w:tcW w:w="1650" w:type="dxa"/>
            <w:gridSpan w:val="3"/>
            <w:tcBorders>
              <w:top w:val="single" w:sz="8" w:space="0" w:color="DBDBDB"/>
              <w:left w:val="single" w:sz="8" w:space="0" w:color="DBDBDB"/>
              <w:right w:val="single" w:sz="8" w:space="0" w:color="DBDBDB"/>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Operating Margin</w:t>
            </w:r>
          </w:p>
        </w:tc>
        <w:tc>
          <w:tcPr>
            <w:tcW w:w="1500" w:type="dxa"/>
            <w:gridSpan w:val="3"/>
            <w:tcBorders>
              <w:top w:val="single" w:sz="8" w:space="0" w:color="DBDBDB"/>
              <w:left w:val="single" w:sz="8" w:space="0" w:color="DBDBDB"/>
            </w:tcBorders>
            <w:shd w:fill="FFFF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31.0% – 32.0%</w:t>
            </w:r>
          </w:p>
        </w:tc>
        <w:tc>
          <w:tcPr>
            <w:tcW w:w="1650" w:type="dxa"/>
            <w:gridSpan w:val="3"/>
            <w:tcBorders>
              <w:top w:val="single" w:sz="8" w:space="0" w:color="DBDBDB"/>
              <w:left w:val="single" w:sz="8" w:space="0" w:color="DBDBDB"/>
              <w:right w:val="single" w:sz="8" w:space="0" w:color="DBDBDB"/>
            </w:tcBorders>
            <w:shd w:fill="FFFFFF" w:val="clear"/>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34.75% – 35.25%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DBDBDB"/>
              <w:left w:val="single" w:sz="8" w:space="0" w:color="DBDBDB"/>
              <w:bottom w:val="single" w:sz="8" w:space="0" w:color="DBDBDB"/>
            </w:tcBorders>
            <w:shd w:fill="CCEEFF" w:val="clear"/>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Diluted EPS</w:t>
            </w:r>
          </w:p>
        </w:tc>
        <w:tc>
          <w:tcPr>
            <w:tcW w:w="1500" w:type="dxa"/>
            <w:gridSpan w:val="3"/>
            <w:tcBorders>
              <w:top w:val="single" w:sz="8" w:space="0" w:color="DBDBDB"/>
              <w:left w:val="single" w:sz="8" w:space="0" w:color="DBDBDB"/>
              <w:bottom w:val="single" w:sz="8" w:space="0" w:color="DBDBDB"/>
            </w:tcBorders>
            <w:shd w:fill="CCEEFF" w:val="clear"/>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$17.00 – $17.50</w:t>
            </w:r>
          </w:p>
        </w:tc>
        <w:tc>
          <w:tcPr>
            <w:tcW w:w="1650" w:type="dxa"/>
            <w:gridSpan w:val="3"/>
            <w:tcBorders>
              <w:top w:val="single" w:sz="8" w:space="0" w:color="DBDBDB"/>
              <w:left w:val="single" w:sz="8" w:space="0" w:color="DBDBDB"/>
              <w:bottom w:val="single" w:sz="8" w:space="0" w:color="DBDBDB"/>
              <w:right w:val="single" w:sz="8" w:space="0" w:color="DBDBDB"/>
            </w:tcBorders>
            <w:shd w:fill="CCEEFF" w:val="clear"/>
            <w:tcMar>
              <w:top w:w="52"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$19.25 – $19.65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before="0" w:after="200"/>
        <w:jc w:val="both"/>
        <w:rPr>
          <w:rFonts w:ascii="Arial;sans-serif" w:hAnsi="Arial;sans-serif"/>
          <w:b w:val="false"/>
          <w:color w:val="000000"/>
          <w:sz w:val="18"/>
        </w:rPr>
      </w:pPr>
      <w:r>
        <w:rPr>
          <w:rFonts w:ascii="Arial;sans-serif" w:hAnsi="Arial;sans-serif"/>
          <w:b w:val="false"/>
          <w:color w:val="000000"/>
          <w:sz w:val="18"/>
        </w:rPr>
        <w:t>Adjusted operating margin and adjusted diluted EPS guidance do not include certain effects of any non-recurring benefits or charges that may arise in fiscal 2027. Please see the back of this press release for a reconciliation of GAAP to adjusted metrics.</w:t>
      </w:r>
    </w:p>
    <w:p>
      <w:pPr>
        <w:pStyle w:val="TextBody"/>
        <w:bidi w:val="0"/>
        <w:spacing w:lineRule="auto" w:line="319" w:before="320" w:after="120"/>
        <w:jc w:val="both"/>
        <w:rPr>
          <w:rFonts w:ascii="Arial;sans-serif" w:hAnsi="Arial;sans-serif"/>
          <w:b/>
          <w:color w:val="000000"/>
          <w:sz w:val="24"/>
        </w:rPr>
      </w:pPr>
      <w:r>
        <w:rPr>
          <w:rFonts w:ascii="Arial;sans-serif" w:hAnsi="Arial;sans-serif"/>
          <w:b/>
          <w:color w:val="000000"/>
          <w:sz w:val="24"/>
        </w:rPr>
        <w:t>Conference Call</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Fourth Quarter 2026 Conference Call Details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Wednesday, September 30, 2026</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Time:            9:00 a.m. Eastern Time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Participant Registration:    FactSet Q4 2026 Earnings Call Registration</w:t>
      </w:r>
    </w:p>
    <w:p>
      <w:pPr>
        <w:pStyle w:val="TextBody"/>
        <w:bidi w:val="0"/>
        <w:spacing w:before="0" w:after="0"/>
        <w:jc w:val="left"/>
        <w:rPr/>
      </w:pPr>
      <w:r>
        <w:rPr/>
      </w:r>
    </w:p>
    <w:p>
      <w:pPr>
        <w:pStyle w:val="TextBody"/>
        <w:bidi w:val="0"/>
        <w:spacing w:lineRule="auto" w:line="316" w:before="0" w:after="0"/>
        <w:jc w:val="both"/>
        <w:rPr>
          <w:rFonts w:ascii="Arial;sans-serif" w:hAnsi="Arial;sans-serif"/>
          <w:b w:val="false"/>
          <w:color w:val="000000"/>
          <w:sz w:val="18"/>
        </w:rPr>
      </w:pPr>
      <w:r>
        <w:rPr>
          <w:rFonts w:ascii="Arial;sans-serif" w:hAnsi="Arial;sans-serif"/>
          <w:b w:val="false"/>
          <w:color w:val="000000"/>
          <w:sz w:val="18"/>
        </w:rPr>
        <w:t>Please register for the conference call using the above link in advance of the call start time. Upon registration, you will receive dial-in information and a unique access PIN. The earnings presentation will be available on FactSet’s Investor Relations website at 8:30 a.m. Eastern Time on September 30, 2026, 30 minutes before the earnings call begins.</w:t>
      </w:r>
    </w:p>
    <w:p>
      <w:pPr>
        <w:pStyle w:val="TextBody"/>
        <w:bidi w:val="0"/>
        <w:spacing w:before="0" w:after="0"/>
        <w:jc w:val="left"/>
        <w:rPr/>
      </w:pPr>
      <w:r>
        <w:rPr/>
      </w:r>
    </w:p>
    <w:p>
      <w:pPr>
        <w:pStyle w:val="TextBody"/>
        <w:bidi w:val="0"/>
        <w:spacing w:lineRule="auto" w:line="316"/>
        <w:jc w:val="both"/>
        <w:rPr>
          <w:rFonts w:ascii="Arial;sans-serif" w:hAnsi="Arial;sans-serif"/>
          <w:b w:val="false"/>
          <w:color w:val="000000"/>
          <w:sz w:val="18"/>
        </w:rPr>
      </w:pPr>
      <w:r>
        <w:rPr>
          <w:rFonts w:ascii="Arial;sans-serif" w:hAnsi="Arial;sans-serif"/>
          <w:b w:val="false"/>
          <w:color w:val="000000"/>
          <w:sz w:val="18"/>
        </w:rPr>
        <w:t>A replay will be available on the Investor Relations website after 1:00 p.m. Eastern Time on September 30, 2026, and will remain accessible through September 30, 2027. A transcript of the earnings call will be available via FactSet CallStreet.</w:t>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38150"/>
                <wp:effectExtent l="0" t="0" r="0" b="0"/>
                <wp:wrapNone/>
                <wp:docPr id="39" name="Frame38"/>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4</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319" w:before="200" w:after="100"/>
        <w:jc w:val="both"/>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319" w:before="0" w:after="0"/>
        <w:jc w:val="both"/>
        <w:rPr/>
      </w:pPr>
      <w:r>
        <w:rPr>
          <w:rFonts w:ascii="Arial;sans-serif" w:hAnsi="Arial;sans-serif"/>
          <w:b w:val="false"/>
          <w:color w:val="000000"/>
          <w:sz w:val="18"/>
        </w:rPr>
        <w:t xml:space="preserve">This press release contains forward-looking statements based on management's current expectations, estimates, forecasts and projections about future events, trends, contingencies, and circumstances, industries in which FactSet operates and the beliefs and assumptions of management. All statements that address expectations, guidance, outlook or projections about the future, including statements about the Company's strategy, product development, revenues, future financial results, anticipated growth, market position, subscriptions, expected expenditures or investments, trends in FactSet’s business and financial results, are forward-looking statements. Forward-looking statements may be identified by words like "may," "might," "will," "should," "expects," "plans," "anticipates," "believes," "estimates," "intends," "projects," "indicates," "predicts," "potential," or "continue," the negative of those terms, and similar expressions. Forward-looking statements are not guarantees of future performance, outcomes, events, or actions and involve a number of known and unknown risks, uncertainties, and assumptions. Many factors, including those discussed more fully elsewhere in this release and in FactSet's filings with the Securities and Exchange Commission, particularly its latest annual report on Form 10-K, including Item 1A, </w:t>
      </w:r>
      <w:r>
        <w:rPr>
          <w:rFonts w:ascii="Arial;sans-serif" w:hAnsi="Arial;sans-serif"/>
          <w:b w:val="false"/>
          <w:i/>
          <w:color w:val="000000"/>
          <w:sz w:val="18"/>
        </w:rPr>
        <w:t>Risk Factors</w:t>
      </w:r>
      <w:r>
        <w:rPr>
          <w:rFonts w:ascii="Arial;sans-serif" w:hAnsi="Arial;sans-serif"/>
          <w:b w:val="false"/>
          <w:color w:val="000000"/>
          <w:sz w:val="18"/>
        </w:rPr>
        <w:t>, and quarterly reports on Form 10-Q, as well as others, could cause results, performance, achievements, or activities to differ materially from those expressed or implied by the forward-looking statements. Accordingly, the Company cautions readers not to place undue reliance on any forward-looking statements, which speak only as of the date they are made. FactSet assumes no duty to and does not undertake to update or revise any forward-looking statement to reflect events or circumstances arising after the date on which it is made, except as required by applicable law. Future results could differ materially from historical performance.</w:t>
      </w:r>
    </w:p>
    <w:p>
      <w:pPr>
        <w:pStyle w:val="TextBody"/>
        <w:bidi w:val="0"/>
        <w:spacing w:lineRule="auto" w:line="319" w:before="200" w:after="100"/>
        <w:jc w:val="both"/>
        <w:rPr>
          <w:rFonts w:ascii="Arial;sans-serif" w:hAnsi="Arial;sans-serif"/>
          <w:b/>
          <w:color w:val="000000"/>
          <w:sz w:val="24"/>
        </w:rPr>
      </w:pPr>
      <w:r>
        <w:rPr>
          <w:rFonts w:ascii="Arial;sans-serif" w:hAnsi="Arial;sans-serif"/>
          <w:b/>
          <w:color w:val="000000"/>
          <w:sz w:val="24"/>
        </w:rPr>
        <w:t>About Non-GAAP Financial Measures</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 xml:space="preserve">The Company reports its financial results in accordance with U.S. GAAP. The Company also refers to and presents certain additional non-GAAP financial measures. These measures include: organic revenues, adjusted operating margin, adjusted operating income, adjusted net income, EBITDA, adjusted EBITDA, adjusted diluted EPS, and free cash flow. The Company has included reconciliations of these non-GAAP financial measures to the most directly comparable financial measures calculated in accordance with GAAP at the back of this release.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FactSet uses these non-GAAP financial measures both in presenting its results to stockholders and the investment community and in its internal evaluation and management of the business. The Company believes that these non-GAAP financial measures provide useful supplemental information to investors because they permit investors to view the Company’s performance using the same tools that management uses to gauge progress in achieving its goals. Investors may benefit from referring to these non-GAAP financial measures in assessing the Company’s performance and when planning, forecasting and analyzing future periods, and such measures may also facilitate comparisons to historical performance. The Company believes that organic revenues, adjusted operating margin, adjusted operating income, adjusted net income, EBITDA, adjusted EBITDA, and adjusted diluted EPS help to fully reflect the underlying economic performance of FactSet. The Company believes that free cash flow is useful to investors because it is an indication of cash flow that may be available to pay debt obligations, make strategic acquisitions and investments, pay dividends, repurchase stock, and strengthen the balance sheet. The presentation of this non-GAAP financial information should not be considered in isolation from, or as a substitute for, the financial information prepared and presented in accordance with GAAP. We are not able to provide reconciliations of certain forward-looking non-GAAP financial measures to comparable GAAP measures because certain items required for such reconciliations are outside of our control and/or cannot be reasonably predicted without unreasonable effort.</w:t>
      </w:r>
    </w:p>
    <w:p>
      <w:pPr>
        <w:pStyle w:val="TextBody"/>
        <w:bidi w:val="0"/>
        <w:spacing w:before="0" w:after="0"/>
        <w:jc w:val="both"/>
        <w:rPr/>
      </w:pPr>
      <w:r>
        <w:rPr/>
      </w:r>
    </w:p>
    <w:p>
      <w:pPr>
        <w:pStyle w:val="TextBody"/>
        <w:bidi w:val="0"/>
        <w:spacing w:lineRule="auto" w:line="319" w:before="20" w:after="100"/>
        <w:jc w:val="both"/>
        <w:rPr>
          <w:rFonts w:ascii="Arial;sans-serif" w:hAnsi="Arial;sans-serif"/>
          <w:b/>
          <w:color w:val="000000"/>
          <w:sz w:val="24"/>
        </w:rPr>
      </w:pPr>
      <w:r>
        <w:rPr>
          <w:rFonts w:ascii="Arial;sans-serif" w:hAnsi="Arial;sans-serif"/>
          <w:b/>
          <w:color w:val="000000"/>
          <w:sz w:val="24"/>
        </w:rPr>
        <w:t>About FactSet</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FactSet (NYSE: FDS | NASDAQ: FDS) supercharges financial intelligence, offering enterprise data and information solutions that help our clients maximize their potential. Our digital platform seamlessly integrates proprietary data, third-party sources, and flexible technology to deliver tailored solutions across the buy side, sell side, wealth, and corporate sectors. With over 48 years of expertise, we leverage advanced data connectivity, AI, and next-generation tools to streamline workflows and enable smarter decision-making. As an S&amp;P 500 company serving more than 9,200 global clients and over 260,000 individual users, we are dedicated to innovation and long-term client success. Learn more at www.factset.com and follow us on X and LinkedIn.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 Relations: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Kevin Toomey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+1.212.209.5259</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Kevin.Toomey@factset.com</w:t>
      </w:r>
    </w:p>
    <w:p>
      <w:pPr>
        <w:pStyle w:val="TextBody"/>
        <w:bidi w:val="0"/>
        <w:spacing w:before="40" w:after="283"/>
        <w:jc w:val="left"/>
        <w:rPr/>
      </w:pPr>
      <w:r>
        <w:rPr/>
      </w:r>
    </w:p>
    <w:p>
      <w:pPr>
        <w:pStyle w:val="TextBody"/>
        <w:bidi w:val="0"/>
        <w:spacing w:lineRule="auto" w:line="276" w:before="40" w:after="283"/>
        <w:jc w:val="left"/>
        <w:rPr>
          <w:rFonts w:ascii="Arial;sans-serif" w:hAnsi="Arial;sans-serif"/>
          <w:b w:val="false"/>
          <w:color w:val="000000"/>
          <w:sz w:val="18"/>
        </w:rPr>
      </w:pPr>
      <w:r>
        <w:rPr>
          <w:rFonts w:ascii="Arial;sans-serif" w:hAnsi="Arial;sans-serif"/>
          <w:b w:val="false"/>
          <w:color w:val="000000"/>
          <w:sz w:val="18"/>
        </w:rPr>
        <w:t>Media Relations: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Adam Dalezman</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+1.203.810.1035</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media_request@factset.com</w:t>
      </w:r>
    </w:p>
    <w:p>
      <w:pPr>
        <w:pStyle w:val="TextBody"/>
        <w:bidi w:val="0"/>
        <w:spacing w:before="0" w:after="283"/>
        <w:jc w:val="left"/>
        <w:rPr/>
      </w:pPr>
      <w:r>
        <w:rPr/>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38150"/>
                <wp:effectExtent l="0" t="0" r="0" b="0"/>
                <wp:wrapNone/>
                <wp:docPr id="40" name="Frame39"/>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5</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319" w:before="0" w:after="0"/>
        <w:jc w:val="left"/>
        <w:rPr>
          <w:color w:val="0070C0"/>
        </w:rPr>
      </w:pPr>
      <w:r>
        <w:rPr>
          <w:color w:val="0070C0"/>
        </w:rPr>
        <w:t>                </w:t>
      </w:r>
    </w:p>
    <w:tbl>
      <w:tblPr>
        <w:tblW w:w="10205" w:type="dxa"/>
        <w:jc w:val="left"/>
        <w:tblInd w:w="0" w:type="dxa"/>
        <w:tblLayout w:type="fixed"/>
        <w:tblCellMar>
          <w:top w:w="28" w:type="dxa"/>
          <w:left w:w="28" w:type="dxa"/>
          <w:bottom w:w="28" w:type="dxa"/>
          <w:right w:w="28" w:type="dxa"/>
        </w:tblCellMar>
      </w:tblPr>
      <w:tblGrid>
        <w:gridCol w:w="1063"/>
        <w:gridCol w:w="846"/>
        <w:gridCol w:w="747"/>
        <w:gridCol w:w="571"/>
        <w:gridCol w:w="2235"/>
        <w:gridCol w:w="302"/>
        <w:gridCol w:w="211"/>
        <w:gridCol w:w="826"/>
        <w:gridCol w:w="109"/>
        <w:gridCol w:w="109"/>
        <w:gridCol w:w="109"/>
        <w:gridCol w:w="109"/>
        <w:gridCol w:w="211"/>
        <w:gridCol w:w="976"/>
        <w:gridCol w:w="109"/>
        <w:gridCol w:w="109"/>
        <w:gridCol w:w="109"/>
        <w:gridCol w:w="109"/>
        <w:gridCol w:w="211"/>
        <w:gridCol w:w="976"/>
        <w:gridCol w:w="158"/>
      </w:tblGrid>
      <w:tr>
        <w:trPr/>
        <w:tc>
          <w:tcPr>
            <w:tcW w:w="10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4" w:type="dxa"/>
            <w:gridSpan w:val="6"/>
            <w:tcBorders>
              <w:top w:val="single" w:sz="8" w:space="0" w:color="B6B6B6"/>
              <w:left w:val="single" w:sz="8" w:space="0" w:color="B6B6B6"/>
            </w:tcBorders>
            <w:tcMar>
              <w:top w:w="52"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4"/>
              </w:rPr>
              <w:t xml:space="preserve">Consolidated Statements of Income </w:t>
            </w:r>
            <w:r>
              <w:rPr>
                <w:rFonts w:ascii="Arial;sans-serif" w:hAnsi="Arial;sans-serif"/>
                <w:b/>
                <w:i/>
                <w:color w:val="000000"/>
                <w:sz w:val="24"/>
              </w:rPr>
              <w:t>(Unaudited)</w:t>
            </w:r>
          </w:p>
        </w:tc>
        <w:tc>
          <w:tcPr>
            <w:tcW w:w="114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sz w:val="18"/>
              </w:rPr>
            </w:pPr>
            <w:r>
              <w:rPr>
                <w:rFonts w:ascii="Arial;sans-serif" w:hAnsi="Arial;sans-serif"/>
                <w:b w:val="false"/>
                <w:sz w:val="18"/>
              </w:rPr>
            </w:r>
          </w:p>
        </w:tc>
        <w:tc>
          <w:tcPr>
            <w:tcW w:w="42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right w:val="single" w:sz="8" w:space="0" w:color="B6B6B6"/>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Twelve Months Ended</w:t>
            </w:r>
          </w:p>
        </w:tc>
      </w:tr>
      <w:tr>
        <w:trPr/>
        <w:tc>
          <w:tcPr>
            <w:tcW w:w="2656"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right w:val="single" w:sz="8" w:space="0" w:color="B6B6B6"/>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August 31,</w:t>
            </w:r>
          </w:p>
        </w:tc>
      </w:tr>
      <w:tr>
        <w:trPr/>
        <w:tc>
          <w:tcPr>
            <w:tcW w:w="2656"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2656"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3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634,698 </w:t>
            </w:r>
          </w:p>
        </w:tc>
        <w:tc>
          <w:tcPr>
            <w:tcW w:w="3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596,901 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2,321,748 </w:t>
            </w:r>
          </w:p>
        </w:tc>
        <w:tc>
          <w:tcPr>
            <w:tcW w:w="158"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services</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326,298 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1,097,782 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151,776 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475,663 </w:t>
            </w:r>
          </w:p>
        </w:tc>
        <w:tc>
          <w:tcPr>
            <w:tcW w:w="158"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31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8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478,074 </w:t>
            </w:r>
          </w:p>
        </w:tc>
        <w:tc>
          <w:tcPr>
            <w:tcW w:w="3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419,580 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1,573,445 </w:t>
            </w:r>
          </w:p>
        </w:tc>
        <w:tc>
          <w:tcPr>
            <w:tcW w:w="158"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748,303 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6,533 </w:t>
            </w:r>
          </w:p>
        </w:tc>
        <w:tc>
          <w:tcPr>
            <w:tcW w:w="158"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(56,324)</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2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22,446 </w:t>
            </w:r>
          </w:p>
        </w:tc>
        <w:tc>
          <w:tcPr>
            <w:tcW w:w="158"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28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(12,253)</w:t>
            </w:r>
          </w:p>
        </w:tc>
        <w:tc>
          <w:tcPr>
            <w:tcW w:w="3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(27,345)</w:t>
            </w:r>
          </w:p>
        </w:tc>
        <w:tc>
          <w:tcPr>
            <w:tcW w:w="158"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144,371 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720,958 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123,918 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71"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35"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121,127 </w:t>
            </w:r>
          </w:p>
        </w:tc>
        <w:tc>
          <w:tcPr>
            <w:tcW w:w="302"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153,616 </w:t>
            </w:r>
          </w:p>
        </w:tc>
        <w:tc>
          <w:tcPr>
            <w:tcW w:w="109"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533,481 </w:t>
            </w:r>
          </w:p>
        </w:tc>
        <w:tc>
          <w:tcPr>
            <w:tcW w:w="109"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597,040 </w:t>
            </w:r>
          </w:p>
        </w:tc>
        <w:tc>
          <w:tcPr>
            <w:tcW w:w="158" w:type="dxa"/>
            <w:tcBorders>
              <w:top w:val="single" w:sz="8" w:space="0" w:color="6D6D6D"/>
              <w:right w:val="single" w:sz="8" w:space="0" w:color="B6B6B6"/>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6D6D6D"/>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common share</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158"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2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37,924 </w:t>
            </w:r>
          </w:p>
        </w:tc>
        <w:tc>
          <w:tcPr>
            <w:tcW w:w="158"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left w:val="single" w:sz="8" w:space="0" w:color="B6B6B6"/>
              <w:bottom w:val="single" w:sz="8" w:space="0" w:color="B6B6B6"/>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2806"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35,572 </w:t>
            </w:r>
          </w:p>
        </w:tc>
        <w:tc>
          <w:tcPr>
            <w:tcW w:w="302"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38,158 </w:t>
            </w:r>
          </w:p>
        </w:tc>
        <w:tc>
          <w:tcPr>
            <w:tcW w:w="109"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36,612 </w:t>
            </w:r>
          </w:p>
        </w:tc>
        <w:tc>
          <w:tcPr>
            <w:tcW w:w="109" w:type="dxa"/>
            <w:tcBorders>
              <w:bottom w:val="single" w:sz="8"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38,385 </w:t>
            </w:r>
          </w:p>
        </w:tc>
        <w:tc>
          <w:tcPr>
            <w:tcW w:w="158" w:type="dxa"/>
            <w:tcBorders>
              <w:bottom w:val="single" w:sz="8" w:space="0" w:color="B6B6B6"/>
              <w:right w:val="single" w:sz="8" w:space="0" w:color="B6B6B6"/>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160" w:after="200"/>
        <w:jc w:val="center"/>
        <w:rPr/>
      </w:pPr>
      <w:r>
        <w:rPr/>
      </w:r>
    </w:p>
    <w:p>
      <w:pPr>
        <w:pStyle w:val="TextBody"/>
        <w:bidi w:val="0"/>
        <w:spacing w:before="160" w:after="200"/>
        <w:jc w:val="center"/>
        <w:rPr/>
      </w:pPr>
      <w:r>
        <w:rPr/>
      </w:r>
    </w:p>
    <w:p>
      <w:pPr>
        <w:pStyle w:val="TextBody"/>
        <w:bidi w:val="0"/>
        <w:spacing w:before="160" w:after="200"/>
        <w:jc w:val="center"/>
        <w:rPr/>
      </w:pPr>
      <w:r>
        <w:rPr/>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38150"/>
                <wp:effectExtent l="0" t="0" r="0" b="0"/>
                <wp:wrapNone/>
                <wp:docPr id="41" name="Frame40"/>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6</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84"/>
        <w:gridCol w:w="1779"/>
        <w:gridCol w:w="1766"/>
        <w:gridCol w:w="476"/>
        <w:gridCol w:w="2210"/>
        <w:gridCol w:w="255"/>
        <w:gridCol w:w="224"/>
        <w:gridCol w:w="1042"/>
        <w:gridCol w:w="169"/>
      </w:tblGrid>
      <w:tr>
        <w:trPr/>
        <w:tc>
          <w:tcPr>
            <w:tcW w:w="228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770" w:type="dxa"/>
            <w:gridSpan w:val="6"/>
            <w:tcBorders>
              <w:top w:val="single" w:sz="8" w:space="0" w:color="B6B6B6"/>
              <w:left w:val="single" w:sz="8" w:space="0" w:color="B6B6B6"/>
            </w:tcBorders>
            <w:tcMar>
              <w:top w:w="52"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4"/>
              </w:rPr>
              <w:t xml:space="preserve">Consolidated Balance Sheets </w:t>
            </w:r>
            <w:r>
              <w:rPr>
                <w:rFonts w:ascii="Arial;sans-serif" w:hAnsi="Arial;sans-serif"/>
                <w:b/>
                <w:i/>
                <w:color w:val="000000"/>
                <w:sz w:val="24"/>
              </w:rPr>
              <w:t>(Unaudited)</w:t>
            </w:r>
          </w:p>
        </w:tc>
        <w:tc>
          <w:tcPr>
            <w:tcW w:w="1435"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c>
          <w:tcPr>
            <w:tcW w:w="1435"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2025</w:t>
            </w:r>
          </w:p>
        </w:tc>
      </w:tr>
      <w:tr>
        <w:trPr/>
        <w:tc>
          <w:tcPr>
            <w:tcW w:w="5829"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29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4" w:space="0" w:color="000000"/>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233,339 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337,651 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17,445 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 of reserves of $13,584 at August 31, 2026 and $13,789 at August 31, 2025</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301,439 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270,684 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taxes</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33,600 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76,536 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70,379 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26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654,713 </w:t>
            </w:r>
          </w:p>
        </w:tc>
        <w:tc>
          <w:tcPr>
            <w:tcW w:w="2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729,759 </w:t>
            </w:r>
          </w:p>
        </w:tc>
        <w:tc>
          <w:tcPr>
            <w:tcW w:w="169"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equipment and leasehold improvements, net</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85,203 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1,283,025 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1,284,708 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1,849,510 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1,916,102 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61,226 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right-of-use assets, net</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113,275 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121,776 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88,524 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105,498 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47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4,142,843 </w:t>
            </w:r>
          </w:p>
        </w:tc>
        <w:tc>
          <w:tcPr>
            <w:tcW w:w="255"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4,304,272 </w:t>
            </w:r>
          </w:p>
        </w:tc>
        <w:tc>
          <w:tcPr>
            <w:tcW w:w="169" w:type="dxa"/>
            <w:tcBorders>
              <w:top w:val="single" w:sz="8" w:space="0" w:color="6D6D6D"/>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6D6D6D"/>
              <w:right w:val="single" w:sz="8" w:space="0" w:color="B6B6B6"/>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2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136,104 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135,262 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499,436 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lease liabilities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34,253 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33,145 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192,352 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130,596 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184,264 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167,852 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taxes payable</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13,041 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payable</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40,901 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41,410 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26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1,092,322 </w:t>
            </w:r>
          </w:p>
        </w:tc>
        <w:tc>
          <w:tcPr>
            <w:tcW w:w="2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521,306 </w:t>
            </w:r>
          </w:p>
        </w:tc>
        <w:tc>
          <w:tcPr>
            <w:tcW w:w="169"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870,586 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1,368,260 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14,902 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45,095 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lease liabilities</w:t>
            </w:r>
          </w:p>
        </w:tc>
        <w:tc>
          <w:tcPr>
            <w:tcW w:w="2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138,139 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157,104 </w:t>
            </w:r>
          </w:p>
        </w:tc>
        <w:tc>
          <w:tcPr>
            <w:tcW w:w="169"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2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11,192 </w:t>
            </w:r>
          </w:p>
        </w:tc>
        <w:tc>
          <w:tcPr>
            <w:tcW w:w="169"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476"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2,140,977 </w:t>
            </w:r>
          </w:p>
        </w:tc>
        <w:tc>
          <w:tcPr>
            <w:tcW w:w="255" w:type="dxa"/>
            <w:tcBorders>
              <w:top w:val="single" w:sz="8" w:space="0" w:color="6D6D6D"/>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6D6D6D"/>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2,117,859 </w:t>
            </w:r>
          </w:p>
        </w:tc>
        <w:tc>
          <w:tcPr>
            <w:tcW w:w="169" w:type="dxa"/>
            <w:tcBorders>
              <w:top w:val="single" w:sz="8" w:space="0" w:color="6D6D6D"/>
              <w:right w:val="single" w:sz="8" w:space="0" w:color="B6B6B6"/>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6D6D6D"/>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47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2,001,866 </w:t>
            </w:r>
          </w:p>
        </w:tc>
        <w:tc>
          <w:tcPr>
            <w:tcW w:w="255"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2,186,413 </w:t>
            </w:r>
          </w:p>
        </w:tc>
        <w:tc>
          <w:tcPr>
            <w:tcW w:w="169" w:type="dxa"/>
            <w:tcBorders>
              <w:top w:val="single" w:sz="8" w:space="0" w:color="6D6D6D"/>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6D6D6D"/>
              <w:right w:val="single" w:sz="8" w:space="0" w:color="B6B6B6"/>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29" w:type="dxa"/>
            <w:gridSpan w:val="3"/>
            <w:tcBorders>
              <w:left w:val="single" w:sz="8" w:space="0" w:color="B6B6B6"/>
              <w:bottom w:val="single" w:sz="8" w:space="0" w:color="B6B6B6"/>
            </w:tcBorders>
            <w:shd w:fill="CCEEFF" w:val="clear"/>
            <w:tcMar>
              <w:top w:w="0" w:type="dxa"/>
              <w:left w:w="14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476"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10"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4,142,843 </w:t>
            </w:r>
          </w:p>
        </w:tc>
        <w:tc>
          <w:tcPr>
            <w:tcW w:w="255"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4,304,272 </w:t>
            </w:r>
          </w:p>
        </w:tc>
        <w:tc>
          <w:tcPr>
            <w:tcW w:w="169" w:type="dxa"/>
            <w:tcBorders>
              <w:top w:val="single" w:sz="8" w:space="0" w:color="6D6D6D"/>
              <w:bottom w:val="single" w:sz="8" w:space="0" w:color="B6B6B6"/>
              <w:right w:val="single" w:sz="8" w:space="0" w:color="B6B6B6"/>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319" w:before="160" w:after="200"/>
        <w:jc w:val="center"/>
        <w:rPr>
          <w:rFonts w:ascii="Arial;sans-serif" w:hAnsi="Arial;sans-serif"/>
          <w:b w:val="false"/>
          <w:color w:val="000000"/>
          <w:sz w:val="18"/>
        </w:rPr>
      </w:pPr>
      <w:r>
        <w:rPr>
          <w:rFonts w:ascii="Arial;sans-serif" w:hAnsi="Arial;sans-serif"/>
          <w:b w:val="false"/>
          <w:color w:val="000000"/>
          <w:sz w:val="18"/>
        </w:rPr>
        <w:t>Certain prior year figures have been conformed to the current year's presentation.</w:t>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38150"/>
                <wp:effectExtent l="0" t="0" r="0" b="0"/>
                <wp:wrapNone/>
                <wp:docPr id="42" name="Frame41"/>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7</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088"/>
        <w:gridCol w:w="1778"/>
        <w:gridCol w:w="1705"/>
        <w:gridCol w:w="632"/>
        <w:gridCol w:w="2474"/>
        <w:gridCol w:w="334"/>
        <w:gridCol w:w="211"/>
        <w:gridCol w:w="826"/>
        <w:gridCol w:w="157"/>
      </w:tblGrid>
      <w:tr>
        <w:trPr/>
        <w:tc>
          <w:tcPr>
            <w:tcW w:w="208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11" w:type="dxa"/>
            <w:gridSpan w:val="6"/>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Consolidated Statements of Cash Flows (Unaudited)</w:t>
            </w:r>
          </w:p>
        </w:tc>
        <w:tc>
          <w:tcPr>
            <w:tcW w:w="1194"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6"/>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Twelve Months Ended</w:t>
            </w:r>
          </w:p>
        </w:tc>
      </w:tr>
      <w:tr>
        <w:trPr/>
        <w:tc>
          <w:tcPr>
            <w:tcW w:w="5571"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6"/>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r>
      <w:tr>
        <w:trPr/>
        <w:tc>
          <w:tcPr>
            <w:tcW w:w="5571"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94"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5571"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4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597,040 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180,830 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157,691 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lease right-of-use assets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30,982 </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84,099 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61,229 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divestiture of a business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(23,238)</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11,867 </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effects of acquisitions</w:t>
            </w:r>
          </w:p>
        </w:tc>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(42,540)</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(59,400)</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35,666 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2,249 </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 net of prepaid taxes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net</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(40,645)</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1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822,200 </w:t>
            </w:r>
          </w:p>
        </w:tc>
        <w:tc>
          <w:tcPr>
            <w:tcW w:w="3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726,260 </w:t>
            </w:r>
          </w:p>
        </w:tc>
        <w:tc>
          <w:tcPr>
            <w:tcW w:w="157" w:type="dxa"/>
            <w:tcBorders>
              <w:top w:val="single" w:sz="4" w:space="0" w:color="000000"/>
              <w:right w:val="single" w:sz="8" w:space="0" w:color="B6B6B6"/>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property, equipment, leasehold improvements and capitalized internal-use software</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(114,720)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(108,806)</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and cash equivalents acquired</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(348,255)</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(18,867)</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maturity or sale of investments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58,155 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w:t>
            </w:r>
          </w:p>
        </w:tc>
        <w:tc>
          <w:tcPr>
            <w:tcW w:w="31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157"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31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(132,504)</w:t>
            </w:r>
          </w:p>
        </w:tc>
        <w:tc>
          <w:tcPr>
            <w:tcW w:w="3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(392,773)</w:t>
            </w:r>
          </w:p>
        </w:tc>
        <w:tc>
          <w:tcPr>
            <w:tcW w:w="157" w:type="dxa"/>
            <w:tcBorders>
              <w:top w:val="single" w:sz="4" w:space="0" w:color="000000"/>
              <w:right w:val="single" w:sz="8" w:space="0" w:color="B6B6B6"/>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debt</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240,933 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803,410 </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(242,500)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(805,000)</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payments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(164,184)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(159,973)</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employee stock plans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81,688 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(643,961)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(300,457)</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acquisition consideration</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(10,199)</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(7,697)</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(17,290)</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31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(799,447)</w:t>
            </w:r>
          </w:p>
        </w:tc>
        <w:tc>
          <w:tcPr>
            <w:tcW w:w="3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(407,821)</w:t>
            </w:r>
          </w:p>
        </w:tc>
        <w:tc>
          <w:tcPr>
            <w:tcW w:w="157" w:type="dxa"/>
            <w:tcBorders>
              <w:top w:val="single" w:sz="4" w:space="0" w:color="000000"/>
              <w:right w:val="single" w:sz="8" w:space="0" w:color="B6B6B6"/>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right w:val="single" w:sz="8" w:space="0" w:color="B6B6B6"/>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31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(112,060)</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(71,284)</w:t>
            </w:r>
          </w:p>
        </w:tc>
        <w:tc>
          <w:tcPr>
            <w:tcW w:w="157"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351,695 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422,979 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632"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74"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239,635 </w:t>
            </w:r>
          </w:p>
        </w:tc>
        <w:tc>
          <w:tcPr>
            <w:tcW w:w="334" w:type="dxa"/>
            <w:tcBorders>
              <w:top w:val="single" w:sz="8" w:space="0" w:color="6D6D6D"/>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351,695 </w:t>
            </w:r>
          </w:p>
        </w:tc>
        <w:tc>
          <w:tcPr>
            <w:tcW w:w="157" w:type="dxa"/>
            <w:tcBorders>
              <w:top w:val="single" w:sz="8" w:space="0" w:color="6D6D6D"/>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6D6D6D"/>
              <w:right w:val="single" w:sz="8" w:space="0" w:color="B6B6B6"/>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total cash, cash equivalents and restricted cash:</w:t>
            </w:r>
          </w:p>
        </w:tc>
        <w:tc>
          <w:tcPr>
            <w:tcW w:w="3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233,339 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337,651 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in Prepaid expenses and other current assets</w:t>
            </w:r>
          </w:p>
        </w:tc>
        <w:tc>
          <w:tcPr>
            <w:tcW w:w="3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6,522 </w:t>
            </w:r>
          </w:p>
        </w:tc>
        <w:tc>
          <w:tcPr>
            <w:tcW w:w="157" w:type="dxa"/>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in Other assets</w:t>
            </w:r>
          </w:p>
        </w:tc>
        <w:tc>
          <w:tcPr>
            <w:tcW w:w="3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7,522 </w:t>
            </w:r>
          </w:p>
        </w:tc>
        <w:tc>
          <w:tcPr>
            <w:tcW w:w="157"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71"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632"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74"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239,635 </w:t>
            </w:r>
          </w:p>
        </w:tc>
        <w:tc>
          <w:tcPr>
            <w:tcW w:w="334"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6D6D6D"/>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351,695 </w:t>
            </w:r>
          </w:p>
        </w:tc>
        <w:tc>
          <w:tcPr>
            <w:tcW w:w="157" w:type="dxa"/>
            <w:tcBorders>
              <w:top w:val="single" w:sz="8" w:space="0" w:color="6D6D6D"/>
              <w:bottom w:val="single" w:sz="8" w:space="0" w:color="B6B6B6"/>
              <w:right w:val="single" w:sz="8" w:space="0" w:color="B6B6B6"/>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rFonts w:ascii="Arial;sans-serif" w:hAnsi="Arial;sans-serif"/>
          <w:b w:val="false"/>
          <w:color w:val="000000"/>
          <w:sz w:val="18"/>
        </w:rPr>
      </w:pPr>
      <w:r>
        <w:rPr>
          <w:rFonts w:ascii="Arial;sans-serif" w:hAnsi="Arial;sans-serif"/>
          <w:b w:val="false"/>
          <w:color w:val="000000"/>
          <w:sz w:val="18"/>
        </w:rPr>
        <w:t>Certain prior year figures have been conformed to the current year's presentation.</w:t>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38150"/>
                <wp:effectExtent l="0" t="0" r="0" b="0"/>
                <wp:wrapNone/>
                <wp:docPr id="43" name="Frame42"/>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8</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288" w:before="160" w:after="120"/>
        <w:jc w:val="left"/>
        <w:rPr>
          <w:rFonts w:ascii="Arial;sans-serif" w:hAnsi="Arial;sans-serif"/>
          <w:b/>
          <w:color w:val="000000"/>
          <w:sz w:val="24"/>
        </w:rPr>
      </w:pPr>
      <w:r>
        <w:rPr>
          <w:rFonts w:ascii="Arial;sans-serif" w:hAnsi="Arial;sans-serif"/>
          <w:b/>
          <w:color w:val="000000"/>
          <w:sz w:val="24"/>
        </w:rPr>
        <w:t xml:space="preserve">Reconciliation of U.S. GAAP Results to Adjusted Financial Measures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Organic Revenues </w:t>
      </w:r>
    </w:p>
    <w:p>
      <w:pPr>
        <w:pStyle w:val="TextBody"/>
        <w:bidi w:val="0"/>
        <w:spacing w:lineRule="auto" w:line="319" w:before="120" w:after="283"/>
        <w:jc w:val="both"/>
        <w:rPr>
          <w:rFonts w:ascii="Arial;sans-serif" w:hAnsi="Arial;sans-serif"/>
          <w:b w:val="false"/>
          <w:color w:val="000000"/>
          <w:sz w:val="18"/>
        </w:rPr>
      </w:pPr>
      <w:r>
        <w:rPr>
          <w:rFonts w:ascii="Arial;sans-serif" w:hAnsi="Arial;sans-serif"/>
          <w:b w:val="false"/>
          <w:color w:val="000000"/>
          <w:sz w:val="18"/>
        </w:rPr>
        <w:t xml:space="preserve">Organic revenues exclude the current year impact of revenues from acquisitions and the comparable impact of dispositions and discontinued lines of business, effected within the past 12 months and the current year impact of foreign currency movements. The table below provides a reconciliation of revenues to organic revenues: </w:t>
      </w:r>
    </w:p>
    <w:tbl>
      <w:tblPr>
        <w:tblW w:w="9060" w:type="dxa"/>
        <w:jc w:val="left"/>
        <w:tblInd w:w="0" w:type="dxa"/>
        <w:tblLayout w:type="fixed"/>
        <w:tblCellMar>
          <w:top w:w="28" w:type="dxa"/>
          <w:left w:w="28" w:type="dxa"/>
          <w:bottom w:w="28" w:type="dxa"/>
          <w:right w:w="28" w:type="dxa"/>
        </w:tblCellMar>
      </w:tblPr>
      <w:tblGrid>
        <w:gridCol w:w="771"/>
        <w:gridCol w:w="677"/>
        <w:gridCol w:w="682"/>
        <w:gridCol w:w="211"/>
        <w:gridCol w:w="826"/>
        <w:gridCol w:w="109"/>
        <w:gridCol w:w="211"/>
        <w:gridCol w:w="826"/>
        <w:gridCol w:w="109"/>
        <w:gridCol w:w="203"/>
        <w:gridCol w:w="203"/>
        <w:gridCol w:w="426"/>
        <w:gridCol w:w="109"/>
        <w:gridCol w:w="109"/>
        <w:gridCol w:w="109"/>
        <w:gridCol w:w="211"/>
        <w:gridCol w:w="976"/>
        <w:gridCol w:w="109"/>
        <w:gridCol w:w="211"/>
        <w:gridCol w:w="976"/>
        <w:gridCol w:w="109"/>
        <w:gridCol w:w="203"/>
        <w:gridCol w:w="203"/>
        <w:gridCol w:w="48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(Unaudited)</w:t>
            </w:r>
          </w:p>
        </w:tc>
        <w:tc>
          <w:tcPr>
            <w:tcW w:w="2292"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83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Twelve Months Ended</w:t>
            </w:r>
          </w:p>
        </w:tc>
        <w:tc>
          <w:tcPr>
            <w:tcW w:w="887"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887"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87" w:type="dxa"/>
            <w:gridSpan w:val="3"/>
            <w:tcBorders>
              <w:right w:val="single" w:sz="8" w:space="0" w:color="B6B6B6"/>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130"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596,901 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2,321,748 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81"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3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Acquisition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Disposition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Currency impact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revenues</w:t>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635,543 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593,503 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4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B6B6B6"/>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2,464,614 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2,309,287 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81" w:type="dxa"/>
            <w:tcBorders>
              <w:bottom w:val="single" w:sz="8" w:space="0" w:color="B6B6B6"/>
              <w:right w:val="single" w:sz="8" w:space="0" w:color="B6B6B6"/>
            </w:tcBorders>
            <w:shd w:fill="CCEE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120"/>
        <w:jc w:val="left"/>
        <w:rPr/>
      </w:pPr>
      <w:r>
        <w:rPr/>
      </w:r>
    </w:p>
    <w:p>
      <w:pPr>
        <w:pStyle w:val="TextBody"/>
        <w:bidi w:val="0"/>
        <w:spacing w:lineRule="auto" w:line="319" w:before="100" w:after="12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table below provides a reconciliation of operating income, operating margin, net income and diluted EPS to adjusted operating income, adjusted operating margin, adjusted net income, EBITDA, adjusted EBITDA, and adjusted diluted EPS.</w:t>
      </w:r>
    </w:p>
    <w:p>
      <w:pPr>
        <w:pStyle w:val="TextBody"/>
        <w:bidi w:val="0"/>
        <w:spacing w:lineRule="auto" w:line="288" w:before="120" w:after="200"/>
        <w:jc w:val="both"/>
        <w:rPr>
          <w:rFonts w:ascii="Arial;sans-serif" w:hAnsi="Arial;sans-serif"/>
          <w:b w:val="false"/>
          <w:color w:val="000000"/>
          <w:sz w:val="18"/>
        </w:rPr>
      </w:pPr>
      <w:r>
        <w:rPr>
          <w:rFonts w:ascii="Arial;sans-serif" w:hAnsi="Arial;sans-serif"/>
          <w:b w:val="false"/>
          <w:color w:val="000000"/>
          <w:sz w:val="18"/>
        </w:rPr>
        <w:t>Adjusted operating income and margin, adjusted net income, and adjusted diluted earnings per share exclude acquisition-related intangible asset amortization and non-recurring items. EBITDA represents earnings before interest expense, provision for income taxes and depreciation and amortization expense, while adjusted EBITDA further excludes non-recurring non-cash expenses.</w:t>
      </w:r>
    </w:p>
    <w:tbl>
      <w:tblPr>
        <w:tblW w:w="10205" w:type="dxa"/>
        <w:jc w:val="left"/>
        <w:tblInd w:w="0" w:type="dxa"/>
        <w:tblLayout w:type="fixed"/>
        <w:tblCellMar>
          <w:top w:w="28" w:type="dxa"/>
          <w:left w:w="28" w:type="dxa"/>
          <w:bottom w:w="28" w:type="dxa"/>
          <w:right w:w="28" w:type="dxa"/>
        </w:tblCellMar>
      </w:tblPr>
      <w:tblGrid>
        <w:gridCol w:w="1129"/>
        <w:gridCol w:w="897"/>
        <w:gridCol w:w="900"/>
        <w:gridCol w:w="383"/>
        <w:gridCol w:w="390"/>
        <w:gridCol w:w="391"/>
        <w:gridCol w:w="383"/>
        <w:gridCol w:w="390"/>
        <w:gridCol w:w="391"/>
        <w:gridCol w:w="279"/>
        <w:gridCol w:w="279"/>
        <w:gridCol w:w="542"/>
        <w:gridCol w:w="109"/>
        <w:gridCol w:w="109"/>
        <w:gridCol w:w="109"/>
        <w:gridCol w:w="397"/>
        <w:gridCol w:w="390"/>
        <w:gridCol w:w="391"/>
        <w:gridCol w:w="397"/>
        <w:gridCol w:w="390"/>
        <w:gridCol w:w="391"/>
        <w:gridCol w:w="277"/>
        <w:gridCol w:w="280"/>
        <w:gridCol w:w="611"/>
      </w:tblGrid>
      <w:tr>
        <w:trPr/>
        <w:tc>
          <w:tcPr>
            <w:tcW w:w="11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110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Twelve Months Ended</w:t>
            </w:r>
          </w:p>
        </w:tc>
        <w:tc>
          <w:tcPr>
            <w:tcW w:w="1168"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1168"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168" w:type="dxa"/>
            <w:gridSpan w:val="3"/>
            <w:tcBorders>
              <w:right w:val="single" w:sz="8" w:space="0" w:color="B6B6B6"/>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 Change</w:t>
            </w:r>
          </w:p>
        </w:tc>
      </w:tr>
      <w:tr>
        <w:trPr/>
        <w:tc>
          <w:tcPr>
            <w:tcW w:w="2926"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156,624</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177,321</w:t>
            </w:r>
          </w:p>
        </w:tc>
        <w:tc>
          <w:tcPr>
            <w:tcW w:w="5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5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699,957</w:t>
            </w:r>
          </w:p>
        </w:tc>
        <w:tc>
          <w:tcPr>
            <w:tcW w:w="3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748,303</w:t>
            </w:r>
          </w:p>
        </w:tc>
        <w:tc>
          <w:tcPr>
            <w:tcW w:w="5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611"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18,875</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19,136</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76,205</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73,036</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Restructuring/severance</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26,899</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46,200</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CEO onboarding costs</w:t>
            </w:r>
            <w:r>
              <w:rPr>
                <w:rFonts w:ascii="Arial;sans-serif" w:hAnsi="Arial;sans-serif"/>
                <w:b w:val="false"/>
                <w:color w:val="000000"/>
                <w:sz w:val="12"/>
              </w:rPr>
              <w:t>(1)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Business disposition, acquisitions and related costs</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17,761</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India labor codes reform</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bankruptcy charges</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reserve</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tax dispute</w:t>
            </w:r>
            <w:r>
              <w:rPr>
                <w:rFonts w:ascii="Arial;sans-serif" w:hAnsi="Arial;sans-serif"/>
                <w:b w:val="false"/>
                <w:color w:val="000000"/>
                <w:sz w:val="12"/>
              </w:rPr>
              <w:t>(2)</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209,393</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201,701</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855,308</w:t>
            </w:r>
          </w:p>
        </w:tc>
        <w:tc>
          <w:tcPr>
            <w:tcW w:w="3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843,432</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11" w:type="dxa"/>
            <w:tcBorders>
              <w:right w:val="single" w:sz="8" w:space="0" w:color="B6B6B6"/>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Operating margin</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24.7%</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29.7%</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28.3%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32.2%</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Adjusted operating margin</w:t>
            </w:r>
            <w:r>
              <w:rPr>
                <w:rFonts w:ascii="Arial;sans-serif" w:hAnsi="Arial;sans-serif"/>
                <w:b w:val="false"/>
                <w:color w:val="000000"/>
                <w:sz w:val="12"/>
              </w:rPr>
              <w:t>(3)</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33.0%</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33.8%</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34.5%</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36.3%</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top w:val="single" w:sz="4" w:space="0" w:color="000000"/>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121,127</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153,616</w:t>
            </w:r>
          </w:p>
        </w:tc>
        <w:tc>
          <w:tcPr>
            <w:tcW w:w="5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54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533,481</w:t>
            </w:r>
          </w:p>
        </w:tc>
        <w:tc>
          <w:tcPr>
            <w:tcW w:w="3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597,040</w:t>
            </w:r>
          </w:p>
        </w:tc>
        <w:tc>
          <w:tcPr>
            <w:tcW w:w="5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611" w:type="dxa"/>
            <w:tcBorders>
              <w:top w:val="single" w:sz="4" w:space="0" w:color="000000"/>
              <w:right w:val="single" w:sz="8" w:space="0" w:color="B6B6B6"/>
            </w:tcBorders>
            <w:shd w:fill="FFFF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14,142</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16,301</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58,762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54,074</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Restructuring/severance</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20,154</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35,625</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CEO onboarding costs</w:t>
            </w:r>
            <w:r>
              <w:rPr>
                <w:rFonts w:ascii="Arial;sans-serif" w:hAnsi="Arial;sans-serif"/>
                <w:b w:val="false"/>
                <w:color w:val="000000"/>
                <w:sz w:val="12"/>
              </w:rPr>
              <w:t>(1)</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15,053</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Impairment within Other assets</w:t>
            </w:r>
            <w:r>
              <w:rPr>
                <w:rFonts w:ascii="Arial;sans-serif" w:hAnsi="Arial;sans-serif"/>
                <w:b w:val="false"/>
                <w:color w:val="000000"/>
                <w:sz w:val="12"/>
              </w:rPr>
              <w:t>(4)</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12,338</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Business disposition, acquisitions and related costs</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13,150</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India labor codes reform</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Asset impairment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8"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38150"/>
                <wp:effectExtent l="0" t="0" r="0" b="0"/>
                <wp:wrapNone/>
                <wp:docPr id="44" name="Frame43"/>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9</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366"/>
        <w:gridCol w:w="1145"/>
        <w:gridCol w:w="1150"/>
        <w:gridCol w:w="258"/>
        <w:gridCol w:w="388"/>
        <w:gridCol w:w="393"/>
        <w:gridCol w:w="383"/>
        <w:gridCol w:w="389"/>
        <w:gridCol w:w="392"/>
        <w:gridCol w:w="286"/>
        <w:gridCol w:w="286"/>
        <w:gridCol w:w="271"/>
        <w:gridCol w:w="109"/>
        <w:gridCol w:w="109"/>
        <w:gridCol w:w="109"/>
        <w:gridCol w:w="332"/>
        <w:gridCol w:w="389"/>
        <w:gridCol w:w="392"/>
        <w:gridCol w:w="382"/>
        <w:gridCol w:w="386"/>
        <w:gridCol w:w="395"/>
        <w:gridCol w:w="286"/>
        <w:gridCol w:w="286"/>
        <w:gridCol w:w="323"/>
      </w:tblGrid>
      <w:tr>
        <w:trPr/>
        <w:tc>
          <w:tcPr>
            <w:tcW w:w="136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bankruptcy charges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reserve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tax dispute</w:t>
            </w:r>
            <w:r>
              <w:rPr>
                <w:rFonts w:ascii="Arial;sans-serif" w:hAnsi="Arial;sans-serif"/>
                <w:b w:val="false"/>
                <w:color w:val="000000"/>
                <w:sz w:val="12"/>
              </w:rPr>
              <w:t>(2)</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business divestiture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(19,795)</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(17,205)</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investments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from business disposition</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items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net income</w:t>
            </w:r>
            <w:r>
              <w:rPr>
                <w:rFonts w:ascii="Arial;sans-serif" w:hAnsi="Arial;sans-serif"/>
                <w:b w:val="false"/>
                <w:color w:val="000000"/>
                <w:sz w:val="12"/>
              </w:rPr>
              <w:t>(5)</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160,887</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154,590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659,498</w:t>
            </w:r>
          </w:p>
        </w:tc>
        <w:tc>
          <w:tcPr>
            <w:tcW w:w="3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651,617</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23" w:type="dxa"/>
            <w:tcBorders>
              <w:right w:val="single" w:sz="8" w:space="0" w:color="B6B6B6"/>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top w:val="single" w:sz="4" w:space="0" w:color="000000"/>
              <w:left w:val="single" w:sz="8" w:space="0" w:color="B6B6B6"/>
            </w:tcBorders>
            <w:shd w:fill="FFFFFF" w:val="clear"/>
            <w:tcMar>
              <w:top w:w="52"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121,127</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153,616</w:t>
            </w:r>
          </w:p>
        </w:tc>
        <w:tc>
          <w:tcPr>
            <w:tcW w:w="57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533,481</w:t>
            </w:r>
          </w:p>
        </w:tc>
        <w:tc>
          <w:tcPr>
            <w:tcW w:w="3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597,040</w:t>
            </w:r>
          </w:p>
        </w:tc>
        <w:tc>
          <w:tcPr>
            <w:tcW w:w="57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23" w:type="dxa"/>
            <w:tcBorders>
              <w:top w:val="single" w:sz="4" w:space="0" w:color="000000"/>
              <w:right w:val="single" w:sz="8" w:space="0" w:color="B6B6B6"/>
            </w:tcBorders>
            <w:shd w:fill="FFFF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14,398</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12,886</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54,684</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56,324</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taxes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23,244</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35,335</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116,235</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123,918</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47,123</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42,718</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180,830</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157,691</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EBITDA</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205,892</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244,555</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885,230</w:t>
            </w:r>
          </w:p>
        </w:tc>
        <w:tc>
          <w:tcPr>
            <w:tcW w:w="3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934,973</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23" w:type="dxa"/>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Non-recurring non-cash expenses</w:t>
            </w:r>
            <w:r>
              <w:rPr>
                <w:rFonts w:ascii="Arial;sans-serif" w:hAnsi="Arial;sans-serif"/>
                <w:b w:val="false"/>
                <w:color w:val="000000"/>
                <w:sz w:val="12"/>
              </w:rPr>
              <w:t>(6)</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26,177</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209,212</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244,555</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911,407</w:t>
            </w:r>
          </w:p>
        </w:tc>
        <w:tc>
          <w:tcPr>
            <w:tcW w:w="3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934,973</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23" w:type="dxa"/>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 EPS</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5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w:t>
            </w:r>
          </w:p>
        </w:tc>
        <w:tc>
          <w:tcPr>
            <w:tcW w:w="3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w:t>
            </w:r>
          </w:p>
        </w:tc>
        <w:tc>
          <w:tcPr>
            <w:tcW w:w="5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23"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Restructuring/severance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CEO onboarding costs</w:t>
            </w:r>
            <w:r>
              <w:rPr>
                <w:rFonts w:ascii="Arial;sans-serif" w:hAnsi="Arial;sans-serif"/>
                <w:b w:val="false"/>
                <w:color w:val="000000"/>
                <w:sz w:val="12"/>
              </w:rPr>
              <w:t>(1)</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Impairment within Other assets</w:t>
            </w:r>
            <w:r>
              <w:rPr>
                <w:rFonts w:ascii="Arial;sans-serif" w:hAnsi="Arial;sans-serif"/>
                <w:b w:val="false"/>
                <w:color w:val="000000"/>
                <w:sz w:val="12"/>
              </w:rPr>
              <w:t>(4)</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Business disposition, acquisitions and related costs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labor codes reform</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bankruptcy charges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reserve</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tax dispute</w:t>
            </w:r>
            <w:r>
              <w:rPr>
                <w:rFonts w:ascii="Arial;sans-serif" w:hAnsi="Arial;sans-serif"/>
                <w:b w:val="false"/>
                <w:color w:val="000000"/>
                <w:sz w:val="12"/>
              </w:rPr>
              <w:t>(2)</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business divestiture</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investments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from business disposition</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5" w:type="dxa"/>
            <w:gridSpan w:val="3"/>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items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895" w:type="dxa"/>
            <w:gridSpan w:val="3"/>
            <w:tcBorders>
              <w:right w:val="single" w:sz="8" w:space="0" w:color="B6B6B6"/>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EPS</w:t>
            </w:r>
            <w:r>
              <w:rPr>
                <w:rFonts w:ascii="Arial;sans-serif" w:hAnsi="Arial;sans-serif"/>
                <w:b w:val="false"/>
                <w:color w:val="000000"/>
                <w:sz w:val="12"/>
              </w:rPr>
              <w:t>(5)</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3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w:t>
            </w:r>
          </w:p>
        </w:tc>
        <w:tc>
          <w:tcPr>
            <w:tcW w:w="3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323" w:type="dxa"/>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61"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common shares (diluted)</w:t>
            </w:r>
          </w:p>
        </w:tc>
        <w:tc>
          <w:tcPr>
            <w:tcW w:w="1039"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35,572</w:t>
            </w:r>
          </w:p>
        </w:tc>
        <w:tc>
          <w:tcPr>
            <w:tcW w:w="1164"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38,158</w:t>
            </w:r>
          </w:p>
        </w:tc>
        <w:tc>
          <w:tcPr>
            <w:tcW w:w="843" w:type="dxa"/>
            <w:gridSpan w:val="3"/>
            <w:tcBorders>
              <w:bottom w:val="single" w:sz="8" w:space="0" w:color="B6B6B6"/>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36,612</w:t>
            </w:r>
          </w:p>
        </w:tc>
        <w:tc>
          <w:tcPr>
            <w:tcW w:w="1163"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38,385</w:t>
            </w:r>
          </w:p>
        </w:tc>
        <w:tc>
          <w:tcPr>
            <w:tcW w:w="895" w:type="dxa"/>
            <w:gridSpan w:val="3"/>
            <w:tcBorders>
              <w:bottom w:val="single" w:sz="8" w:space="0" w:color="B6B6B6"/>
              <w:right w:val="single" w:sz="8" w:space="0" w:color="B6B6B6"/>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60" w:after="60"/>
        <w:ind w:left="0" w:right="0" w:hanging="360"/>
        <w:jc w:val="both"/>
        <w:rPr>
          <w:rFonts w:ascii="Arial;sans-serif" w:hAnsi="Arial;sans-serif"/>
          <w:b w:val="false"/>
          <w:color w:val="000000"/>
          <w:sz w:val="16"/>
        </w:rPr>
      </w:pPr>
      <w:r>
        <w:rPr>
          <w:rFonts w:ascii="Arial;sans-serif" w:hAnsi="Arial;sans-serif"/>
          <w:b w:val="false"/>
          <w:color w:val="000000"/>
          <w:sz w:val="16"/>
        </w:rPr>
        <w:t>(1)For fiscal 2026, these costs are related to the recognition, over their respective service periods, of one-time make-whole cash and equity awards issued to our CEO.</w:t>
      </w:r>
    </w:p>
    <w:p>
      <w:pPr>
        <w:pStyle w:val="TextBody"/>
        <w:bidi w:val="0"/>
        <w:spacing w:lineRule="auto" w:line="319" w:before="60" w:after="60"/>
        <w:ind w:left="0" w:right="0" w:hanging="360"/>
        <w:jc w:val="both"/>
        <w:rPr>
          <w:rFonts w:ascii="Arial;sans-serif" w:hAnsi="Arial;sans-serif"/>
          <w:b w:val="false"/>
          <w:color w:val="000000"/>
          <w:sz w:val="16"/>
        </w:rPr>
      </w:pPr>
      <w:r>
        <w:rPr>
          <w:rFonts w:ascii="Arial;sans-serif" w:hAnsi="Arial;sans-serif"/>
          <w:b w:val="false"/>
          <w:color w:val="000000"/>
          <w:sz w:val="16"/>
        </w:rPr>
        <w:t>(2)Related to a resolved matter with the Massachusetts Department of Revenue.</w:t>
      </w:r>
    </w:p>
    <w:p>
      <w:pPr>
        <w:pStyle w:val="TextBody"/>
        <w:bidi w:val="0"/>
        <w:spacing w:lineRule="auto" w:line="319" w:before="60" w:after="60"/>
        <w:ind w:left="0" w:right="0" w:hanging="360"/>
        <w:jc w:val="both"/>
        <w:rPr>
          <w:rFonts w:ascii="Arial;sans-serif" w:hAnsi="Arial;sans-serif"/>
          <w:b w:val="false"/>
          <w:color w:val="000000"/>
          <w:sz w:val="16"/>
        </w:rPr>
      </w:pPr>
      <w:r>
        <w:rPr>
          <w:rFonts w:ascii="Arial;sans-serif" w:hAnsi="Arial;sans-serif"/>
          <w:b w:val="false"/>
          <w:color w:val="000000"/>
          <w:sz w:val="16"/>
        </w:rPr>
        <w:t>(3)Adjusted operating margin is calculated as Adjusted operating income divided by Revenues.</w:t>
      </w:r>
    </w:p>
    <w:p>
      <w:pPr>
        <w:pStyle w:val="TextBody"/>
        <w:bidi w:val="0"/>
        <w:spacing w:lineRule="auto" w:line="319" w:before="60" w:after="60"/>
        <w:ind w:left="0" w:right="0" w:hanging="360"/>
        <w:jc w:val="both"/>
        <w:rPr>
          <w:rFonts w:ascii="Arial;sans-serif" w:hAnsi="Arial;sans-serif"/>
          <w:b w:val="false"/>
          <w:color w:val="000000"/>
          <w:sz w:val="16"/>
        </w:rPr>
      </w:pPr>
      <w:r>
        <w:rPr>
          <w:rFonts w:ascii="Arial;sans-serif" w:hAnsi="Arial;sans-serif"/>
          <w:b w:val="false"/>
          <w:color w:val="000000"/>
          <w:sz w:val="16"/>
        </w:rPr>
        <w:t>(4)Related to the impairment of an equity investment.</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(5)For purposes of calculating Adjusted net income and Adjusted diluted EPS, all adjustments for the three months ended August 31, 2026 and August 31, 2025, were taxed at an adjusted tax rate of 25.1% and 14.8%, respectively. The twelve months ended August 31, 2026 and August 31, 2025, were taxed at an adjusted tax rate of 22.9% and 26.0%, respectively.</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(6)Primarily related to the impairment of an equity investment and the recognition, over their respective service periods, of one-time equity awards issued to our CEO.</w:t>
      </w:r>
    </w:p>
    <w:p>
      <w:pPr>
        <w:pStyle w:val="TextBody"/>
        <w:bidi w:val="0"/>
        <w:spacing w:before="30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319" w:before="0" w:after="200"/>
        <w:jc w:val="left"/>
        <w:rPr>
          <w:color w:val="AFAFAF"/>
        </w:rPr>
      </w:pPr>
      <w:r>
        <w:rPr>
          <w:color w:val="AFAFAF"/>
        </w:rPr>
        <w:t>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38150"/>
                <wp:effectExtent l="0" t="0" r="0" b="0"/>
                <wp:wrapNone/>
                <wp:docPr id="45" name="Frame44"/>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10</w:t>
                      </w:r>
                    </w:p>
                    <w:p>
                      <w:pPr>
                        <w:pStyle w:val="TextBody"/>
                        <w:bidi w:val="0"/>
                        <w:spacing w:before="0" w:after="0"/>
                        <w:jc w:val="left"/>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319" w:before="300" w:after="120"/>
        <w:jc w:val="both"/>
        <w:rPr>
          <w:rFonts w:ascii="Arial;sans-serif" w:hAnsi="Arial;sans-serif"/>
          <w:b/>
          <w:color w:val="000000"/>
          <w:sz w:val="24"/>
        </w:rPr>
      </w:pPr>
      <w:r>
        <w:rPr>
          <w:rFonts w:ascii="Arial;sans-serif" w:hAnsi="Arial;sans-serif"/>
          <w:b/>
          <w:color w:val="000000"/>
          <w:sz w:val="24"/>
        </w:rPr>
        <w:t>Business Outlook Reconciliation</w:t>
      </w:r>
    </w:p>
    <w:tbl>
      <w:tblPr>
        <w:tblW w:w="7618" w:type="dxa"/>
        <w:jc w:val="left"/>
        <w:tblInd w:w="0" w:type="dxa"/>
        <w:tblLayout w:type="fixed"/>
        <w:tblCellMar>
          <w:top w:w="28" w:type="dxa"/>
          <w:left w:w="28" w:type="dxa"/>
          <w:bottom w:w="28" w:type="dxa"/>
          <w:right w:w="28" w:type="dxa"/>
        </w:tblCellMar>
      </w:tblPr>
      <w:tblGrid>
        <w:gridCol w:w="1779"/>
        <w:gridCol w:w="1567"/>
        <w:gridCol w:w="1573"/>
        <w:gridCol w:w="788"/>
        <w:gridCol w:w="788"/>
        <w:gridCol w:w="1123"/>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B6B6B6"/>
              <w:left w:val="single" w:sz="8" w:space="0" w:color="B6B6B6"/>
            </w:tcBorders>
            <w:tcMar>
              <w:top w:w="52"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(Unaudited)</w:t>
            </w:r>
          </w:p>
        </w:tc>
        <w:tc>
          <w:tcPr>
            <w:tcW w:w="2699"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left w:val="single" w:sz="8" w:space="0" w:color="B6B6B6"/>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Figures may not foot due to rounding</w:t>
            </w:r>
          </w:p>
        </w:tc>
        <w:tc>
          <w:tcPr>
            <w:tcW w:w="2699"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Annual Fiscal 2027 Guidance</w:t>
            </w:r>
          </w:p>
        </w:tc>
      </w:tr>
      <w:tr>
        <w:trPr/>
        <w:tc>
          <w:tcPr>
            <w:tcW w:w="4919" w:type="dxa"/>
            <w:gridSpan w:val="3"/>
            <w:tcBorders>
              <w:left w:val="single" w:sz="8" w:space="0" w:color="B6B6B6"/>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 share data)</w:t>
            </w:r>
          </w:p>
        </w:tc>
        <w:tc>
          <w:tcPr>
            <w:tcW w:w="2699"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left w:val="single" w:sz="8" w:space="0" w:color="B6B6B6"/>
            </w:tcBorders>
            <w:shd w:fill="CCEEFF" w:val="clear"/>
            <w:tcMar>
              <w:top w:w="52"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699" w:type="dxa"/>
            <w:gridSpan w:val="3"/>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$2,600 - $2,625 </w:t>
            </w:r>
          </w:p>
        </w:tc>
      </w:tr>
      <w:tr>
        <w:trPr/>
        <w:tc>
          <w:tcPr>
            <w:tcW w:w="491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269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$806 - $840 </w:t>
            </w:r>
          </w:p>
        </w:tc>
      </w:tr>
      <w:tr>
        <w:trPr/>
        <w:tc>
          <w:tcPr>
            <w:tcW w:w="4919" w:type="dxa"/>
            <w:gridSpan w:val="3"/>
            <w:tcBorders>
              <w:top w:val="single" w:sz="2" w:space="0" w:color="000000"/>
              <w:left w:val="single" w:sz="8" w:space="0" w:color="B6B6B6"/>
            </w:tcBorders>
            <w:shd w:fill="CCEEFF" w:val="clear"/>
            <w:tcMar>
              <w:top w:w="52"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2699" w:type="dxa"/>
            <w:gridSpan w:val="3"/>
            <w:tcBorders>
              <w:top w:val="single" w:sz="2"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31.0% - 32.0%</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Amortization of intangible assets and other discrete items </w:t>
            </w:r>
          </w:p>
        </w:tc>
        <w:tc>
          <w:tcPr>
            <w:tcW w:w="269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$85 - $97</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left w:val="single" w:sz="8" w:space="0" w:color="B6B6B6"/>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Adjusted operating income </w:t>
            </w:r>
          </w:p>
        </w:tc>
        <w:tc>
          <w:tcPr>
            <w:tcW w:w="2699" w:type="dxa"/>
            <w:gridSpan w:val="3"/>
            <w:tcBorders>
              <w:right w:val="single" w:sz="8" w:space="0" w:color="B6B6B6"/>
            </w:tcBorders>
            <w:shd w:fill="CCEE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$903 - $925</w:t>
            </w:r>
          </w:p>
        </w:tc>
      </w:tr>
      <w:tr>
        <w:trPr/>
        <w:tc>
          <w:tcPr>
            <w:tcW w:w="4919"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operating margin</w:t>
            </w:r>
            <w:r>
              <w:rPr>
                <w:rFonts w:ascii="Arial;sans-serif" w:hAnsi="Arial;sans-serif"/>
                <w:b w:val="false"/>
                <w:color w:val="000000"/>
                <w:sz w:val="12"/>
              </w:rPr>
              <w:t>(a)</w:t>
            </w:r>
          </w:p>
        </w:tc>
        <w:tc>
          <w:tcPr>
            <w:tcW w:w="269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34.75% - 35.25%</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494949"/>
              <w:left w:val="single" w:sz="8" w:space="0" w:color="B6B6B6"/>
            </w:tcBorders>
            <w:shd w:fill="CCEEFF" w:val="clear"/>
            <w:tcMar>
              <w:top w:w="52"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 per common share</w:t>
            </w:r>
          </w:p>
        </w:tc>
        <w:tc>
          <w:tcPr>
            <w:tcW w:w="2699" w:type="dxa"/>
            <w:gridSpan w:val="3"/>
            <w:tcBorders>
              <w:top w:val="single" w:sz="2" w:space="0" w:color="000000"/>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$17.00 - $17.50</w:t>
            </w:r>
          </w:p>
        </w:tc>
      </w:tr>
      <w:tr>
        <w:trPr/>
        <w:tc>
          <w:tcPr>
            <w:tcW w:w="4919" w:type="dxa"/>
            <w:gridSpan w:val="3"/>
            <w:tcBorders>
              <w:left w:val="single" w:sz="8" w:space="0" w:color="B6B6B6"/>
            </w:tcBorders>
            <w:shd w:fill="FFFFFF" w:val="clear"/>
            <w:tcMar>
              <w:top w:w="0" w:type="dxa"/>
              <w:left w:w="14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Amortization of intangible assets and other discrete items </w:t>
            </w:r>
          </w:p>
        </w:tc>
        <w:tc>
          <w:tcPr>
            <w:tcW w:w="2699"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$2.15 - $2.25</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left w:val="single" w:sz="8" w:space="0" w:color="B6B6B6"/>
              <w:bottom w:val="single" w:sz="8" w:space="0" w:color="B6B6B6"/>
            </w:tcBorders>
            <w:shd w:fill="CCEEFF" w:val="clear"/>
            <w:tcMar>
              <w:top w:w="0" w:type="dxa"/>
              <w:left w:w="14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earnings per common share</w:t>
            </w:r>
          </w:p>
        </w:tc>
        <w:tc>
          <w:tcPr>
            <w:tcW w:w="2699" w:type="dxa"/>
            <w:gridSpan w:val="3"/>
            <w:tcBorders>
              <w:bottom w:val="single" w:sz="8" w:space="0" w:color="B6B6B6"/>
              <w:right w:val="single" w:sz="8" w:space="0" w:color="B6B6B6"/>
            </w:tcBorders>
            <w:shd w:fill="CCEEFF"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$19.25 - $19.65</w:t>
            </w:r>
          </w:p>
        </w:tc>
      </w:tr>
    </w:tbl>
    <w:p>
      <w:pPr>
        <w:pStyle w:val="TextBody"/>
        <w:bidi w:val="0"/>
        <w:spacing w:lineRule="auto" w:line="319" w:before="120" w:after="120"/>
        <w:ind w:left="0" w:right="0" w:hanging="360"/>
        <w:jc w:val="both"/>
        <w:rPr>
          <w:rFonts w:ascii="Arial;sans-serif" w:hAnsi="Arial;sans-serif"/>
          <w:b w:val="false"/>
          <w:color w:val="000000"/>
          <w:sz w:val="16"/>
        </w:rPr>
      </w:pPr>
      <w:r>
        <w:rPr>
          <w:rFonts w:ascii="Arial;sans-serif" w:hAnsi="Arial;sans-serif"/>
          <w:b w:val="false"/>
          <w:color w:val="000000"/>
          <w:sz w:val="16"/>
        </w:rPr>
        <w:t>(a)Adjusted operating margin is calculated as Adjusted operating income divided by Revenues.</w:t>
      </w:r>
    </w:p>
    <w:p>
      <w:pPr>
        <w:pStyle w:val="TextBody"/>
        <w:bidi w:val="0"/>
        <w:spacing w:lineRule="auto" w:line="319" w:before="300" w:after="120"/>
        <w:jc w:val="both"/>
        <w:rPr>
          <w:rFonts w:ascii="Arial;sans-serif" w:hAnsi="Arial;sans-serif"/>
          <w:b/>
          <w:color w:val="000000"/>
          <w:sz w:val="24"/>
        </w:rPr>
      </w:pPr>
      <w:r>
        <w:rPr>
          <w:rFonts w:ascii="Arial;sans-serif" w:hAnsi="Arial;sans-serif"/>
          <w:b/>
          <w:color w:val="000000"/>
          <w:sz w:val="24"/>
        </w:rPr>
        <w:t xml:space="preserve">Free Cash Flow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Cash flows provided by operating activities have been reduced by purchases of property, equipment, leasehold improvements and capitalized internal-use software to report non-GAAP free cash flow.</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315"/>
        <w:gridCol w:w="1007"/>
        <w:gridCol w:w="1010"/>
        <w:gridCol w:w="211"/>
        <w:gridCol w:w="826"/>
        <w:gridCol w:w="109"/>
        <w:gridCol w:w="211"/>
        <w:gridCol w:w="826"/>
        <w:gridCol w:w="109"/>
        <w:gridCol w:w="270"/>
        <w:gridCol w:w="272"/>
        <w:gridCol w:w="426"/>
        <w:gridCol w:w="109"/>
        <w:gridCol w:w="109"/>
        <w:gridCol w:w="109"/>
        <w:gridCol w:w="211"/>
        <w:gridCol w:w="826"/>
        <w:gridCol w:w="109"/>
        <w:gridCol w:w="211"/>
        <w:gridCol w:w="826"/>
        <w:gridCol w:w="109"/>
        <w:gridCol w:w="255"/>
        <w:gridCol w:w="256"/>
        <w:gridCol w:w="483"/>
      </w:tblGrid>
      <w:tr>
        <w:trPr/>
        <w:tc>
          <w:tcPr>
            <w:tcW w:w="131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(Unaudited)</w:t>
            </w:r>
          </w:p>
        </w:tc>
        <w:tc>
          <w:tcPr>
            <w:tcW w:w="2292"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96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Twelve Months Ended</w:t>
            </w:r>
          </w:p>
        </w:tc>
        <w:tc>
          <w:tcPr>
            <w:tcW w:w="994" w:type="dxa"/>
            <w:gridSpan w:val="3"/>
            <w:tcBorders>
              <w:top w:val="single" w:sz="8" w:space="0" w:color="B6B6B6"/>
              <w:right w:val="single" w:sz="8" w:space="0" w:color="B6B6B6"/>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w:t>
            </w:r>
          </w:p>
        </w:tc>
        <w:tc>
          <w:tcPr>
            <w:tcW w:w="994" w:type="dxa"/>
            <w:gridSpan w:val="3"/>
            <w:tcBorders>
              <w:right w:val="single" w:sz="8" w:space="0" w:color="B6B6B6"/>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994" w:type="dxa"/>
            <w:gridSpan w:val="3"/>
            <w:tcBorders>
              <w:right w:val="single" w:sz="8" w:space="0" w:color="B6B6B6"/>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3332"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for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4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822,200 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726,260 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6D6D6D"/>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483" w:type="dxa"/>
            <w:tcBorders>
              <w:top w:val="single" w:sz="8" w:space="0" w:color="6D6D6D"/>
              <w:right w:val="single" w:sz="8" w:space="0" w:color="B6B6B6"/>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2"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Less: purchases of property, equipment, leasehold improvements and capitalized internal-use software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83" w:type="dxa"/>
            <w:tcBorders>
              <w:right w:val="single" w:sz="8" w:space="0" w:color="B6B6B6"/>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2"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177,307 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178,134 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26" w:type="dxa"/>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B6B6B6"/>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707,480 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617,454 </w:t>
            </w:r>
          </w:p>
        </w:tc>
        <w:tc>
          <w:tcPr>
            <w:tcW w:w="109" w:type="dxa"/>
            <w:tcBorders>
              <w:top w:val="single" w:sz="4" w:space="0" w:color="000000"/>
              <w:bottom w:val="single" w:sz="8" w:space="0" w:color="B6B6B6"/>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83" w:type="dxa"/>
            <w:tcBorders>
              <w:bottom w:val="single" w:sz="8" w:space="0" w:color="B6B6B6"/>
              <w:right w:val="single" w:sz="8" w:space="0" w:color="B6B6B6"/>
            </w:tcBorders>
            <w:shd w:fill="CCEE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319" w:before="300" w:after="120"/>
        <w:jc w:val="both"/>
        <w:rPr>
          <w:rFonts w:ascii="Arial;sans-serif" w:hAnsi="Arial;sans-serif"/>
          <w:b/>
          <w:color w:val="000000"/>
          <w:sz w:val="24"/>
        </w:rPr>
      </w:pPr>
      <w:r>
        <w:rPr>
          <w:rFonts w:ascii="Arial;sans-serif" w:hAnsi="Arial;sans-serif"/>
          <w:b/>
          <w:color w:val="000000"/>
          <w:sz w:val="24"/>
        </w:rPr>
        <w:t xml:space="preserve">Organic ASV </w:t>
      </w:r>
    </w:p>
    <w:p>
      <w:pPr>
        <w:pStyle w:val="TextBody"/>
        <w:bidi w:val="0"/>
        <w:spacing w:lineRule="auto" w:line="319" w:before="300" w:after="120"/>
        <w:jc w:val="both"/>
        <w:rPr>
          <w:rFonts w:ascii="Arial;sans-serif" w:hAnsi="Arial;sans-serif"/>
          <w:b w:val="false"/>
          <w:color w:val="000000"/>
          <w:sz w:val="18"/>
        </w:rPr>
      </w:pPr>
      <w:r>
        <w:rPr>
          <w:rFonts w:ascii="Arial;sans-serif" w:hAnsi="Arial;sans-serif"/>
          <w:b w:val="false"/>
          <w:color w:val="000000"/>
          <w:sz w:val="18"/>
        </w:rPr>
        <w:t>The following table presents the calculation of organic ASV.</w:t>
      </w:r>
    </w:p>
    <w:p>
      <w:pPr>
        <w:pStyle w:val="TextBody"/>
        <w:bidi w:val="0"/>
        <w:spacing w:before="0" w:after="0"/>
        <w:jc w:val="left"/>
        <w:rPr/>
      </w:pPr>
      <w:r>
        <w:rPr/>
      </w:r>
    </w:p>
    <w:tbl>
      <w:tblPr>
        <w:tblW w:w="5354" w:type="dxa"/>
        <w:jc w:val="left"/>
        <w:tblInd w:w="0" w:type="dxa"/>
        <w:tblLayout w:type="fixed"/>
        <w:tblCellMar>
          <w:top w:w="28" w:type="dxa"/>
          <w:left w:w="28" w:type="dxa"/>
          <w:bottom w:w="28" w:type="dxa"/>
          <w:right w:w="28" w:type="dxa"/>
        </w:tblCellMar>
      </w:tblPr>
      <w:tblGrid>
        <w:gridCol w:w="1240"/>
        <w:gridCol w:w="1089"/>
        <w:gridCol w:w="1091"/>
        <w:gridCol w:w="315"/>
        <w:gridCol w:w="1146"/>
        <w:gridCol w:w="473"/>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B6B6B6"/>
              <w:left w:val="single" w:sz="8" w:space="0" w:color="B6B6B6"/>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1934" w:type="dxa"/>
            <w:gridSpan w:val="3"/>
            <w:tcBorders>
              <w:top w:val="single" w:sz="8" w:space="0" w:color="B6B6B6"/>
              <w:right w:val="single" w:sz="8" w:space="0" w:color="B6B6B6"/>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August 31, 2026</w:t>
            </w:r>
          </w:p>
        </w:tc>
      </w:tr>
      <w:tr>
        <w:trPr/>
        <w:tc>
          <w:tcPr>
            <w:tcW w:w="3420" w:type="dxa"/>
            <w:gridSpan w:val="3"/>
            <w:tcBorders>
              <w:top w:val="single" w:sz="4" w:space="0" w:color="000000"/>
              <w:left w:val="single" w:sz="8" w:space="0" w:color="B6B6B6"/>
            </w:tcBorders>
            <w:shd w:fill="CCEEFF" w:val="clear"/>
            <w:tcMar>
              <w:top w:w="52"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reported ASV</w:t>
            </w:r>
          </w:p>
        </w:tc>
        <w:tc>
          <w:tcPr>
            <w:tcW w:w="3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2,565.2 </w:t>
            </w:r>
          </w:p>
        </w:tc>
        <w:tc>
          <w:tcPr>
            <w:tcW w:w="473"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Impact from foreign currency movements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73" w:type="dxa"/>
            <w:tcBorders>
              <w:right w:val="single" w:sz="8" w:space="0" w:color="B6B6B6"/>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ASV</w:t>
            </w:r>
          </w:p>
        </w:tc>
        <w:tc>
          <w:tcPr>
            <w:tcW w:w="3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2,568.2 </w:t>
            </w:r>
          </w:p>
        </w:tc>
        <w:tc>
          <w:tcPr>
            <w:tcW w:w="473" w:type="dxa"/>
            <w:tcBorders>
              <w:top w:val="single" w:sz="4" w:space="0" w:color="000000"/>
              <w:right w:val="single" w:sz="8" w:space="0" w:color="B6B6B6"/>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left w:val="single" w:sz="8" w:space="0" w:color="B6B6B6"/>
              <w:bottom w:val="single" w:sz="8" w:space="0" w:color="B6B6B6"/>
            </w:tcBorders>
            <w:shd w:fill="FFFFFF"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Organic ASV annual growth rate</w:t>
            </w:r>
            <w:r>
              <w:rPr>
                <w:rFonts w:ascii="Arial;sans-serif" w:hAnsi="Arial;sans-serif"/>
                <w:b w:val="false"/>
                <w:i/>
                <w:color w:val="000000"/>
                <w:sz w:val="12"/>
              </w:rPr>
              <w:t>(a)</w:t>
            </w:r>
          </w:p>
        </w:tc>
        <w:tc>
          <w:tcPr>
            <w:tcW w:w="1461" w:type="dxa"/>
            <w:gridSpan w:val="2"/>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7.0 </w:t>
            </w:r>
          </w:p>
        </w:tc>
        <w:tc>
          <w:tcPr>
            <w:tcW w:w="473" w:type="dxa"/>
            <w:tcBorders>
              <w:bottom w:val="single" w:sz="8" w:space="0" w:color="B6B6B6"/>
              <w:right w:val="single" w:sz="8" w:space="0" w:color="B6B6B6"/>
            </w:tcBorders>
            <w:shd w:fill="FFFF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319"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(a)For comparability purposes, in calculating the organic ASV annual growth rate, the prior year excludes ASV from dispositions and discontinued lines of business effected within the last 12 months.</w:t>
      </w:r>
    </w:p>
    <w:p>
      <w:pPr>
        <w:pStyle w:val="TextBody"/>
        <w:bidi w:val="0"/>
        <w:spacing w:before="120" w:after="283"/>
        <w:jc w:val="both"/>
        <w:rPr/>
      </w:pPr>
      <w:r>
        <w:rPr/>
      </w:r>
    </w:p>
    <w:p>
      <w:pPr>
        <w:pStyle w:val="TextBody"/>
        <w:bidi w:val="0"/>
        <w:spacing w:before="1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38150"/>
                <wp:effectExtent l="0" t="0" r="0" b="0"/>
                <wp:wrapNone/>
                <wp:docPr id="46" name="Frame45"/>
                <a:graphic xmlns:a="http://schemas.openxmlformats.org/drawingml/2006/main">
                  <a:graphicData uri="http://schemas.microsoft.com/office/word/2010/wordprocessingShape">
                    <wps:wsp>
                      <wps:cNvSpPr txBox="1"/>
                      <wps:spPr>
                        <a:xfrm>
                          <a:off x="0" y="0"/>
                          <a:ext cx="6480175" cy="438150"/>
                        </a:xfrm>
                        <a:prstGeom prst="rect"/>
                        <a:solidFill>
                          <a:srgbClr val="FFFFFF"/>
                        </a:solidFill>
                      </wps:spPr>
                      <wps:txb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right"/>
                        <w:rPr>
                          <w:rFonts w:ascii="Arial;sans-serif" w:hAnsi="Arial;sans-serif"/>
                          <w:b w:val="false"/>
                          <w:color w:val="AFAFAF"/>
                          <w:sz w:val="14"/>
                        </w:rPr>
                      </w:pPr>
                      <w:r>
                        <w:rPr>
                          <w:rFonts w:ascii="Arial;sans-serif" w:hAnsi="Arial;sans-serif"/>
                          <w:b w:val="false"/>
                          <w:color w:val="AFAFAF"/>
                          <w:sz w:val="14"/>
                        </w:rPr>
                        <w:t>11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27260</Words>
  <Characters>140944</Characters>
  <CharactersWithSpaces>167166</CharactersWithSpaces>
  <Paragraphs>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