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282203.xml.htm"/>
      <w:bookmarkStart w:id="1" w:name="kswkform4_17902822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Viswanathan Sanoke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GLOVER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NORWALK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FACTSET RESEARCH SYSTEMS INC</w:t>
              </w:r>
            </w:hyperlink>
            <w:r>
              <w:rPr/>
              <w:t xml:space="preserve"> [ </w:t>
            </w:r>
            <w:r>
              <w:rPr>
                <w:rFonts w:ascii="Times;serif" w:hAnsi="Times;serif"/>
                <w:color w:val="0000FF"/>
                <w:sz w:val="24"/>
                <w:shd w:fill="FFFFFF" w:val="clear"/>
              </w:rPr>
              <w:t>FDS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8,065</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276.42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50,267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withheld to cover the cost of taxes upon vesting of restricted stock units granted on September 22, 2025, which was previously reported. The restricted stock units vest 25% annually on the anniversary date of the grant and are fully vested after four years.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WINNIFRED LEWIS, Attorney in Fact for Sanoke Viswanathan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0088" TargetMode="External"/><Relationship Id="rId5" Type="http://schemas.openxmlformats.org/officeDocument/2006/relationships/hyperlink" Target="http://www.sec.gov/cgi-bin/browse-edgar?action=getcompany&amp;CIK=00010132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3350</Characters>
  <CharactersWithSpaces>3899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