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3"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Form 10-K</w:t>
      </w:r>
    </w:p>
    <w:p>
      <w:pPr>
        <w:spacing w:after="0" w:line="2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August 31, 2019</w:t>
      </w:r>
    </w:p>
    <w:p>
      <w:pPr>
        <w:spacing w:after="0" w:line="21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3934460</wp:posOffset>
            </wp:positionH>
            <wp:positionV relativeFrom="paragraph">
              <wp:posOffset>-10160</wp:posOffset>
            </wp:positionV>
            <wp:extent cx="774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FACTSET RESEARCH SYSTEMS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142240</wp:posOffset>
            </wp:positionV>
            <wp:extent cx="2118360"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1200" w:type="dxa"/>
            <w:vAlign w:val="bottom"/>
          </w:tcPr>
          <w:p>
            <w:pPr>
              <w:spacing w:after="0"/>
              <w:rPr>
                <w:sz w:val="19"/>
                <w:szCs w:val="19"/>
                <w:color w:val="auto"/>
              </w:rPr>
            </w:pPr>
          </w:p>
        </w:tc>
        <w:tc>
          <w:tcPr>
            <w:tcW w:w="274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tcPr>
          <w:p>
            <w:pPr>
              <w:jc w:val="right"/>
              <w:ind w:right="2210"/>
              <w:spacing w:after="0"/>
              <w:rPr>
                <w:sz w:val="20"/>
                <w:szCs w:val="20"/>
                <w:color w:val="auto"/>
              </w:rPr>
            </w:pPr>
            <w:r>
              <w:rPr>
                <w:rFonts w:ascii="Arial" w:cs="Arial" w:eastAsia="Arial" w:hAnsi="Arial"/>
                <w:sz w:val="18"/>
                <w:szCs w:val="18"/>
                <w:b w:val="1"/>
                <w:bCs w:val="1"/>
                <w:color w:val="auto"/>
              </w:rPr>
              <w:t>13-3362547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7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(State or other jurisdiction of</w:t>
            </w:r>
          </w:p>
        </w:tc>
        <w:tc>
          <w:tcPr>
            <w:tcW w:w="7480" w:type="dxa"/>
            <w:vAlign w:val="bottom"/>
            <w:gridSpan w:val="3"/>
          </w:tcPr>
          <w:p>
            <w:pPr>
              <w:jc w:val="center"/>
              <w:ind w:left="19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27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 or organization)</w:t>
            </w:r>
          </w:p>
        </w:tc>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601 Merritt 7, Norwalk, Connecticut 06851</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6660" w:type="dxa"/>
            <w:vAlign w:val="bottom"/>
            <w:gridSpan w:val="4"/>
          </w:tcPr>
          <w:p>
            <w:pPr>
              <w:jc w:val="center"/>
              <w:ind w:left="2290"/>
              <w:spacing w:after="0"/>
              <w:rPr>
                <w:sz w:val="20"/>
                <w:szCs w:val="20"/>
                <w:color w:val="auto"/>
              </w:rPr>
            </w:pPr>
            <w:r>
              <w:rPr>
                <w:rFonts w:ascii="Arial" w:cs="Arial" w:eastAsia="Arial" w:hAnsi="Arial"/>
                <w:sz w:val="18"/>
                <w:szCs w:val="18"/>
                <w:color w:val="auto"/>
                <w:w w:val="92"/>
              </w:rPr>
              <w:t>(Address of principal executive office, including 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10220" w:type="dxa"/>
            <w:vAlign w:val="bottom"/>
            <w:gridSpan w:val="5"/>
          </w:tcPr>
          <w:p>
            <w:pPr>
              <w:jc w:val="center"/>
              <w:ind w:right="11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(203) 810-1000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660" w:type="dxa"/>
            <w:vAlign w:val="bottom"/>
            <w:gridSpan w:val="4"/>
          </w:tcPr>
          <w:p>
            <w:pPr>
              <w:jc w:val="center"/>
              <w:ind w:left="22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tcBorders>
              <w:left w:val="single" w:sz="8" w:color="auto"/>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ind w:right="1110"/>
              <w:spacing w:after="0"/>
              <w:rPr>
                <w:sz w:val="20"/>
                <w:szCs w:val="20"/>
                <w:color w:val="auto"/>
              </w:rPr>
            </w:pPr>
            <w:r>
              <w:rPr>
                <w:rFonts w:ascii="Arial" w:cs="Arial" w:eastAsia="Arial" w:hAnsi="Arial"/>
                <w:sz w:val="18"/>
                <w:szCs w:val="18"/>
                <w:color w:val="auto"/>
                <w:w w:val="90"/>
              </w:rPr>
              <w:t>Title of each class</w:t>
            </w: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Trading Symbols(s)</w:t>
            </w: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95"/>
        </w:trPr>
        <w:tc>
          <w:tcPr>
            <w:tcW w:w="38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6"/>
                <w:szCs w:val="16"/>
                <w:color w:val="auto"/>
              </w:rPr>
            </w:pPr>
          </w:p>
        </w:tc>
        <w:tc>
          <w:tcPr>
            <w:tcW w:w="368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4"/>
              </w:rPr>
              <w:t>FDS</w:t>
            </w:r>
          </w:p>
        </w:tc>
        <w:tc>
          <w:tcPr>
            <w:tcW w:w="240" w:type="dxa"/>
            <w:vAlign w:val="bottom"/>
          </w:tcPr>
          <w:p>
            <w:pPr>
              <w:spacing w:after="0"/>
              <w:rPr>
                <w:sz w:val="16"/>
                <w:szCs w:val="16"/>
                <w:color w:val="auto"/>
              </w:rPr>
            </w:pPr>
          </w:p>
        </w:tc>
        <w:tc>
          <w:tcPr>
            <w:tcW w:w="356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22"/>
        </w:trPr>
        <w:tc>
          <w:tcPr>
            <w:tcW w:w="3820" w:type="dxa"/>
            <w:vAlign w:val="bottom"/>
            <w:tcBorders>
              <w:left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6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35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r>
        <w:trPr>
          <w:trHeight w:val="105"/>
        </w:trPr>
        <w:tc>
          <w:tcPr>
            <w:tcW w:w="1200" w:type="dxa"/>
            <w:vAlign w:val="bottom"/>
            <w:tcBorders>
              <w:left w:val="single" w:sz="8" w:color="auto"/>
              <w:bottom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1142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49"/>
        </w:trPr>
        <w:tc>
          <w:tcPr>
            <w:tcW w:w="1200" w:type="dxa"/>
            <w:vAlign w:val="bottom"/>
          </w:tcPr>
          <w:p>
            <w:pPr>
              <w:ind w:left="6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27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spacing w:after="0" w:line="183"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65"/>
        </w:trPr>
        <w:tc>
          <w:tcPr>
            <w:tcW w:w="1200" w:type="dxa"/>
            <w:vAlign w:val="bottom"/>
          </w:tcPr>
          <w:p>
            <w:pPr>
              <w:ind w:left="6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27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79" w:right="239" w:bottom="0" w:gutter="0" w:footer="0" w:header="0"/>
        </w:sectPr>
      </w:pP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800"/>
          </w:cols>
          <w:pgMar w:left="240" w:top="679" w:right="239" w:bottom="0" w:gutter="0" w:footer="0" w:header="0"/>
          <w:type w:val="continuous"/>
        </w:sectPr>
      </w:pPr>
    </w:p>
    <w:p>
      <w:pPr>
        <w:spacing w:after="0" w:line="32" w:lineRule="exact"/>
        <w:rPr>
          <w:sz w:val="24"/>
          <w:szCs w:val="24"/>
          <w:color w:val="auto"/>
        </w:rPr>
      </w:pPr>
    </w:p>
    <w:p>
      <w:pPr>
        <w:jc w:val="both"/>
        <w:ind w:right="20"/>
        <w:spacing w:after="0" w:line="22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76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49"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upon the closing price of a share of the registrant’s common stock on February 28, 2019, the last business day of the registrant’s most recently completed second fiscal quarter, as reported by the New York Stock Exchange on that date, was $8,808,676,952.</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October 24, 2019, was 37,944,709.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Portions of the registrant’s definitive Proxy Statement dated October 30, 2019, for the 2019 Annual Meeting of Stockholders to be held on December 17, 2019, are incorporated by reference into Part III of this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FACTSET RESEARCH SYSTEMS INC.</w:t>
      </w:r>
    </w:p>
    <w:p>
      <w:pPr>
        <w:sectPr>
          <w:pgSz w:w="11900" w:h="16838" w:orient="portrait"/>
          <w:cols w:equalWidth="0" w:num="1">
            <w:col w:w="11420"/>
          </w:cols>
          <w:pgMar w:left="240" w:top="679"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040" w:type="dxa"/>
            <w:vAlign w:val="bottom"/>
            <w:gridSpan w:val="3"/>
          </w:tcPr>
          <w:p>
            <w:pPr>
              <w:spacing w:after="0"/>
              <w:rPr>
                <w:sz w:val="20"/>
                <w:szCs w:val="20"/>
                <w:color w:val="auto"/>
              </w:rPr>
            </w:pPr>
            <w:r>
              <w:rPr>
                <w:rFonts w:ascii="Arial" w:cs="Arial" w:eastAsia="Arial" w:hAnsi="Arial"/>
                <w:sz w:val="18"/>
                <w:szCs w:val="18"/>
                <w:color w:val="auto"/>
              </w:rPr>
              <w:t>FORM 10-K</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40" w:type="dxa"/>
            <w:vAlign w:val="bottom"/>
            <w:gridSpan w:val="3"/>
          </w:tcPr>
          <w:p>
            <w:pPr>
              <w:spacing w:after="0"/>
              <w:rPr>
                <w:sz w:val="20"/>
                <w:szCs w:val="20"/>
                <w:color w:val="auto"/>
              </w:rPr>
            </w:pPr>
            <w:r>
              <w:rPr>
                <w:rFonts w:ascii="Arial" w:cs="Arial" w:eastAsia="Arial" w:hAnsi="Arial"/>
                <w:sz w:val="18"/>
                <w:szCs w:val="18"/>
                <w:color w:val="auto"/>
              </w:rPr>
              <w:t>For The Fiscal Year Ended August 31, 2019</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80"/>
              <w:spacing w:after="0"/>
              <w:rPr>
                <w:sz w:val="20"/>
                <w:szCs w:val="20"/>
                <w:color w:val="auto"/>
              </w:rPr>
            </w:pPr>
            <w:r>
              <w:rPr>
                <w:rFonts w:ascii="Arial" w:cs="Arial" w:eastAsia="Arial" w:hAnsi="Arial"/>
                <w:sz w:val="18"/>
                <w:szCs w:val="18"/>
                <w:color w:val="auto"/>
              </w:rPr>
              <w:t>Business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920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Properties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PART II</w:t>
            </w:r>
          </w:p>
        </w:tc>
        <w:tc>
          <w:tcPr>
            <w:tcW w:w="9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tcPr>
          <w:p>
            <w:pPr>
              <w:ind w:left="80"/>
              <w:spacing w:after="0"/>
              <w:rPr>
                <w:sz w:val="20"/>
                <w:szCs w:val="20"/>
                <w:color w:val="auto"/>
              </w:rPr>
            </w:pPr>
            <w:r>
              <w:rPr>
                <w:rFonts w:ascii="Arial" w:cs="Arial" w:eastAsia="Arial" w:hAnsi="Arial"/>
                <w:sz w:val="18"/>
                <w:szCs w:val="18"/>
                <w:color w:val="auto"/>
              </w:rPr>
              <w:t>Selected Financial Data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7A.</w:t>
            </w:r>
          </w:p>
        </w:tc>
        <w:tc>
          <w:tcPr>
            <w:tcW w:w="920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w:t>
            </w:r>
          </w:p>
        </w:tc>
        <w:tc>
          <w:tcPr>
            <w:tcW w:w="920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9B.</w:t>
            </w:r>
          </w:p>
        </w:tc>
        <w:tc>
          <w:tcPr>
            <w:tcW w:w="920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9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Compensation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12.</w:t>
            </w:r>
          </w:p>
        </w:tc>
        <w:tc>
          <w:tcPr>
            <w:tcW w:w="9200" w:type="dxa"/>
            <w:vAlign w:val="bottom"/>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9200" w:type="dxa"/>
            <w:vAlign w:val="bottom"/>
          </w:tcPr>
          <w:p>
            <w:pPr>
              <w:ind w:left="80"/>
              <w:spacing w:after="0"/>
              <w:rPr>
                <w:sz w:val="20"/>
                <w:szCs w:val="20"/>
                <w:color w:val="auto"/>
              </w:rPr>
            </w:pPr>
            <w:r>
              <w:rPr>
                <w:rFonts w:ascii="Arial" w:cs="Arial" w:eastAsia="Arial" w:hAnsi="Arial"/>
                <w:sz w:val="18"/>
                <w:szCs w:val="18"/>
                <w:color w:val="auto"/>
              </w:rPr>
              <w:t>Principal Accounting Fees and Services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9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9200" w:type="dxa"/>
            <w:vAlign w:val="bottom"/>
          </w:tcPr>
          <w:p>
            <w:pPr>
              <w:ind w:left="80"/>
              <w:spacing w:after="0"/>
              <w:rPr>
                <w:sz w:val="20"/>
                <w:szCs w:val="20"/>
                <w:color w:val="auto"/>
              </w:rPr>
            </w:pPr>
            <w:r>
              <w:rPr>
                <w:rFonts w:ascii="Arial" w:cs="Arial" w:eastAsia="Arial" w:hAnsi="Arial"/>
                <w:sz w:val="18"/>
                <w:szCs w:val="18"/>
                <w:color w:val="auto"/>
              </w:rPr>
              <w:t>Exhibits, Financial Statement Schedules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10-K Summary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2"/>
              </w:rPr>
              <w:t>Signatures</w:t>
            </w:r>
          </w:p>
        </w:tc>
        <w:tc>
          <w:tcPr>
            <w:tcW w:w="9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482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Overview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trade execution, performance measurement, risk management, reporting, and portfolio analysis,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throughout each of our three segments, the U.S., Europe, and Asia Pacific. We primarily deliver insight and information through the workflow solutions of Research, Analytics and Trading, Content and Technology Solutions and Wealth.</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financial professionals, which include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to execute trades. We combine dedicated client service with open and flexible technology offerings, such as a comprehensive data marketplace, a configurable mobile and desktop platform, digital portals and application programming interface (“APIs”). Our revenue is primarily derived from subscriptions to products and services such as workstations, analytics, enterprise data, research management, and trade execution.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Corporate History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FactSet was founded in 1978 and has been publicly held since 1996. We are dual listed on the New York Stock Exchange (“NYSE”) and the NASDAQ Stock Market (“NASDAQ”) under the symbol “FDS.” Fiscal 2019 marked our 41st year of operations and while much has changed in the market and in technology, our focus has always been to provide best-in-class products and exceptional client service.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timeline depicts the Company’s history since our founding in 1978:</w:t>
      </w:r>
    </w:p>
    <w:p>
      <w:pPr>
        <w:sectPr>
          <w:pgSz w:w="11900" w:h="16838" w:orient="portrait"/>
          <w:cols w:equalWidth="0" w:num="1">
            <w:col w:w="11420"/>
          </w:cols>
          <w:pgMar w:left="240" w:top="125" w:right="239" w:bottom="1086"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522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Business Strategy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offices together to drive productivity and performance throughout the portfolio lifecycle. Our strategy is focused on growing our business throughout each of our three segments, the U.S., Europe, and Asia Pacific. We believe this geographical strategy alignment helps us better manage our resources and concentrate on markets that demand our products. To execute on our strategy of broad-based growth across each geographical segment, we continue to look at ways to create value for our clients by offering data, products and analytical applications within our workflow solutions of Research, Analytics and Trading, Wealth, and Content and Technology Solutions.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Research Solutions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Solutions workflow (“Research”) focuses on company analysis, idea generation, and research management. The tools within Research provide solutions to analyze public and private companies, generate ideas and discover opportunities with our proprietary data. Research also allows users to monitor the global markets, to gain industry and market insights, and to collaborate on and share information across teams. FactSet combines the global coverage, deep history, and transparency with over 1,000 FactSet-sourced and third-party databases integrated in one flexible platform.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Analytics and Trading Solutions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Analytics and Trading Solutions workflow (“Analytics and Trading”) addresses processes around portfolio analytics, risk management and performance measurement and attribution. Analytics and Trading also focuses on client reporting, portfolio construction, trade execution and order management. The applications within Analytics and Trading are modularized and deployed to fulfill both targeted and holistic needs in the front and middle offices. Analytics and Trading integrates our clients’ proprietary data along with FactSet and third-party content to bring actionable insights to the portfolio management process. Analytics and Trading tools are accessible through a variety of mediums, including the FactSet workstation and application programming interfaces.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Wealth Solutions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Wealth Solutions workflow (“Wealth”) is specific to the wealth management industry and creates offerings that enable wealth professionals across an entire enterprise, including home office, advisory, and client engagement. Wealth empowers wealth managers to demonstrate value to clients and prospects while protecting and growing their assets with FactSet’s combined solution set of portfolio analytics, market monitoring tools, multi-asset class research and customized client facing digital solutions. Our Research Management Solutions products enable our wealth management clients to increase collaboration and communication between Home Office and Advisory functions within the firm and deliver consistent and scalable messaging to the clients of the advisor.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Content and Technology Solutions</w:t>
      </w:r>
    </w:p>
    <w:p>
      <w:pPr>
        <w:sectPr>
          <w:pgSz w:w="11900" w:h="16838" w:orient="portrait"/>
          <w:cols w:equalWidth="0" w:num="1">
            <w:col w:w="11420"/>
          </w:cols>
          <w:pgMar w:left="240" w:top="1440" w:right="239" w:bottom="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Our Content and Technology Solutions workflow (“CTS”) is focused on delivering value to our clients in the way they want to consume it. Our goal is to reduce the number of customizations by standardizing and bundling our proprietary data into data feeds. Whether a client needs market, company, or alternative data, our data delivery services provide normalized data through APIs and a direct delivery of local copies of standard data feeds. Our symbology links and aggregates a variety of content sources to ensure consistency, transparency, and data integrity across a client’s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FactSet Clients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Buy-side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buy-side clients continue to shift towards multi-asset class investment strategies, we are positioned to be a partner in the space, given our ability to provide enterprise-wide solutions across their entire workflow. We provide solutions across asset classes and at nearly every stage of the investment process by utilizing our workstations, analytics, proprietary content, data feeds and portfolio services. Buy-side clients include portfolio managers, analysts, traders, wealth managers, performance teams and risk and compliance teams at a variety of firms, such as traditional asset managers, wealth advisors, corporations, hedge funds, insurance companies, plan sponsors and fund of funds.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buy-side annual subscription value (“ASV”) growth rate for fiscal 2019 was 4.8%. Buy-side clients accounted for 83.7% of ASV as of August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Sell-side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FactSet delivers comprehensive solutions to sell-side clients including workstation, proprietary and third-party content, productivity tools for Microsoft® Office, FactSet Web and Mobile, and FactSet Partners for research authoring and publishing. Our focus remains on expanding the depth of content offered and increasing workflow efficiency for investment banking, private equity, corporate and research firms.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sell-side ASV growth rate for fiscal 2019 was 6.3%. Sell-side clients accounted for 16.3% of ASV as of August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Client Subscription Growth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fiscal 2019, we added 432 net new clients, increasing the number of clients by 8.4% over the prior year. In the first quarter of fiscal 2019, we changed our client count definition to include clients from the April 2017 acquisition of FDSG. The prior year client count was not restated to reflect this change. We added 34,925 net new users during fiscal 2019, leading to a healthy progression in the number of users in both our buy-side and sell-side clients.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ASV Growth</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ASV at any given point in time represents the forward-looking revenue for the next twelve months from all subscription services currently being supplied to clients and excludes professional service fees, which are not subscription-based. Organic ASV excludes ASV from acquisitions and dispositions completed within the last 12 months, and the effects of foreign currency, and professional services fees.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August 31, 2019, ASV was $1.46 billion, up from $1.39 billion a year ago. As of August 31, 2019, organic ASV was $1.46 billion, up $70.2 million or 5.0% from a year ago. This increase in organic ASV was due to growth across all of our geographic segments with the majority of growth in the U.S., followed by Asia Pacific and Europe. ASV growth from our workflow solutions was primarily driven by Analytics and Trading, CTS and Wealth.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provides a snapshot of FactSet’s historic ASV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085715" cy="343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571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on Geographic Areas</w:t>
      </w:r>
    </w:p>
    <w:p>
      <w:pPr>
        <w:sectPr>
          <w:pgSz w:w="11900" w:h="16838" w:orient="portrait"/>
          <w:cols w:equalWidth="0" w:num="1">
            <w:col w:w="11420"/>
          </w:cols>
          <w:pgMar w:left="240" w:top="341" w:right="239" w:bottom="0" w:gutter="0" w:footer="0" w:header="0"/>
        </w:sectPr>
      </w:pPr>
    </w:p>
    <w:bookmarkStart w:id="4" w:name="page5"/>
    <w:bookmarkEnd w:id="4"/>
    <w:p>
      <w:pPr>
        <w:jc w:val="both"/>
        <w:spacing w:after="0" w:line="291" w:lineRule="auto"/>
        <w:rPr>
          <w:sz w:val="20"/>
          <w:szCs w:val="20"/>
          <w:color w:val="auto"/>
        </w:rPr>
      </w:pPr>
      <w:r>
        <w:rPr>
          <w:rFonts w:ascii="Arial" w:cs="Arial" w:eastAsia="Arial" w:hAnsi="Arial"/>
          <w:sz w:val="16"/>
          <w:szCs w:val="16"/>
          <w:color w:val="auto"/>
        </w:rPr>
        <w:t>Operating segments are defined as components of an enterprise that have the following characteristics: (i) it engages in business activities from which it may earn revenues and incur expenses, (ii) its operating results are regularly reviewed by the company’s chief operating decision maker to make decisions about resources to be allocated to the segment and assess its performance, and (iii) its discrete financial information is available. Executive management, along with the CEO, constitute our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and Trading. The CODMG reviews financial information at the operating segment level and is responsible for making decisions about resources allocated amongst the operating segments based on actual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operating segments are aligned with how the Company, including its CODMG, manages the business and the demographic markets in which it serves. Our internal financial reporting structure is based on three segments: the U.S., Europe and Asia Pacific. We believe this alignment helps to better manage the business and serve client needs, as each segment requires financial and economic information specific to their respective markets. Our primary functional groups within the U.S., Europe, and Asia Pacific segments include sales, consulting, data collection, product development and software engineering, which provide global financial and economic information to investment managers, investment banks and other financial services professionals.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U.S. segment serves investment professionals, including financial institutions throughout the Americas. The Europe and Asia Pacific segments serve investment professionals located throughout Europe and Asia Pacific, respectively. Financial information, including revenues, operating income and long-lived assets related to our operations in each geographic area are presented in Note 8, </w:t>
      </w:r>
      <w:r>
        <w:rPr>
          <w:rFonts w:ascii="Arial" w:cs="Arial" w:eastAsia="Arial" w:hAnsi="Arial"/>
          <w:sz w:val="18"/>
          <w:szCs w:val="18"/>
          <w:i w:val="1"/>
          <w:iCs w:val="1"/>
          <w:color w:val="auto"/>
        </w:rPr>
        <w:t>Segment Information</w:t>
      </w:r>
      <w:r>
        <w:rPr>
          <w:rFonts w:ascii="Arial" w:cs="Arial" w:eastAsia="Arial" w:hAnsi="Arial"/>
          <w:sz w:val="18"/>
          <w:szCs w:val="18"/>
          <w:color w:val="auto"/>
        </w:rPr>
        <w:t>, and in the Notes to the Company’s Consolidated Financial Statements included in Item 8.</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U.S. segment has offices in 15 locations, within 13 states throughout the U.S., including our corporate headquarters in Norwalk, Connecticut, as well as two additional offices located in Brazil and Canada. The European segment maintains office locations in Bulgaria, UAE (Dubai), England, France, Germany, Italy, Latvia, Luxembourg, the Netherlands, South Africa, Spain, and Switzerland. The Asia Pacific segment has office locations in Australia, Hong Kong, China, India, Japan, the Philippines, and Singapore. Segment revenue reflects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Expenditures associated with our data centers, third-party data costs and corporate headquarters charges are recorded by the U.S. segment and are not allocated to the other segments. The content collection centers, located in India, the Philippines, and Latvia, benefit all our operating segments, and thus the expenses incurred at these locations are allocated to each segment based on a percentage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depict revenue related to our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689090" cy="2375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Talent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built a collaborative culture that recognizes and rewards innovation and offers employees a variety of opportunities and experiences. Our employees are critical to our success and are the reason we continue to execute at a high level. We believe our continued focus on making employee engagement a top priority will help us provide high quality insights and information to clients globally.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31, 2019, our employee headcount was 9,681, an increase of 1.1% in the last twelve months. Of our total employees, 2,351 are in the U.S., 1,282 in Europe and 6,048 in the Asia Pacific segment. In order to optimize productivity, we have invested in expanding our footprint and talent pool in India and the Philippines, where we now have a combined workforce of approximately 5,800 people. As of August 31, 2019, approximately 430 FactSet employees within certain French and German subsidiaries were represented by mandatory works councils, an amount consistent with fiscal 2018. No other employees are represented by collective bargaining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appointed Daniel Viens as Chief Human Resources Officer. In May 2019, we announced that John W. Wiseman, the Company’s Global Head of Sales and Client Solutions, would step down from his position on June 1, 2019, remaining at the company until August 31, 2019 to assist during the transition. In the same announcement, effective June 1, 2019, we appointed Franck A.R. Gossieaux as the Company's new Global Head of Sales and Client Solutions.</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Third-Party Content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aggregate content from over 1,000 third-party data suppliers, news sources, exchanges, brokers and contributors into our own dedicated single online service, which the client accesses to perform their analysis. We license content from premier providers of major global exchanges and data providers.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are not dependent on any one third-party data supplier in order to meet the needs of our clients. We have entered into third-party content agreements of varying lengths, which in some cases can be terminated on one year’s notice, at predefined dates, and in other cases on shorter notice. No single vendor or data supplier represented more than 10% of FactSet's total data costs during fiscal 2019, with the exception for one vendor, which is a supplier of risk models and portfolio optimizer data to FactSet and represented 11% of FactSet’s data costs in fiscal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Data Centers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on our ability to process substantial volumes of data and transactions rapidly and efficiently on our networks and systems. Our global technology infrastructure supports our operations and is designed to facilitate the reliable and efficient processing and delivery of data and analytics to our clients. Our data centers contain multiple layers of redundancy to enhance system performance, including maintaining, processing and storing data at multiple data centers. User connections are load balanced between data centers. In the event of a site failure, equipment problem or localized disaster, the remaining centers have the capacity to handle the additional load. We continue to be focused on maintaining a global technological infrastructure that allows us to support our growing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embarking on a set of programs that will increasingly move our systems and applications to cloud computing platforms. We continue to operate fully redundant data centers in both Virginia and New Jersey in the U.S. that can handle our entire client capacity. In addition, select workloads are migrating to diverse cloud computing regions utilizing premier, market-leading Cloud providers.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Landscape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part of the financial information services industry, providing accurate financial information and workflow solutions to the global investment community. This extremely competitive market is comprised of both large, well-capitalized companies and smaller, niche firms including market data suppliers, news and information providers and many of the content providers that supply us with financial information included in the FactSet workstation. Our largest competitors are Bloomberg L.P., Refinitiv (formerly part of Thomson Reuters), and S&amp;P Global Market Intelligence. Other competitors and competitive products include online database suppliers and integrators and their applications, such as MSCI Inc., Morningstar Inc., BlackRock Solutions and RIMES Technologies Corporation. Many of these firms offer products or services which are similar to those we sell. Our development of robust sets of proprietary content combined with our news and quotes offering have resulted in more direct competition with the largest financial data providers.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competing products and services, we enjoy high barriers to entry and believe it would be difficult for another vendor to quickly replicate the extensive databases we currently offer. Through our in-depth analytics and client service, we believe we can offer clients a more comprehensive solution with one of the broadest sets of functionalities, through a desktop or mobile user interface or through a standardized or bespoke data feed. In addition, our applications, including our client support and service offerings, are entrenched in the workflow of many financial professionals given the downloading functions and portfolio analysis/screening capabilities offered. We are entrusted with significant amounts of our clients' own proprietary data, including portfolio holdings. As a result, our products have become central to our clients’ investment analysis and decision-making.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key aspect of our growth strategy is to enhance our existing products and applications by making them faster with more reliable data. We strive to rapidly adopt new technology that can improve our products and services. At FactSet we do not have a separate research and product development department, but rather our product development and engineering departments work closely with our strategists, product managers, sales and other client-facing specialists to identify areas of improvement to provide increased value to our clients. Research and product development costs relate to the salary and benefits for our product development, software engineering and technical support staff. These costs are expensed as incurred within our cost of services as employee compensation. We intend to continue to invest in the development of new products and enhancements that will allow us to respond quickly to market changes and efficiently meet the needs of our clients. We incurred research and product development costs of $214.7 million, $217.1 million and $215.0 million during fiscal years 2019, 2018 and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FactSet is subject to reporting requirements, disclosure obligations and other recordkeeping requirements of the Securities and Exchange Commission (“SEC”) and the various local authorities that regulate each location in which we operate. The Company’s P.A.N. Securities, LP,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the Company maintain minimum net capital requirements. The Company claims exemption under Rule 15c3-3(k)(2)(i).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Corporate 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FactSet was founded as a Delaware corporation in 1978, and its principal executive office is in Norwalk, Connecticut.</w:t>
      </w:r>
    </w:p>
    <w:p>
      <w:pPr>
        <w:sectPr>
          <w:pgSz w:w="11900" w:h="16838" w:orient="portrait"/>
          <w:cols w:equalWidth="0" w:num="1">
            <w:col w:w="11420"/>
          </w:cols>
          <w:pgMar w:left="240" w:top="125" w:right="239" w:bottom="0" w:gutter="0" w:footer="0" w:header="0"/>
        </w:sectPr>
      </w:pPr>
    </w:p>
    <w:bookmarkStart w:id="6" w:name="page7"/>
    <w:bookmarkEnd w:id="6"/>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Mailing address of the Company’s headquarters: 601 Merritt 7, Norwalk, CT 06851 prior to January 1, 2020, and 45 Glover Avenue Norwalk, CT 06850,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+1 (203) 810-1000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www.factset.com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the Investor Relations section of FactSet’s website (https://investor.factset.com), we make available the following filings as soon as practicable after they are electronically filed with, or furnished to, the SEC: the Company’s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All such filings are available free of charge.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Additionally, we broadcast live our quarterly earnings calls via the investor relations section of our website. We also provide notifications of news or announcements regarding our financial performance, including SEC filings, investor events, press and earnings releases, and blogs as part of our investor relations website. The contents of this website section are not intended to be incorporated by reference into this Report on Form 10-K or in any other report or document the Company files and any reference to this section of our website is intended to be inactive textual references only.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FactSet Code of Business Conduct and Ethics is posted in the Investor Relations section of the Company’s website. The same information is available in print to any stockholder who submits a written request to the Company’s Investor Relations department. Any amendments to or waivers of such code that are required to be publicly disclosed by the applicable exchange rules or the SEC will be posted on our website. The Corporate Governance Guidelines and the charters of each of the committees of the Company’s Board of Directors, including the Audit Committee, Compensation and Talent Committee, and Nominating and Corporate Governance Committee are available on the Investor Relations section of our website. The same information is available in print, free of charge, to any stockholder who submits a written request to our Investor Relations department.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FactSet’s current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100" w:type="dxa"/>
            <w:vAlign w:val="bottom"/>
          </w:tcPr>
          <w:p>
            <w:pPr>
              <w:jc w:val="center"/>
              <w:ind w:left="810"/>
              <w:spacing w:after="0"/>
              <w:rPr>
                <w:sz w:val="20"/>
                <w:szCs w:val="20"/>
                <w:color w:val="auto"/>
              </w:rPr>
            </w:pPr>
            <w:r>
              <w:rPr>
                <w:rFonts w:ascii="Arial" w:cs="Arial" w:eastAsia="Arial" w:hAnsi="Arial"/>
                <w:sz w:val="18"/>
                <w:szCs w:val="18"/>
                <w:color w:val="auto"/>
                <w:w w:val="98"/>
              </w:rPr>
              <w:t>Officer</w:t>
            </w: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Name of Officer</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3"/>
              </w:rPr>
              <w:t>Age</w:t>
            </w:r>
          </w:p>
        </w:tc>
        <w:tc>
          <w:tcPr>
            <w:tcW w:w="6320" w:type="dxa"/>
            <w:vAlign w:val="bottom"/>
          </w:tcPr>
          <w:p>
            <w:pPr>
              <w:ind w:left="120"/>
              <w:spacing w:after="0"/>
              <w:rPr>
                <w:sz w:val="20"/>
                <w:szCs w:val="20"/>
                <w:color w:val="auto"/>
              </w:rPr>
            </w:pPr>
            <w:r>
              <w:rPr>
                <w:rFonts w:ascii="Arial" w:cs="Arial" w:eastAsia="Arial" w:hAnsi="Arial"/>
                <w:sz w:val="18"/>
                <w:szCs w:val="18"/>
                <w:color w:val="auto"/>
              </w:rPr>
              <w:t>Office Held with the Company</w:t>
            </w:r>
          </w:p>
        </w:tc>
        <w:tc>
          <w:tcPr>
            <w:tcW w:w="2100" w:type="dxa"/>
            <w:vAlign w:val="bottom"/>
          </w:tcPr>
          <w:p>
            <w:pPr>
              <w:jc w:val="center"/>
              <w:ind w:left="810"/>
              <w:spacing w:after="0"/>
              <w:rPr>
                <w:sz w:val="20"/>
                <w:szCs w:val="20"/>
                <w:color w:val="auto"/>
              </w:rPr>
            </w:pPr>
            <w:r>
              <w:rPr>
                <w:rFonts w:ascii="Arial" w:cs="Arial" w:eastAsia="Arial" w:hAnsi="Arial"/>
                <w:sz w:val="18"/>
                <w:szCs w:val="18"/>
                <w:color w:val="auto"/>
                <w:w w:val="88"/>
              </w:rPr>
              <w:t>Since</w:t>
            </w:r>
          </w:p>
        </w:tc>
      </w:tr>
      <w:tr>
        <w:trPr>
          <w:trHeight w:val="210"/>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 Philip Snow</w:t>
            </w:r>
          </w:p>
        </w:tc>
        <w:tc>
          <w:tcPr>
            <w:tcW w:w="86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89"/>
              </w:rPr>
              <w:t>55</w:t>
            </w:r>
          </w:p>
        </w:tc>
        <w:tc>
          <w:tcPr>
            <w:tcW w:w="63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Chief Executive Officer</w:t>
            </w:r>
          </w:p>
        </w:tc>
        <w:tc>
          <w:tcPr>
            <w:tcW w:w="210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2014</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Helen L. Shan</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52</w:t>
            </w:r>
          </w:p>
        </w:tc>
        <w:tc>
          <w:tcPr>
            <w:tcW w:w="63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100" w:type="dxa"/>
            <w:vAlign w:val="bottom"/>
          </w:tcPr>
          <w:p>
            <w:pPr>
              <w:jc w:val="center"/>
              <w:ind w:left="810"/>
              <w:spacing w:after="0"/>
              <w:rPr>
                <w:sz w:val="20"/>
                <w:szCs w:val="20"/>
                <w:color w:val="auto"/>
              </w:rPr>
            </w:pPr>
            <w:r>
              <w:rPr>
                <w:rFonts w:ascii="Arial" w:cs="Arial" w:eastAsia="Arial" w:hAnsi="Arial"/>
                <w:sz w:val="18"/>
                <w:szCs w:val="18"/>
                <w:color w:val="auto"/>
                <w:w w:val="89"/>
              </w:rPr>
              <w:t>2018</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Franck A.R. Gossieaux</w:t>
            </w:r>
          </w:p>
        </w:tc>
        <w:tc>
          <w:tcPr>
            <w:tcW w:w="8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49</w:t>
            </w: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 Global Head of Sales and Client Solutions</w:t>
            </w:r>
          </w:p>
        </w:tc>
        <w:tc>
          <w:tcPr>
            <w:tcW w:w="210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9"/>
              </w:rPr>
              <w:t>2019</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Rachel R. Stern</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54</w:t>
            </w:r>
          </w:p>
        </w:tc>
        <w:tc>
          <w:tcPr>
            <w:tcW w:w="6320" w:type="dxa"/>
            <w:vAlign w:val="bottom"/>
          </w:tcPr>
          <w:p>
            <w:pPr>
              <w:ind w:left="120"/>
              <w:spacing w:after="0"/>
              <w:rPr>
                <w:sz w:val="20"/>
                <w:szCs w:val="20"/>
                <w:color w:val="auto"/>
              </w:rPr>
            </w:pPr>
            <w:r>
              <w:rPr>
                <w:rFonts w:ascii="Arial" w:cs="Arial" w:eastAsia="Arial" w:hAnsi="Arial"/>
                <w:sz w:val="18"/>
                <w:szCs w:val="18"/>
                <w:color w:val="auto"/>
              </w:rPr>
              <w:t>Executive Vice President, General Counsel and Secretary</w:t>
            </w:r>
          </w:p>
        </w:tc>
        <w:tc>
          <w:tcPr>
            <w:tcW w:w="2100" w:type="dxa"/>
            <w:vAlign w:val="bottom"/>
          </w:tcPr>
          <w:p>
            <w:pPr>
              <w:jc w:val="center"/>
              <w:ind w:left="810"/>
              <w:spacing w:after="0"/>
              <w:rPr>
                <w:sz w:val="20"/>
                <w:szCs w:val="20"/>
                <w:color w:val="auto"/>
              </w:rPr>
            </w:pPr>
            <w:r>
              <w:rPr>
                <w:rFonts w:ascii="Arial" w:cs="Arial" w:eastAsia="Arial" w:hAnsi="Arial"/>
                <w:sz w:val="18"/>
                <w:szCs w:val="18"/>
                <w:color w:val="auto"/>
                <w:w w:val="89"/>
              </w:rPr>
              <w:t>2009</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Gene D. Fernandez</w:t>
            </w:r>
          </w:p>
        </w:tc>
        <w:tc>
          <w:tcPr>
            <w:tcW w:w="8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52</w:t>
            </w: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 Chief Technology and Product Officer</w:t>
            </w:r>
          </w:p>
        </w:tc>
        <w:tc>
          <w:tcPr>
            <w:tcW w:w="210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9"/>
              </w:rPr>
              <w:t>2017</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Robert J. Robie</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41</w:t>
            </w:r>
          </w:p>
        </w:tc>
        <w:tc>
          <w:tcPr>
            <w:tcW w:w="6320" w:type="dxa"/>
            <w:vAlign w:val="bottom"/>
          </w:tcPr>
          <w:p>
            <w:pPr>
              <w:ind w:left="120"/>
              <w:spacing w:after="0"/>
              <w:rPr>
                <w:sz w:val="20"/>
                <w:szCs w:val="20"/>
                <w:color w:val="auto"/>
              </w:rPr>
            </w:pPr>
            <w:r>
              <w:rPr>
                <w:rFonts w:ascii="Arial" w:cs="Arial" w:eastAsia="Arial" w:hAnsi="Arial"/>
                <w:sz w:val="18"/>
                <w:szCs w:val="18"/>
                <w:color w:val="auto"/>
              </w:rPr>
              <w:t>Executive Vice President, Head of Analytics and Trading</w:t>
            </w:r>
          </w:p>
        </w:tc>
        <w:tc>
          <w:tcPr>
            <w:tcW w:w="2100" w:type="dxa"/>
            <w:vAlign w:val="bottom"/>
          </w:tcPr>
          <w:p>
            <w:pPr>
              <w:jc w:val="center"/>
              <w:ind w:left="810"/>
              <w:spacing w:after="0"/>
              <w:rPr>
                <w:sz w:val="20"/>
                <w:szCs w:val="20"/>
                <w:color w:val="auto"/>
              </w:rPr>
            </w:pPr>
            <w:r>
              <w:rPr>
                <w:rFonts w:ascii="Arial" w:cs="Arial" w:eastAsia="Arial" w:hAnsi="Arial"/>
                <w:sz w:val="18"/>
                <w:szCs w:val="18"/>
                <w:color w:val="auto"/>
                <w:w w:val="89"/>
              </w:rPr>
              <w:t>2018</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Daniel Viens</w:t>
            </w:r>
          </w:p>
        </w:tc>
        <w:tc>
          <w:tcPr>
            <w:tcW w:w="8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62</w:t>
            </w: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Chief Human Resources Officer</w:t>
            </w:r>
          </w:p>
        </w:tc>
        <w:tc>
          <w:tcPr>
            <w:tcW w:w="210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9"/>
              </w:rPr>
              <w:t>2018</w:t>
            </w: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F. Philip Snow – Chief Executive Officer</w:t>
      </w:r>
      <w:r>
        <w:rPr>
          <w:rFonts w:ascii="Arial" w:cs="Arial" w:eastAsia="Arial" w:hAnsi="Arial"/>
          <w:sz w:val="16"/>
          <w:szCs w:val="16"/>
          <w:color w:val="auto"/>
        </w:rPr>
        <w:t>. Mr. Snow was named Chief Executive Officer effective July 1, 2015. Prior to that, Mr. Snow held the title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Helen L. Shan – Executive Vice President and Chief Financial Officer. </w:t>
      </w:r>
      <w:r>
        <w:rPr>
          <w:rFonts w:ascii="Arial" w:cs="Arial" w:eastAsia="Arial" w:hAnsi="Arial"/>
          <w:sz w:val="16"/>
          <w:szCs w:val="16"/>
          <w:color w:val="auto"/>
        </w:rPr>
        <w:t>Ms. Shan joined FactSet in September 2018 from Marsh and McLennan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she was CFO for Mercer, a professional services firm. During her time at Mercer, Ms. Shan was responsible for global financial reporting and performance, operational finance, investments, and corporate strategy, leading a team of finance professionals supporting clients in over 130 countries. Preceding her tenure as the CFO for Mercer, Ms. Shan also served as the Vice President and Treasurer for Marsh and McLennan Companies, with additional prior experience in the same position with Pitney Bowes Inc. and served as a Managing Director at J.P. Morgan. In September 2018, Ms. Shan joined the Board of Directors of EPAM Systems Inc., a global provider of digital platform engineering and software development services.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Frank A.R. Gossieaux – Executive Vice President, Global Head of Sales and Client Solutions. </w:t>
      </w:r>
      <w:r>
        <w:rPr>
          <w:rFonts w:ascii="Arial" w:cs="Arial" w:eastAsia="Arial" w:hAnsi="Arial"/>
          <w:sz w:val="18"/>
          <w:szCs w:val="18"/>
          <w:color w:val="auto"/>
        </w:rPr>
        <w:t>Mr. Gossieaux joined FactSet in September 2004.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Gossieaux held multiple senior leadership roles at FactSet in both Europe and North America including Senior Vice President of Americas Sales, Senior Vice President of EMEA Sales, and Senior Vice President of International Investment Management. Mr. Gossieaux received a Bachelor of Science in Economics from the University Pantheon-Assas (Sorbonne-Assas) in Paris.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Rachel R. Stern – Executive Vice President, Strategic Resources and General Counsel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Stern joined FactSet in January 2001 as General Counsel.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to her role in the Legal Department, Ms. Stern is also responsible for Compliance, Facilities and Real Estate Planning, and the administration of our offices in Hyderabad, Manila and Riga. Ms. Stern is admitted to practice in New York, Washington D.C., and as House Counsel in Connecticut. Ms. Stern received a Bachelor of Arts from Yale University, a Master of Arts from the University of London and a Juris Doctor from the University of Pennsylvania Law School.</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Gene D. Fernandez – Executive Vice President, Chief Technology and Product Officer. </w:t>
      </w:r>
      <w:r>
        <w:rPr>
          <w:rFonts w:ascii="Arial" w:cs="Arial" w:eastAsia="Arial" w:hAnsi="Arial"/>
          <w:sz w:val="16"/>
          <w:szCs w:val="16"/>
          <w:color w:val="auto"/>
        </w:rPr>
        <w:t>Mr. Fernandez joined FactSet in November 2017 from J.P. Morgan,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served as the Chief Technology Officer, New Product Development. In this role, he developed the strategy and built the engineering function</w:t>
      </w:r>
    </w:p>
    <w:p>
      <w:pPr>
        <w:sectPr>
          <w:pgSz w:w="11900" w:h="16962" w:orient="portrait"/>
          <w:cols w:equalWidth="0" w:num="1">
            <w:col w:w="11420"/>
          </w:cols>
          <w:pgMar w:left="240" w:top="125" w:right="239" w:bottom="0" w:gutter="0" w:footer="0" w:header="0"/>
        </w:sectPr>
      </w:pPr>
    </w:p>
    <w:bookmarkStart w:id="7" w:name="page8"/>
    <w:bookmarkEnd w:id="7"/>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responsible for new product innovation. During a decade at J.P. Morgan, Mr. Fernandez held various other roles, including Chief Technology Officer for Client Technology and Research and Banking Information Technology. Prior to J.P. Morgan, he worked at Credit Suisse and Merrill Lynch. Mr. Fernandez received a Bachelor of Science in Computer Science and Economics from Rutgers University.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Robert J. Robie – Executive Vice President, Head of Analytics and Trading Solutions. </w:t>
      </w:r>
      <w:r>
        <w:rPr>
          <w:rFonts w:ascii="Arial" w:cs="Arial" w:eastAsia="Arial" w:hAnsi="Arial"/>
          <w:sz w:val="17"/>
          <w:szCs w:val="17"/>
          <w:color w:val="auto"/>
        </w:rPr>
        <w:t>Mr. Robie joined FactSet in July 2000 as a Product Sales Specialist.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his tenure at FactSet, Mr. Robie has held several positions of increasing responsibility, including Senior Director of Analytics and Director of Global Fixed Income and Analytics, where he led sales and support efforts for FactSet’s fixed income product offering. Although Mr. Robie joined FactSet in 2000, he did work at BTN Partners from 2004 through 2005 in their quantitative portfolio management and performance division, before returning to continue his career with FactSet. Mr. Robie holds a Bachelor of Arts in Economics from Beloit College.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Daniel Viens – Senior Vice President, Chief Human Resources Officer. </w:t>
      </w:r>
      <w:r>
        <w:rPr>
          <w:rFonts w:ascii="Arial" w:cs="Arial" w:eastAsia="Arial" w:hAnsi="Arial"/>
          <w:sz w:val="18"/>
          <w:szCs w:val="18"/>
          <w:color w:val="auto"/>
        </w:rPr>
        <w:t>Mr. Viens joined FactSet in September 1998 as a Vice President, Director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has held several leadership positions of increased responsibility in Human Resources. Prior to joining FactSet, Mr. Viens was a Director of Human Resources for First Data Solutions and Donnelly Marketing (a former company of Dun &amp; Bradstreet), where he developed significant Human Resources acumen. Mr. Viens graduated from Boston University, and holds both a Master's Degree from Eastern Illinois University in Clinical Psychology, and a Master of Business Administration from Columbia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with respect to FactSet’s business is included in the following pages and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Page(s)</w:t>
            </w: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Five-Year Summary of Selected Financial Data</w:t>
            </w:r>
          </w:p>
        </w:tc>
        <w:tc>
          <w:tcPr>
            <w:tcW w:w="29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900" w:type="dxa"/>
            <w:vAlign w:val="bottom"/>
          </w:tcPr>
          <w:p>
            <w:pPr>
              <w:ind w:left="20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9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Note 1 to Consolidated Financial Statements entitled Organization and Nature of Business</w:t>
            </w:r>
          </w:p>
        </w:tc>
        <w:tc>
          <w:tcPr>
            <w:tcW w:w="2900" w:type="dxa"/>
            <w:vAlign w:val="bottom"/>
          </w:tcPr>
          <w:p>
            <w:pPr>
              <w:ind w:left="200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Note 8 to Consolidated Financial Statements entitled Segment Information</w:t>
            </w:r>
          </w:p>
        </w:tc>
        <w:tc>
          <w:tcPr>
            <w:tcW w:w="29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risks could materially and adversely affect our business, financial condition, cash flows, results of operations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Report on Form 10-K, including “Management’s Discussion and Analysis of Financial Condition and Results of Operations” and our financial statements including the related notes. Investors should carefully consider all risks, including those disclosed,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corruption and misappropriation of data and information relating to clients and others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products, as well as our internal systems and processes, involve the storage and transmission of our own, as well as supplier and customer proprietary information and sensitive or confidential data. This includes data from client portfolios and strategies. Breaches of this confidentiality, should they occur, could result in the loss of clients and termination of arrangements with suppliers for the use of their data. If we fail to maintain the adequacy of our internal controls, unauthorized access or misappropriation of client or supplier data by an employee or an external third-party could occur.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Many jurisdictions in which we operate have laws and regulations relating to data privacy and protection of personal information, including the European Union General Data Protection Regulation which became effective May 25, 2018, and California's Consumer Privacy Act, effective January 1, 2020. Both require companies to satisfy requirements regarding the handling of personal and sensitive data, including our use, protection and the ability of persons whose data is stored to correct or delete such data about themselves. The law in this area continues to develop and the changing nature of privacy laws could impact our processing of personal and sensitive information related to our content, operations, employees, clients, and suppliers, and may expose us to claims of violations.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cyber-attacks and the failure of cyber-security systems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providing our digital-enabled services to clients, we rely on information technology infrastructure that is primarily managed internally, along with some reliance placed on third-party service providers. We and these third-party service providers are subject to the risks of system failures and security breaches, including cyber-attacks, such as phishing scams, viruses and denials of service attacks, as well as employee errors or malfeasance. Our protective systems and procedures and those of third parties to which we are connected, such as cloud computing providers, may not be effective against these threats. 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w:t>
      </w:r>
    </w:p>
    <w:p>
      <w:pPr>
        <w:sectPr>
          <w:pgSz w:w="11900" w:h="16885" w:orient="portrait"/>
          <w:cols w:equalWidth="0" w:num="1">
            <w:col w:w="11420"/>
          </w:cols>
          <w:pgMar w:left="240" w:top="125" w:right="239" w:bottom="0" w:gutter="0" w:footer="0" w:header="0"/>
        </w:sectPr>
      </w:pPr>
    </w:p>
    <w:bookmarkStart w:id="8" w:name="page9"/>
    <w:bookmarkEnd w:id="8"/>
    <w:p>
      <w:pPr>
        <w:spacing w:after="0" w:line="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acts of war, civil unrest, Internet failures, computer viruses,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industry may cause price reductions or loss of market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continued shift from active to passive investing could negatively impact user count growth and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equity and/or fixed income returns may impact the buying power of investment management clients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Approximately 83.7% of our ASV is derived from our investment management clients. The profitability and management fees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services and workstations, which could negatively affect our business.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our products is characterized by rapid technological change, including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Our failure or inability to anticipate and respond to changes in the marketplace, including competitor and supplier developments, may also adversely affect our business, operations and growth.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consolidation and business failures in the global investment banking industry may cause us to lose clients and users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investment banking clients that perform mergers and acquisitions ("M&amp;A") advisory work, capital markets services and equity research, account for approximately 16.3% of our ASV. A significant portion of these revenues relate to services deployed by the largest banks. Consolidation or contraction in this industry directly impacts the number of prospective clients and users within the sector. Thus, economic uncertainty for our global investment banking clients, consolidation and business failures in this sector could adversely affect our financial results and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financial markets may delay the spending pattern of clients and reduce future ASV growth</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These characteristics often lead us to engage in relatively lengthy sales efforts. Purchases (and incremental ASV) may therefore be delayed as uncertainties in the financial markets may cause clients to remain cautious about capital and data content expenditures, particularly in uncertain economic environments.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cost due to tax assessments resulting from ongoing and future audits by tax authorities as well as changes in tax laws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we are subject to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August 2019, FactSet received a Notice of Intent to Assess (the “Notice”) additional sales taxes, interest and underpayment penalties from the Commonwealth of Massachusetts Department of Revenue relating to prior tax periods. The Notice follows FactSet’s previously disclosed response to a letter from the Commonwealth requesting additional sales information. Based upon a preliminary review of the Notice, the Company believes the Commonwealth may assess sales tax, interest and underpayment penalties on previously recorded sales transactions. The Company</w:t>
      </w:r>
    </w:p>
    <w:p>
      <w:pPr>
        <w:sectPr>
          <w:pgSz w:w="11900" w:h="16907" w:orient="portrait"/>
          <w:cols w:equalWidth="0" w:num="1">
            <w:col w:w="11420"/>
          </w:cols>
          <w:pgMar w:left="240" w:top="125" w:right="239" w:bottom="0" w:gutter="0" w:footer="0" w:header="0"/>
        </w:sectPr>
      </w:pPr>
    </w:p>
    <w:bookmarkStart w:id="9" w:name="page10"/>
    <w:bookmarkEnd w:id="9"/>
    <w:p>
      <w:pPr>
        <w:spacing w:after="0" w:line="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intends to contest any such assessment, if assessed, and continues to cooperate with the Commonwealth’s inquiry. Due to uncertainty surrounding the assessment process, the Company is unable to reasonably estimate the ultimate outcome of this matter and, as such, has not recorded a liability as of August 31, 2019. While FactSet believes that it will ultimately prevail if the Company is presented with a formal assessment; if FactSet does not prevail, the amount could have a material impact on the Company’s consolidated financial position, cash flows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Changes in tax laws or the terms of tax treaties in a jurisdiction where we are subject to tax could increase our taxes payable. On December 22, 2017, the U.S. Tax Cuts and Jobs Act, ("TCJA") was signed into law. The TCJA enacted broad changes to the U.S. Internal Revenue code, including reducing the federal corporate income tax rate from 35% to 21%, amongst many other complex provisions. The ultimate impact of such tax reform may differ from our current estimate due to changes in interpretations and assumptions made by us as well as the issuance of further regulations or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identify, integrate, or realize anticipated benefits of acquisitions and strains on resources as a result of growth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can be no assurance that we will be able to identify suitable candidates for successful acquisition at acceptable prices. Additionally, there may be integration risks or other risks resulting from acquired businesses.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enter into or renew contracts supplying new and existing data sets or products on competitive terms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collect and aggregate third-party content from thousands of data suppliers, news sources, exchanges, brokers and contributors into our own dedicated online service, which clients access to perform their analyses. Clients have access to the data and content found within our databases.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We also make efforts, when reasonable, to locate alternative sources to ensure we are not dependent on any one third-party data supplier. We believe we are not dependent on any one significant third-party data supplier. Our failure to be able to maintain these relationships or the failure of our suppliers to deliver accurate data or in a timely manner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hire and retain key qualified personnel</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is based on successfully attracting, motivating and retaining talented employees. Competition for talent, especially engineering personnel, is strong. We need technical resources such as engineers to help develop new products and enhance existing services. We rely upon sales personnel to sell our products and services and maintain healthy business relationships. If we are unsuccessful in our recruiting efforts, or if we are unable to retain key employees, our ability to develop and deliver successful products and services may be adversely affected and could have a material, adverse effect on our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our business and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claim we infringe upon their intellectual property rights or may infringe upon our intellectual property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outside the U.S. involve additional requirements and burdens that we may not be able to control or manage successfully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fiscal 2019, approximately 38% of our revenue related to operations located outside the U.S. In addition, a significant number of our employees, approximately 76%, are located in offices outside the U.S. We expect our growth to continue outside the U.S., with non-U.S. revenues accounting for an increased portion of total revenue in the future.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languages; diverse or less stable political, operating and economic environments and market fluctuations; civil disturbances or other catastrophic events that reduce business activity;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ectPr>
          <w:pgSz w:w="11900" w:h="16845"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Exposure to fluctuations in currency exchange rates and the failure of hedging arrangements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Due to the global nature of our operations, we conduct business outside the U.S. in several currencies including the Euro, Indian Rupee, Philippine Peso, British Pound Sterling, and Japanese Yen. To the extent our international activities increase in the future, our exposure to fluctuations in currency exchange rates may increase as well. To manage this exposure, we utilize derivative instruments (such as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our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In the European Union, the new version of the Markets in Financial Instruments Directive (recast), also known as “MiFID II” became effective in January 2018.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In addition to the MiFID II requirements, we further believe the proposed withdrawal of the U.K. from the European Union (also known as Brexit) on terms still being negotiated, has created economic uncertainty among our client base. This uncertainty may have an impact on our clients’ expansion or spending plans, which may in turn negatively impact our revenue or growth.</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business, we are also subject to numerous laws and regulations in the U.S. and in the other countries in which we operate. These laws, rules, and regulations, and their interpretations, may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or governmental investigations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lawsuits in the normal course of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Legal Proceedings, contained in Part I of this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reputation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enjoy a positive reputation in the marketplace. Our ability to attract and retain clients and employees is affected by external perceptions of our brand and reputation. Reputational damage from negative perceptions or publicity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August 31, 2019, we leased approximately 202,000 square feet of office space at our headquarters in Norwalk, Connecticut. On February 14, 2018, we entered into a new lease agreement to relocate our corporate headquarters to 45 Glover Avenue in Norwalk, Connecticut. The new location will comprise approximately 173,000 square feet of office space. We took possession of the newly leased property on January 1, 2019, for fit-out purposes. We will continue to occupy our existing headquarters space until the new headquarters is ready for occupancy, currently estimated to be in the second quarter of fiscal 2020.</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data content collection offices located in India, the Philippines and Latvia, which benefit all our operating segments. Additionally, we have data centers that support our technological infrastructure located in New Jersey and Virginia. The other locations listed in the table below are leased office space. The leases expire on various dates through 2035. We believe the amount of leased space as of August 31, 2019 is adequate for our current needs and that additional space can be available to meet any future needs.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Including new lease agreements executed during fiscal 2019, our Company’s worldwide leased space increased to approximately 1,860,000 square feet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up 110,000 square feet, or 6.3%, from August 31, 2018 and includes properties at the following locations:</w:t>
      </w:r>
    </w:p>
    <w:p>
      <w:pPr>
        <w:spacing w:after="0" w:line="20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Segment</w:t>
      </w:r>
      <w:r>
        <w:rPr>
          <w:sz w:val="20"/>
          <w:szCs w:val="20"/>
          <w:color w:val="auto"/>
        </w:rPr>
        <w:tab/>
      </w:r>
      <w:r>
        <w:rPr>
          <w:rFonts w:ascii="Arial" w:cs="Arial" w:eastAsia="Arial" w:hAnsi="Arial"/>
          <w:sz w:val="18"/>
          <w:szCs w:val="18"/>
          <w:b w:val="1"/>
          <w:bCs w:val="1"/>
          <w:color w:val="auto"/>
        </w:rPr>
        <w:t>Leased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 w:name="page12"/>
    <w:bookmarkEnd w:id="1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Atlanta, Georgia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Austin, 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Boston, Massachusetts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Chicago, Illinois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Jackson, Wyoming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Los Angeles, 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Manchester, New Hampshire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Minneapolis, Minnesota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Norwalk, Connecticut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Piscataway, New Jersey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Reston, Virginia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San Francisco, 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Sao Paulo, 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Toronto,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Youngstown, Ohio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Europe</w:t>
            </w:r>
          </w:p>
        </w:tc>
        <w:tc>
          <w:tcPr>
            <w:tcW w:w="8120" w:type="dxa"/>
            <w:vAlign w:val="bottom"/>
          </w:tcPr>
          <w:p>
            <w:pPr>
              <w:ind w:left="2420"/>
              <w:spacing w:after="0"/>
              <w:rPr>
                <w:sz w:val="20"/>
                <w:szCs w:val="20"/>
                <w:color w:val="auto"/>
              </w:rPr>
            </w:pPr>
            <w:r>
              <w:rPr>
                <w:rFonts w:ascii="Arial" w:cs="Arial" w:eastAsia="Arial" w:hAnsi="Arial"/>
                <w:sz w:val="18"/>
                <w:szCs w:val="18"/>
                <w:color w:val="auto"/>
              </w:rPr>
              <w:t>Avon, 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Amsterdam, 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Cologne, 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Dubai, United Arab Emirates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Frankfurt, 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Gloucester, 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Johannesburg, 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London, 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Luxembourg City, 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Madrid,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Milan,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Paris, 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Riga, Latvia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Sofia, Bulgaria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Zurich, Switzerland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Asia Pacific</w:t>
            </w:r>
          </w:p>
        </w:tc>
        <w:tc>
          <w:tcPr>
            <w:tcW w:w="8120" w:type="dxa"/>
            <w:vAlign w:val="bottom"/>
          </w:tcPr>
          <w:p>
            <w:pPr>
              <w:ind w:left="2420"/>
              <w:spacing w:after="0"/>
              <w:rPr>
                <w:sz w:val="20"/>
                <w:szCs w:val="20"/>
                <w:color w:val="auto"/>
              </w:rPr>
            </w:pPr>
            <w:r>
              <w:rPr>
                <w:rFonts w:ascii="Arial" w:cs="Arial" w:eastAsia="Arial" w:hAnsi="Arial"/>
                <w:sz w:val="18"/>
                <w:szCs w:val="18"/>
                <w:color w:val="auto"/>
              </w:rPr>
              <w:t>Chennai, 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Hong Kong,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Hyderabad, 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Manila, the Philippines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Melbourne, 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Mumbai, 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Shanghai,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120" w:type="dxa"/>
            <w:vAlign w:val="bottom"/>
          </w:tcPr>
          <w:p>
            <w:pPr>
              <w:ind w:left="2420"/>
              <w:spacing w:after="0"/>
              <w:rPr>
                <w:sz w:val="20"/>
                <w:szCs w:val="20"/>
                <w:color w:val="auto"/>
              </w:rPr>
            </w:pPr>
            <w:r>
              <w:rPr>
                <w:rFonts w:ascii="Arial" w:cs="Arial" w:eastAsia="Arial" w:hAnsi="Arial"/>
                <w:sz w:val="18"/>
                <w:szCs w:val="18"/>
                <w:color w:val="auto"/>
              </w:rPr>
              <w:t>Sydney, 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1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Tokyo, Japan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120" w:type="dxa"/>
            <w:vAlign w:val="bottom"/>
          </w:tcPr>
          <w:p>
            <w:pPr>
              <w:ind w:left="23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is subject to legal proceedings, claims and litigation arising in the ordinary course of business, including intellectual property litigation. Based on currently available information, the Company’s management does not believe that the ultimate outcome of these unresolved matters against FactSet, individually or in the aggregate, is likely to have a material adverse effect on the Company's consolidated financial position, its annual results of operations or its annual cash flows. However, these matters are subject to inherent uncertainties and management’s view of these matters may change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Market Information, Holders and Dividends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Market Information </w:t>
      </w:r>
      <w:r>
        <w:rPr>
          <w:rFonts w:ascii="Arial" w:cs="Arial" w:eastAsia="Arial" w:hAnsi="Arial"/>
          <w:sz w:val="17"/>
          <w:szCs w:val="17"/>
          <w:color w:val="auto"/>
        </w:rPr>
        <w:t>– Our common stock is listed on the New York Stock Exchange (“NYSE”) and the NASDAQ Stock Market under the symbol FDS.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table sets forth, for each fiscal period indicated, the high and low sales prices per share of our common stock as reported on the NYSE:</w:t>
      </w:r>
    </w:p>
    <w:p>
      <w:pPr>
        <w:spacing w:after="0" w:line="156" w:lineRule="exact"/>
        <w:rPr>
          <w:sz w:val="20"/>
          <w:szCs w:val="20"/>
          <w:color w:val="auto"/>
        </w:rPr>
      </w:pPr>
    </w:p>
    <w:p>
      <w:pPr>
        <w:ind w:left="6460"/>
        <w:spacing w:after="0"/>
        <w:tabs>
          <w:tab w:leader="none" w:pos="7740" w:val="left"/>
          <w:tab w:leader="none" w:pos="9140" w:val="left"/>
          <w:tab w:leader="none" w:pos="104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b w:val="1"/>
          <w:bCs w:val="1"/>
          <w:color w:val="auto"/>
        </w:rPr>
        <w:t>Third</w:t>
      </w:r>
      <w:r>
        <w:rPr>
          <w:sz w:val="20"/>
          <w:szCs w:val="20"/>
          <w:color w:val="auto"/>
        </w:rPr>
        <w:tab/>
      </w:r>
      <w:r>
        <w:rPr>
          <w:rFonts w:ascii="Arial" w:cs="Arial" w:eastAsia="Arial" w:hAnsi="Arial"/>
          <w:sz w:val="17"/>
          <w:szCs w:val="17"/>
          <w:b w:val="1"/>
          <w:bCs w:val="1"/>
          <w:color w:val="auto"/>
        </w:rPr>
        <w:t>Fourth</w:t>
      </w:r>
    </w:p>
    <w:p>
      <w:pPr>
        <w:sectPr>
          <w:pgSz w:w="11900" w:h="16852" w:orient="portrait"/>
          <w:cols w:equalWidth="0" w:num="1">
            <w:col w:w="11420"/>
          </w:cols>
          <w:pgMar w:left="240" w:top="140" w:right="239" w:bottom="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52" w:orient="portrait"/>
          <w:cols w:equalWidth="0" w:num="1">
            <w:col w:w="11420"/>
          </w:cols>
          <w:pgMar w:left="240" w:top="140"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High</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237.29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237.95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284.32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305.38</w:t>
            </w: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3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210.11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266.06</w:t>
            </w:r>
          </w:p>
        </w:tc>
      </w:tr>
      <w:tr>
        <w:trPr>
          <w:trHeight w:val="223"/>
        </w:trPr>
        <w:tc>
          <w:tcPr>
            <w:tcW w:w="20" w:type="dxa"/>
            <w:vAlign w:val="bottom"/>
          </w:tcPr>
          <w:p>
            <w:pPr>
              <w:spacing w:after="0"/>
              <w:rPr>
                <w:sz w:val="19"/>
                <w:szCs w:val="19"/>
                <w:color w:val="auto"/>
              </w:rPr>
            </w:pPr>
          </w:p>
        </w:tc>
        <w:tc>
          <w:tcPr>
            <w:tcW w:w="3280" w:type="dxa"/>
            <w:vAlign w:val="bottom"/>
            <w:tcBorders>
              <w:top w:val="single" w:sz="8" w:color="auto"/>
              <w:bottom w:val="single" w:sz="8" w:color="auto"/>
            </w:tcBorders>
          </w:tcPr>
          <w:p>
            <w:pPr>
              <w:spacing w:after="0"/>
              <w:rPr>
                <w:sz w:val="19"/>
                <w:szCs w:val="19"/>
                <w:color w:val="auto"/>
              </w:rPr>
            </w:pPr>
          </w:p>
        </w:tc>
        <w:tc>
          <w:tcPr>
            <w:tcW w:w="3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3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High</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200.31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217.36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229.98</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3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155.88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183.89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195.69</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Holders of Record </w:t>
      </w:r>
      <w:r>
        <w:rPr>
          <w:rFonts w:ascii="Arial" w:cs="Arial" w:eastAsia="Arial" w:hAnsi="Arial"/>
          <w:sz w:val="17"/>
          <w:szCs w:val="17"/>
          <w:color w:val="auto"/>
        </w:rPr>
        <w:t>– As of October 24, 2019, we had approximately 199,571 holders of record of our common stock. However, because many of our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are held by brokers and other institutions on behalf of stockholders, we are unable to estimate the total number of stockholders represented by these record holders. The closing price of our common stock on October 24, 2019, was $253.22 per share as reported on the NYSE.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During fiscal years 2019 and 2018, our Board of Directors declared the following dividends on our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0"/>
              </w:rPr>
              <w:t>Dividends per</w:t>
            </w: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8"/>
              </w:rPr>
              <w:t>Share of</w:t>
            </w: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w w:val="94"/>
              </w:rPr>
              <w:t>Total $ Amount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Year Ended</w:t>
            </w: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Common Stock</w:t>
            </w:r>
          </w:p>
        </w:tc>
        <w:tc>
          <w:tcPr>
            <w:tcW w:w="1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Record Date</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i w:val="1"/>
                <w:iCs w:val="1"/>
                <w:color w:val="auto"/>
                <w:w w:val="96"/>
              </w:rPr>
              <w:t>(in thousands)</w:t>
            </w: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Fiscal 2019</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920" w:type="dxa"/>
            <w:vAlign w:val="bottom"/>
          </w:tcPr>
          <w:p>
            <w:pPr>
              <w:ind w:left="100"/>
              <w:spacing w:after="0"/>
              <w:rPr>
                <w:sz w:val="20"/>
                <w:szCs w:val="20"/>
                <w:color w:val="auto"/>
              </w:rPr>
            </w:pPr>
            <w:r>
              <w:rPr>
                <w:rFonts w:ascii="Arial" w:cs="Arial" w:eastAsia="Arial" w:hAnsi="Arial"/>
                <w:sz w:val="18"/>
                <w:szCs w:val="18"/>
                <w:color w:val="auto"/>
              </w:rPr>
              <w:t>November 30, 2018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24,372</w:t>
            </w:r>
          </w:p>
        </w:tc>
        <w:tc>
          <w:tcPr>
            <w:tcW w:w="1940" w:type="dxa"/>
            <w:vAlign w:val="bottom"/>
          </w:tcPr>
          <w:p>
            <w:pPr>
              <w:ind w:left="12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28, 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24,385</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1920" w:type="dxa"/>
            <w:vAlign w:val="bottom"/>
          </w:tcPr>
          <w:p>
            <w:pPr>
              <w:ind w:left="100"/>
              <w:spacing w:after="0"/>
              <w:rPr>
                <w:sz w:val="20"/>
                <w:szCs w:val="20"/>
                <w:color w:val="auto"/>
              </w:rPr>
            </w:pPr>
            <w:r>
              <w:rPr>
                <w:rFonts w:ascii="Arial" w:cs="Arial" w:eastAsia="Arial" w:hAnsi="Arial"/>
                <w:sz w:val="18"/>
                <w:szCs w:val="18"/>
                <w:color w:val="auto"/>
              </w:rPr>
              <w:t>May 31, 2019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27,506</w:t>
            </w:r>
          </w:p>
        </w:tc>
        <w:tc>
          <w:tcPr>
            <w:tcW w:w="1940" w:type="dxa"/>
            <w:vAlign w:val="bottom"/>
          </w:tcPr>
          <w:p>
            <w:pPr>
              <w:ind w:left="120"/>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30, 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19,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920" w:type="dxa"/>
            <w:vAlign w:val="bottom"/>
          </w:tcPr>
          <w:p>
            <w:pPr>
              <w:ind w:left="100"/>
              <w:spacing w:after="0"/>
              <w:rPr>
                <w:sz w:val="20"/>
                <w:szCs w:val="20"/>
                <w:color w:val="auto"/>
              </w:rPr>
            </w:pPr>
            <w:r>
              <w:rPr>
                <w:rFonts w:ascii="Arial" w:cs="Arial" w:eastAsia="Arial" w:hAnsi="Arial"/>
                <w:sz w:val="18"/>
                <w:szCs w:val="18"/>
                <w:color w:val="auto"/>
              </w:rPr>
              <w:t>November 30, 2017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21,902</w:t>
            </w:r>
          </w:p>
        </w:tc>
        <w:tc>
          <w:tcPr>
            <w:tcW w:w="1940" w:type="dxa"/>
            <w:vAlign w:val="bottom"/>
          </w:tcPr>
          <w:p>
            <w:pPr>
              <w:ind w:left="12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28, 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21,799</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920" w:type="dxa"/>
            <w:vAlign w:val="bottom"/>
          </w:tcPr>
          <w:p>
            <w:pPr>
              <w:ind w:left="100"/>
              <w:spacing w:after="0"/>
              <w:rPr>
                <w:sz w:val="20"/>
                <w:szCs w:val="20"/>
                <w:color w:val="auto"/>
              </w:rPr>
            </w:pPr>
            <w:r>
              <w:rPr>
                <w:rFonts w:ascii="Arial" w:cs="Arial" w:eastAsia="Arial" w:hAnsi="Arial"/>
                <w:sz w:val="18"/>
                <w:szCs w:val="18"/>
                <w:color w:val="auto"/>
              </w:rPr>
              <w:t>May 31, 2018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24,566</w:t>
            </w:r>
          </w:p>
        </w:tc>
        <w:tc>
          <w:tcPr>
            <w:tcW w:w="1940" w:type="dxa"/>
            <w:vAlign w:val="bottom"/>
          </w:tcPr>
          <w:p>
            <w:pPr>
              <w:ind w:left="120"/>
              <w:spacing w:after="0"/>
              <w:rPr>
                <w:sz w:val="20"/>
                <w:szCs w:val="20"/>
                <w:color w:val="auto"/>
              </w:rPr>
            </w:pPr>
            <w:r>
              <w:rPr>
                <w:rFonts w:ascii="Arial" w:cs="Arial" w:eastAsia="Arial" w:hAnsi="Arial"/>
                <w:sz w:val="18"/>
                <w:szCs w:val="18"/>
                <w:color w:val="auto"/>
              </w:rPr>
              <w:t>June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31, 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24,443</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18,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the above cash dividends were paid from existing cash resources on a quarterly basis. Future dividend payments will depend on our earnings, capital requirements, financial condition and other factors considered relevant by us, and is subject to final determination by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 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equity securities during fiscal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month-to-month summary of the share repurchase activity under the current stock repurchase program during the three months ended August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Maximum number</w:t>
            </w:r>
          </w:p>
        </w:tc>
      </w:tr>
      <w:tr>
        <w:trPr>
          <w:trHeight w:val="216"/>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of shares</w:t>
            </w:r>
          </w:p>
        </w:tc>
      </w:tr>
      <w:tr>
        <w:trPr>
          <w:trHeight w:val="216"/>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(or approximate</w:t>
            </w:r>
          </w:p>
        </w:tc>
      </w:tr>
      <w:tr>
        <w:trPr>
          <w:trHeight w:val="216"/>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dollar</w:t>
            </w:r>
          </w:p>
        </w:tc>
      </w:tr>
      <w:tr>
        <w:trPr>
          <w:trHeight w:val="217"/>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value) that may yet</w:t>
            </w:r>
          </w:p>
        </w:tc>
      </w:tr>
      <w:tr>
        <w:trPr>
          <w:trHeight w:val="216"/>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79"/>
              </w:rPr>
              <w:t>be</w:t>
            </w:r>
          </w:p>
        </w:tc>
      </w:tr>
      <w:tr>
        <w:trPr>
          <w:trHeight w:val="216"/>
        </w:trPr>
        <w:tc>
          <w:tcPr>
            <w:tcW w:w="45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w:t>
            </w:r>
          </w:p>
        </w:tc>
        <w:tc>
          <w:tcPr>
            <w:tcW w:w="260" w:type="dxa"/>
            <w:vAlign w:val="bottom"/>
          </w:tcPr>
          <w:p>
            <w:pPr>
              <w:spacing w:after="0"/>
              <w:rPr>
                <w:sz w:val="18"/>
                <w:szCs w:val="18"/>
                <w:color w:val="auto"/>
              </w:rPr>
            </w:pP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89"/>
              </w:rPr>
              <w:t>Average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purchased as part of</w:t>
            </w: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purchased under</w:t>
            </w:r>
          </w:p>
        </w:tc>
      </w:tr>
      <w:tr>
        <w:trPr>
          <w:trHeight w:val="219"/>
        </w:trPr>
        <w:tc>
          <w:tcPr>
            <w:tcW w:w="458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of shares</w:t>
            </w:r>
          </w:p>
        </w:tc>
        <w:tc>
          <w:tcPr>
            <w:tcW w:w="260" w:type="dxa"/>
            <w:vAlign w:val="bottom"/>
          </w:tcPr>
          <w:p>
            <w:pPr>
              <w:spacing w:after="0"/>
              <w:rPr>
                <w:sz w:val="19"/>
                <w:szCs w:val="19"/>
                <w:color w:val="auto"/>
              </w:rPr>
            </w:pP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price paid per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publicly announced</w:t>
            </w:r>
          </w:p>
        </w:tc>
        <w:tc>
          <w:tcPr>
            <w:tcW w:w="200" w:type="dxa"/>
            <w:vAlign w:val="bottom"/>
          </w:tcPr>
          <w:p>
            <w:pPr>
              <w:spacing w:after="0"/>
              <w:rPr>
                <w:sz w:val="19"/>
                <w:szCs w:val="19"/>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the plans</w:t>
            </w:r>
          </w:p>
        </w:tc>
      </w:tr>
      <w:tr>
        <w:trPr>
          <w:trHeight w:val="267"/>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Period</w:t>
            </w:r>
          </w:p>
        </w:tc>
        <w:tc>
          <w:tcPr>
            <w:tcW w:w="1500" w:type="dxa"/>
            <w:vAlign w:val="bottom"/>
            <w:tcBorders>
              <w:bottom w:val="single" w:sz="8" w:color="auto"/>
            </w:tcBorders>
            <w:gridSpan w:val="2"/>
          </w:tcPr>
          <w:p>
            <w:pPr>
              <w:jc w:val="center"/>
              <w:ind w:right="120"/>
              <w:spacing w:after="0" w:line="266" w:lineRule="exact"/>
              <w:rPr>
                <w:sz w:val="20"/>
                <w:szCs w:val="20"/>
                <w:color w:val="auto"/>
              </w:rPr>
            </w:pPr>
            <w:r>
              <w:rPr>
                <w:rFonts w:ascii="Arial" w:cs="Arial" w:eastAsia="Arial" w:hAnsi="Arial"/>
                <w:sz w:val="18"/>
                <w:szCs w:val="18"/>
                <w:color w:val="auto"/>
                <w:w w:val="82"/>
              </w:rPr>
              <w:t>purchased</w:t>
            </w:r>
            <w:r>
              <w:rPr>
                <w:rFonts w:ascii="Arial" w:cs="Arial" w:eastAsia="Arial" w:hAnsi="Arial"/>
                <w:sz w:val="30"/>
                <w:szCs w:val="30"/>
                <w:color w:val="auto"/>
                <w:w w:val="82"/>
                <w:vertAlign w:val="superscript"/>
              </w:rPr>
              <w:t>(1)</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4"/>
              </w:rPr>
              <w:t>share</w:t>
            </w:r>
          </w:p>
        </w:tc>
        <w:tc>
          <w:tcPr>
            <w:tcW w:w="1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plans or programs</w:t>
            </w: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0"/>
              <w:spacing w:after="0" w:line="266" w:lineRule="exact"/>
              <w:rPr>
                <w:sz w:val="20"/>
                <w:szCs w:val="20"/>
                <w:color w:val="auto"/>
              </w:rPr>
            </w:pPr>
            <w:r>
              <w:rPr>
                <w:rFonts w:ascii="Arial" w:cs="Arial" w:eastAsia="Arial" w:hAnsi="Arial"/>
                <w:sz w:val="18"/>
                <w:szCs w:val="18"/>
                <w:color w:val="auto"/>
                <w:w w:val="85"/>
              </w:rPr>
              <w:t>or programs</w:t>
            </w:r>
            <w:r>
              <w:rPr>
                <w:rFonts w:ascii="Arial" w:cs="Arial" w:eastAsia="Arial" w:hAnsi="Arial"/>
                <w:sz w:val="30"/>
                <w:szCs w:val="30"/>
                <w:color w:val="auto"/>
                <w:w w:val="85"/>
                <w:vertAlign w:val="superscript"/>
              </w:rPr>
              <w:t>(2)</w:t>
            </w:r>
          </w:p>
        </w:tc>
        <w:tc>
          <w:tcPr>
            <w:tcW w:w="220" w:type="dxa"/>
            <w:vAlign w:val="bottom"/>
          </w:tcPr>
          <w:p>
            <w:pPr>
              <w:spacing w:after="0"/>
              <w:rPr>
                <w:sz w:val="23"/>
                <w:szCs w:val="23"/>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June 2019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285.92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00"/>
              <w:spacing w:after="0" w:line="250" w:lineRule="exact"/>
              <w:rPr>
                <w:sz w:val="20"/>
                <w:szCs w:val="20"/>
                <w:color w:val="auto"/>
              </w:rPr>
            </w:pPr>
            <w:r>
              <w:rPr>
                <w:rFonts w:ascii="Arial" w:cs="Arial" w:eastAsia="Arial" w:hAnsi="Arial"/>
                <w:sz w:val="17"/>
                <w:szCs w:val="17"/>
                <w:color w:val="auto"/>
                <w:w w:val="94"/>
              </w:rPr>
              <w:t>292,465</w:t>
            </w:r>
            <w:r>
              <w:rPr>
                <w:rFonts w:ascii="Arial" w:cs="Arial" w:eastAsia="Arial" w:hAnsi="Arial"/>
                <w:sz w:val="28"/>
                <w:szCs w:val="28"/>
                <w:color w:val="auto"/>
                <w:w w:val="94"/>
                <w:vertAlign w:val="superscript"/>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July 2019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102,629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283.86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102,500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263,370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August 2019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275.02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238,619</w:t>
            </w:r>
          </w:p>
        </w:tc>
      </w:tr>
      <w:tr>
        <w:trPr>
          <w:trHeight w:val="20"/>
        </w:trPr>
        <w:tc>
          <w:tcPr>
            <w:tcW w:w="45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4"/>
        </w:trPr>
        <w:tc>
          <w:tcPr>
            <w:tcW w:w="45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221,292</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217,500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8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217,500 shares purchased under the existing stock repurchase program, as well as 3,792 shares repurchased from employees to cover their cost of taxes upon vesting of restricted stock.</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There is no defined number of shares to be repurchased over a specified timeframe through the life of the share repurchase program. It is expected that share repurchases will be paid using existing and future cash generated by operations.</w:t>
      </w:r>
    </w:p>
    <w:p>
      <w:pPr>
        <w:spacing w:after="0" w:line="181" w:lineRule="exact"/>
        <w:rPr>
          <w:rFonts w:ascii="Arial" w:cs="Arial" w:eastAsia="Arial" w:hAnsi="Arial"/>
          <w:sz w:val="18"/>
          <w:szCs w:val="18"/>
          <w:i w:val="1"/>
          <w:iCs w:val="1"/>
          <w:color w:val="auto"/>
        </w:rPr>
      </w:pPr>
    </w:p>
    <w:p>
      <w:pPr>
        <w:ind w:left="660" w:hanging="328"/>
        <w:spacing w:after="0" w:line="34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included in the Maximum number of shares that may yet be purchased under the plans or programs column for June 2019, includes a $210.0 million expansion of the existing share repurchase program as approved by the Board of Directors of FactSet on June 24,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Securities Authorized for Issuance under Equity Compensation Plans – see Part III of this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ectPr>
          <w:pgSz w:w="11900" w:h="16838" w:orient="portrait"/>
          <w:cols w:equalWidth="0" w:num="1">
            <w:col w:w="11420"/>
          </w:cols>
          <w:pgMar w:left="240" w:top="125" w:right="239" w:bottom="158" w:gutter="0" w:footer="0" w:header="0"/>
        </w:sectPr>
      </w:pPr>
    </w:p>
    <w:bookmarkStart w:id="13" w:name="page14"/>
    <w:bookmarkEnd w:id="13"/>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changes for the five-year period shown in the graph below assume $100 had been invested in our common stock, the Standard &amp; Poor’s 500 Index, the NYSE Composite Index and the Dow Jones U.S. Financial Services Index on August 31, 2014. The total cumulative dollar returns shown on the graph represent the value that such investments would have had on August 31, 2019.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6689090" cy="2804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909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FactSet Research Systems Inc.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NYSE Composite Index</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Dow Jones U.S. Financial Services Index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FactSet specifically incorporates it by reference into a document filed under the Securities Act of 1933 or the Securities Exchange Act of 1934.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has been derived from our consolidated financial statements. This financial data should be read in conjunction with Item 7, Management’s Discussion and Analysis of Financial Condition and Results of Operations and Item 8, Financial Statements and Supplementary Data, of this Report on Form 10-K.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Consolidated Statements of Income Data</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7"/>
          </w:tcPr>
          <w:p>
            <w:pPr>
              <w:jc w:val="right"/>
              <w:ind w:right="150"/>
              <w:spacing w:after="0"/>
              <w:rPr>
                <w:sz w:val="20"/>
                <w:szCs w:val="20"/>
                <w:color w:val="auto"/>
              </w:rPr>
            </w:pPr>
            <w:r>
              <w:rPr>
                <w:rFonts w:ascii="Arial" w:cs="Arial" w:eastAsia="Arial" w:hAnsi="Arial"/>
                <w:sz w:val="18"/>
                <w:szCs w:val="18"/>
                <w:color w:val="auto"/>
              </w:rPr>
              <w:t>For the year ended August 31,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1,435,351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1,350,145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1,221,179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1,127,092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1,006,768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line="256" w:lineRule="exact"/>
              <w:rPr>
                <w:sz w:val="20"/>
                <w:szCs w:val="20"/>
                <w:color w:val="auto"/>
              </w:rPr>
            </w:pPr>
            <w:r>
              <w:rPr>
                <w:rFonts w:ascii="Arial" w:cs="Arial" w:eastAsia="Arial" w:hAnsi="Arial"/>
                <w:sz w:val="18"/>
                <w:szCs w:val="18"/>
                <w:color w:val="auto"/>
              </w:rPr>
              <w:t xml:space="preserve">438,035 </w:t>
            </w:r>
            <w:r>
              <w:rPr>
                <w:rFonts w:ascii="Arial" w:cs="Arial" w:eastAsia="Arial" w:hAnsi="Arial"/>
                <w:sz w:val="29"/>
                <w:szCs w:val="29"/>
                <w:color w:val="auto"/>
                <w:vertAlign w:val="superscript"/>
              </w:rPr>
              <w:t>(1)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366,204</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w w:val="97"/>
              </w:rPr>
              <w:t>(4)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352,135</w:t>
            </w:r>
          </w:p>
        </w:tc>
        <w:tc>
          <w:tcPr>
            <w:tcW w:w="360" w:type="dxa"/>
            <w:vAlign w:val="bottom"/>
          </w:tcPr>
          <w:p>
            <w:pPr>
              <w:jc w:val="right"/>
              <w:ind w:right="85"/>
              <w:spacing w:after="0"/>
              <w:rPr>
                <w:sz w:val="20"/>
                <w:szCs w:val="20"/>
                <w:color w:val="auto"/>
              </w:rPr>
            </w:pPr>
            <w:r>
              <w:rPr>
                <w:rFonts w:ascii="Arial" w:cs="Arial" w:eastAsia="Arial" w:hAnsi="Arial"/>
                <w:sz w:val="15"/>
                <w:szCs w:val="15"/>
                <w:color w:val="auto"/>
                <w:w w:val="97"/>
              </w:rPr>
              <w:t>(7)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349,676</w:t>
            </w:r>
          </w:p>
        </w:tc>
        <w:tc>
          <w:tcPr>
            <w:tcW w:w="340" w:type="dxa"/>
            <w:vAlign w:val="bottom"/>
          </w:tcPr>
          <w:p>
            <w:pPr>
              <w:jc w:val="right"/>
              <w:ind w:right="5"/>
              <w:spacing w:after="0"/>
              <w:rPr>
                <w:sz w:val="20"/>
                <w:szCs w:val="20"/>
                <w:color w:val="auto"/>
              </w:rPr>
            </w:pPr>
            <w:r>
              <w:rPr>
                <w:rFonts w:ascii="Arial" w:cs="Arial" w:eastAsia="Arial" w:hAnsi="Arial"/>
                <w:sz w:val="15"/>
                <w:szCs w:val="15"/>
                <w:color w:val="auto"/>
                <w:w w:val="89"/>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331,918</w:t>
            </w:r>
          </w:p>
        </w:tc>
        <w:tc>
          <w:tcPr>
            <w:tcW w:w="32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69,175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84,753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line="256" w:lineRule="exact"/>
              <w:rPr>
                <w:sz w:val="20"/>
                <w:szCs w:val="20"/>
                <w:color w:val="auto"/>
              </w:rPr>
            </w:pPr>
            <w:r>
              <w:rPr>
                <w:rFonts w:ascii="Arial" w:cs="Arial" w:eastAsia="Arial" w:hAnsi="Arial"/>
                <w:sz w:val="18"/>
                <w:szCs w:val="18"/>
                <w:color w:val="auto"/>
              </w:rPr>
              <w:t xml:space="preserve">352,790 </w:t>
            </w:r>
            <w:r>
              <w:rPr>
                <w:rFonts w:ascii="Arial" w:cs="Arial" w:eastAsia="Arial" w:hAnsi="Arial"/>
                <w:sz w:val="29"/>
                <w:szCs w:val="29"/>
                <w:color w:val="auto"/>
                <w:vertAlign w:val="superscript"/>
              </w:rPr>
              <w:t>(2)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267,085</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w w:val="97"/>
              </w:rPr>
              <w:t>(5)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258,259</w:t>
            </w:r>
          </w:p>
        </w:tc>
        <w:tc>
          <w:tcPr>
            <w:tcW w:w="360" w:type="dxa"/>
            <w:vAlign w:val="bottom"/>
          </w:tcPr>
          <w:p>
            <w:pPr>
              <w:jc w:val="right"/>
              <w:ind w:right="85"/>
              <w:spacing w:after="0"/>
              <w:rPr>
                <w:sz w:val="20"/>
                <w:szCs w:val="20"/>
                <w:color w:val="auto"/>
              </w:rPr>
            </w:pPr>
            <w:r>
              <w:rPr>
                <w:rFonts w:ascii="Arial" w:cs="Arial" w:eastAsia="Arial" w:hAnsi="Arial"/>
                <w:sz w:val="15"/>
                <w:szCs w:val="15"/>
                <w:color w:val="auto"/>
                <w:w w:val="97"/>
              </w:rPr>
              <w:t>(8)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338,815</w:t>
            </w:r>
          </w:p>
        </w:tc>
        <w:tc>
          <w:tcPr>
            <w:tcW w:w="340" w:type="dxa"/>
            <w:vAlign w:val="bottom"/>
          </w:tcPr>
          <w:p>
            <w:pPr>
              <w:jc w:val="right"/>
              <w:ind w:right="5"/>
              <w:spacing w:after="0"/>
              <w:rPr>
                <w:sz w:val="20"/>
                <w:szCs w:val="20"/>
                <w:color w:val="auto"/>
              </w:rPr>
            </w:pPr>
            <w:r>
              <w:rPr>
                <w:rFonts w:ascii="Arial" w:cs="Arial" w:eastAsia="Arial" w:hAnsi="Arial"/>
                <w:sz w:val="15"/>
                <w:szCs w:val="15"/>
                <w:color w:val="auto"/>
                <w:w w:val="89"/>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241,051</w:t>
            </w:r>
          </w:p>
        </w:tc>
        <w:tc>
          <w:tcPr>
            <w:tcW w:w="32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line="256" w:lineRule="exact"/>
              <w:rPr>
                <w:sz w:val="20"/>
                <w:szCs w:val="20"/>
                <w:color w:val="auto"/>
              </w:rPr>
            </w:pPr>
            <w:r>
              <w:rPr>
                <w:rFonts w:ascii="Arial" w:cs="Arial" w:eastAsia="Arial" w:hAnsi="Arial"/>
                <w:sz w:val="18"/>
                <w:szCs w:val="18"/>
                <w:color w:val="auto"/>
                <w:w w:val="81"/>
              </w:rPr>
              <w:t xml:space="preserve">9.08 </w:t>
            </w:r>
            <w:r>
              <w:rPr>
                <w:rFonts w:ascii="Arial" w:cs="Arial" w:eastAsia="Arial" w:hAnsi="Arial"/>
                <w:sz w:val="29"/>
                <w:szCs w:val="29"/>
                <w:color w:val="auto"/>
                <w:w w:val="81"/>
                <w:vertAlign w:val="superscript"/>
              </w:rPr>
              <w:t>(3)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7"/>
              </w:rPr>
              <w:t>(6)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7"/>
              </w:rPr>
              <w:t>(9)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89"/>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 average common shares (diluted)</w:t>
            </w:r>
          </w:p>
        </w:tc>
        <w:tc>
          <w:tcPr>
            <w:tcW w:w="74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38,873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39,377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39,642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41,365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1"/>
              </w:rPr>
              <w:t>2.72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color w:val="auto"/>
              </w:rPr>
              <w:t>Consolidated Balance Sheets Data</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w w:val="96"/>
              </w:rPr>
              <w:t>As of August 31,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25"/>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359,799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208,623</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194,731</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228,407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Accounts receivable, net of reserves</w:t>
            </w:r>
          </w:p>
        </w:tc>
        <w:tc>
          <w:tcPr>
            <w:tcW w:w="7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146,309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156,639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148,331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5"/>
              <w:spacing w:after="0"/>
              <w:rPr>
                <w:sz w:val="20"/>
                <w:szCs w:val="20"/>
                <w:color w:val="auto"/>
              </w:rPr>
            </w:pPr>
            <w:r>
              <w:rPr>
                <w:rFonts w:ascii="Arial" w:cs="Arial" w:eastAsia="Arial" w:hAnsi="Arial"/>
                <w:sz w:val="18"/>
                <w:szCs w:val="18"/>
                <w:color w:val="auto"/>
              </w:rPr>
              <w:t>97,797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95,064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806,280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850,768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881,103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546,076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1,560,130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1,419,447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1,413,315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5"/>
              <w:spacing w:after="0"/>
              <w:rPr>
                <w:sz w:val="20"/>
                <w:szCs w:val="20"/>
                <w:color w:val="auto"/>
              </w:rPr>
            </w:pPr>
            <w:r>
              <w:rPr>
                <w:rFonts w:ascii="Arial" w:cs="Arial" w:eastAsia="Arial" w:hAnsi="Arial"/>
                <w:sz w:val="18"/>
                <w:szCs w:val="18"/>
                <w:color w:val="auto"/>
              </w:rPr>
              <w:t>1,019,161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736,671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668,951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672,413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343,570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672,256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525,900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559,691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5"/>
              <w:spacing w:after="0"/>
              <w:rPr>
                <w:sz w:val="20"/>
                <w:szCs w:val="20"/>
                <w:color w:val="auto"/>
              </w:rPr>
            </w:pPr>
            <w:r>
              <w:rPr>
                <w:rFonts w:ascii="Arial" w:cs="Arial" w:eastAsia="Arial" w:hAnsi="Arial"/>
                <w:sz w:val="18"/>
                <w:szCs w:val="18"/>
                <w:color w:val="auto"/>
              </w:rPr>
              <w:t>517,381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531,584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652"/>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 in fiscal 2019 included pre-tax charges of $8.0 million, primarily related to $4.3 million in severance costs, $8.7 million related to other corporate actions including stock-based compensation acceleration, professional fees related to infrastructure upgrade activities and a one-time adjustment related to data costs and occupancy costs, partially offset by $5.0 million in non-core transaction related revenue.</w:t>
      </w:r>
    </w:p>
    <w:p>
      <w:pPr>
        <w:spacing w:after="0" w:line="146" w:lineRule="exact"/>
        <w:rPr>
          <w:rFonts w:ascii="Arial" w:cs="Arial" w:eastAsia="Arial" w:hAnsi="Arial"/>
          <w:sz w:val="16"/>
          <w:szCs w:val="16"/>
          <w:color w:val="auto"/>
        </w:rPr>
      </w:pPr>
    </w:p>
    <w:p>
      <w:pPr>
        <w:jc w:val="both"/>
        <w:ind w:left="66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in fiscal 2019 included $6.3 million (after-tax) expenses, primarily related to $3.5 million (after-tax) in severance costs, $6.8 million (after-tax) related to other corporate actions including stock-based compensation acceleration, professional fees related to infrastructure upgrade</w:t>
      </w:r>
    </w:p>
    <w:p>
      <w:pPr>
        <w:sectPr>
          <w:pgSz w:w="11900" w:h="16962" w:orient="portrait"/>
          <w:cols w:equalWidth="0" w:num="1">
            <w:col w:w="11420"/>
          </w:cols>
          <w:pgMar w:left="240" w:top="125" w:right="239" w:bottom="0" w:gutter="0" w:footer="0" w:header="0"/>
        </w:sectPr>
      </w:pPr>
    </w:p>
    <w:bookmarkStart w:id="14" w:name="page15"/>
    <w:bookmarkEnd w:id="14"/>
    <w:p>
      <w:pPr>
        <w:spacing w:after="0" w:line="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activities and a one-time adjustment related to data costs and occupancy costs, partially offset by $4.0 million (after-tax) in non-core transaction related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Diluted earnings per share (“EPS”) in fiscal 2019 was reduced by $0.15 per share, primarily related to $0.09 in severance costs, $0.16 related to other corporate actions including stock-based compensation acceleration, professional fees related to infrastructure upgrade activities and a one-time adjustment related to data costs and occupancy costs, partially offset by $0.10 in non-core transaction related revenue.</w:t>
      </w:r>
    </w:p>
    <w:p>
      <w:pPr>
        <w:spacing w:after="0" w:line="165"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 fiscal 2018 included pre-tax charges of $17.4 million from restructuring actions, $4.7 million related to other corporate actions including stock-based compensation acceleration and $4.9 million in legal matters.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 fiscal 2018 included $13.8 million (after-tax) expense related to restructuring actions, $3.8 million (after-tax) expense related to other corporate actions including stock-based compensation acceleration, $3.4 million (after-tax) expense related to legal matters and $21.3 million of tax charges primarily related to the one-time deemed repatriation tax on foreign earnings.</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(“EPS”) in fiscal 2018 included a $0.35 decrease in diluted EPS from restructuring actions, a $0.10 detriment due to other corporate actions including stock-based compensation, a $0.09 decrease from legal matters and a $0.53 decrease from tax charges primarily related to the one-time deemed repatriation tax on foreign earnings.</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 fiscal 2017 included pre-tax charges of $5.6 million related to modifications of certain share-based compensation grants, $5.0 million related to restructuring actions and $7.4 million in acquisition-related expenses.</w:t>
      </w:r>
    </w:p>
    <w:p>
      <w:pPr>
        <w:spacing w:after="0" w:line="170" w:lineRule="exact"/>
        <w:rPr>
          <w:rFonts w:ascii="Arial" w:cs="Arial" w:eastAsia="Arial" w:hAnsi="Arial"/>
          <w:sz w:val="18"/>
          <w:szCs w:val="18"/>
          <w:color w:val="auto"/>
        </w:rPr>
      </w:pPr>
    </w:p>
    <w:p>
      <w:pPr>
        <w:jc w:val="both"/>
        <w:ind w:left="660" w:right="20" w:hanging="652"/>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in fiscal 2017 included $4.2 million (after-tax) related to modifications of certain share-based compensation grants, $3.7 million (after-tax) related to restructuring actions and $5.5 million (after-tax) of acquisition-related expenses. Fiscal 2017 net income also included a loss of $0.9 million (after-tax) from a final working capital adjustment related to the sale of FactSet’s Market Metrics business in the fourth quarter of fiscal 2016. These charges were offset by income tax benefits of $1.9 million related primarily to finalizing prior year tax returns and other discrete items.</w:t>
      </w:r>
    </w:p>
    <w:p>
      <w:pPr>
        <w:spacing w:after="0" w:line="154"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in fiscal 2017 included a $0.11 decrease in diluted EPS from the modifications of certain share-based compensation grants, a $0.09 decrease from the restructuring actions, a $0.13 decrease from acquisition-related expenses and $0.02 decrease from the working capital adjustment, partially offset by a $0.05 increase in diluted EPS from the income tax benefits.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 fiscal 2016 included pre-tax charges of $4.6 million related primarily to legal matters, $2.8 million from restructuring actions and $1.8 million related to a change in the vesting of performance-based equity options.</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in fiscal 2016 included $3.3 million (after-tax) related primarily to legal matters, $2.0 million (after-tax) from restructuring actions, $1.2 million (after-tax) related to a change in the vesting of performance-based equity instruments, partially offset by $10.5 million of income tax benefits primarily from the permanent reenactment of the U.S. Federal R&amp;D tax credit (“R&amp;D Tax Credit”), finalizing the fiscal 2015 tax returns and other discrete items and a gain of $81.7 million (after-tax) related to the sale of FactSet’s Market Metrics business in July 2016.</w:t>
      </w:r>
    </w:p>
    <w:p>
      <w:pPr>
        <w:spacing w:after="0" w:line="171"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in fiscal 2016 included the net effect of a $2.01 increase in diluted EPS from the gain on sale and a $0.25 increase in diluted EPS from the income tax benefits, partially offset by a $0.08 decrease related primarily to legal matters, a $0.05 decrease from the restructuring actions and a $0.03 decrease from a change in the vesting of performance-based equity instruments.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 fiscal 2015 included pre-tax charges of $3.0 million related to the vesting of performance-based equity instruments and $3.2 million related primarily to changes in the senior leadership responsible for the Company’s sales force.</w:t>
      </w:r>
    </w:p>
    <w:p>
      <w:pPr>
        <w:spacing w:after="0" w:line="170"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in fiscal 2015 included $2.1 million (after-tax) of incremental expenses related to the vesting of performance-based equity instruments, $2.2 million (after-tax) related to the changes in the senior leadership responsible for the Company’s sales force and income tax benefits of $8.8 million primarily from the reenactment of the R&amp;D Tax Credit in December 2014, and finalizing the fiscal 2014 tax returns and other discrete items.</w:t>
      </w:r>
    </w:p>
    <w:p>
      <w:pPr>
        <w:spacing w:after="0" w:line="146"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in fiscal 2015 included the net effect of a $0.21 increase in diluted EPS from the income tax benefits, partially offset by a $0.05 decrease from the vesting of performance-based equity instruments and a $0.05 decrease from the changes in the senior leadership responsible for the Company’s sales force.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Resources</w:t>
      </w:r>
    </w:p>
    <w:p>
      <w:pPr>
        <w:sectPr>
          <w:pgSz w:w="11900" w:h="16847" w:orient="portrait"/>
          <w:cols w:equalWidth="0" w:num="1">
            <w:col w:w="11420"/>
          </w:cols>
          <w:pgMar w:left="240" w:top="125" w:right="239" w:bottom="0" w:gutter="0" w:footer="0" w:header="0"/>
        </w:sectPr>
      </w:pPr>
    </w:p>
    <w:bookmarkStart w:id="15" w:name="page16"/>
    <w:bookmarkEnd w:id="1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Developments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the Consolidated Financial Statements and related Notes included in Item 8, Financial Statements and Supplementary Data, of this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trade execution, performance measurement, risk management, reporting, and portfolio analysis,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throughout each of our three segments, the U.S., Europe, and Asia Pacific. We primarily deliver insight and information through the workflow solutions of Research, Analytics and Trading, Content and Technology Solutions and Wealth.</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financial professionals, which include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to execute trades. We combine dedicated client service with open and flexible technology offerings, such as a comprehensive data marketplace, a configurable mobile and desktop platform, digital portals and application programming interface (“APIs”). Our revenue is primarily derived from subscriptions to products and services such as workstations, analytics, enterprise data, research management, and trade execution.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Fiscal 2019 Year in Review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fiscal year 2019 was $1.44 billion, an increase of 6.3% from the prior year comparable period, of which, 6.2% of the increase can be attributed to organic revenue growth. Revenue growth can be attributed primarily to Analytics and Trading, CTS and Wealth due mainly to increased demand for our portfolio analytics solutions, core and premium data feeds and our wealth workstations. As of August 31, 2019, organic annual subscription value (“organic ASV”) plus professional services totaled $1.48 billion, an increase of 5.1% over the prior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grew 19.6% and diluted earnings per share ("EPS") increased 33.9% compared to the prior year period. In addition, clients and users reached new highs of 5,574 and 126,822, respectively, in fiscal 2019. Over the last 12 months, we returned $320.4 million to stockholders in the form of share repurchases and dividends.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won multiple awards, which included Best Data Provider to the Sell-Side, Best Performance Measurement and Attribution System Provider, and Best Client Reporting System at the Waters Technology Awards, Best Alternative Data Initiative and Best Data Analytics Provider at the Inside Market Data Awards. We expanded our data offering within CTS, on the Open:FactSet Marketplace, which now includes over 100 content and solution sets, including new data feeds from Mastercard and IHS Markit. Additionally, we launched a Global Robotics and Automation Index licensed to Sumitomo Mitsui Trust Asset Management Co., Ltd., marking our entry in the Japanese index mutual fund market.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we appointed Daniel Viens as Chief Human Resources Officer and in June 2019, we appointed Franck Gossieaux as Executive Vice President, Global Head of Sales and Client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Client Service / Consultants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comprehensive value of FactSet’s solutions, consultants are versatile business people with knowledge of the financial markets and FactSet products. Consultants work closely with clients advising how FactSet solutions can be best leveraged to enhance their efficiency across workflows. A client-centric approach is a key foundation of our success at the Company. Additionally, our information and analytical applications are supported by a team of financial data and modeling experts. Client satisfaction is critical to how we measure the success of our service. According to our global client satisfaction survey, greater than 93% of respondents were satisfied or very satisfied with FactSet’s support. We believe that these strong relationships help enable high rates of retention and expansion of client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Key Metrics</w:t>
      </w:r>
    </w:p>
    <w:p>
      <w:pPr>
        <w:sectPr>
          <w:pgSz w:w="11900" w:h="16838" w:orient="portrait"/>
          <w:cols w:equalWidth="0" w:num="1">
            <w:col w:w="11420"/>
          </w:cols>
          <w:pgMar w:left="240" w:top="341"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center"/>
              <w:ind w:right="410"/>
              <w:spacing w:after="0"/>
              <w:rPr>
                <w:sz w:val="20"/>
                <w:szCs w:val="20"/>
                <w:color w:val="auto"/>
              </w:rPr>
            </w:pPr>
            <w:r>
              <w:rPr>
                <w:rFonts w:ascii="Arial" w:cs="Arial" w:eastAsia="Arial" w:hAnsi="Arial"/>
                <w:sz w:val="18"/>
                <w:szCs w:val="18"/>
                <w:color w:val="auto"/>
                <w:w w:val="92"/>
              </w:rPr>
              <w:t>As of and for the</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Year Ended August 31,</w:t>
            </w: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 share data, client and user counts)</w:t>
            </w:r>
          </w:p>
        </w:tc>
        <w:tc>
          <w:tcPr>
            <w:tcW w:w="34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2018</w:t>
            </w:r>
          </w:p>
        </w:tc>
        <w:tc>
          <w:tcPr>
            <w:tcW w:w="1300" w:type="dxa"/>
            <w:vAlign w:val="bottom"/>
          </w:tcPr>
          <w:p>
            <w:pPr>
              <w:ind w:left="28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1,350.1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366.2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267.1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EPS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6.78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Clients</w:t>
            </w:r>
            <w:r>
              <w:rPr>
                <w:rFonts w:ascii="Arial" w:cs="Arial" w:eastAsia="Arial" w:hAnsi="Arial"/>
                <w:sz w:val="28"/>
                <w:szCs w:val="28"/>
                <w:color w:val="auto"/>
                <w:vertAlign w:val="superscript"/>
              </w:rPr>
              <w:t>(1)</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5,142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Users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126,822</w:t>
            </w:r>
          </w:p>
        </w:tc>
        <w:tc>
          <w:tcPr>
            <w:tcW w:w="26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91,897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 the first quarter of fiscal 2019, we changed our client count definition to include clients from the April 2017 acquisition of FactSet Digital Solutions Group ("FDSG"). The prior year client count was not restated to reflect this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 table below provides an unaudited reconciliation of ASV to organic ASV:</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As of August 31,</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color w:val="auto"/>
              </w:rPr>
              <w:t>As reported ASV</w:t>
            </w:r>
            <w:r>
              <w:rPr>
                <w:rFonts w:ascii="Arial" w:cs="Arial" w:eastAsia="Arial" w:hAnsi="Arial"/>
                <w:sz w:val="29"/>
                <w:szCs w:val="29"/>
                <w:color w:val="auto"/>
                <w:vertAlign w:val="superscript"/>
              </w:rPr>
              <w:t>(1)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1,393.1</w:t>
            </w:r>
          </w:p>
        </w:tc>
        <w:tc>
          <w:tcPr>
            <w:tcW w:w="13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Currency impact to ASV</w:t>
            </w:r>
          </w:p>
        </w:tc>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Organic ASV</w:t>
            </w:r>
            <w:r>
              <w:rPr>
                <w:rFonts w:ascii="Arial" w:cs="Arial" w:eastAsia="Arial" w:hAnsi="Arial"/>
                <w:sz w:val="28"/>
                <w:szCs w:val="28"/>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which are not subscription-based. The professional service fees are $22.9 million and $21.6 million as of August 31, 2019 and 2018, respectively.</w:t>
      </w:r>
    </w:p>
    <w:p>
      <w:pPr>
        <w:spacing w:after="0" w:line="181"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Organic ASV excludes ASV from acquisitions and dispositions completed within the last 12 months, the effects of foreign currency, and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Organic Annual Subscription Value Growth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ASV at any given point in time represents the forward-looking revenue for the next 12 months from all subscription services currently being supplied to clients, excludes ASV from acquisitions and dispositions completed within the last 12 months, the effects of foreign currency, and professional services. With proper notice to us, our clients can add to, delete portions of, or terminate service at any time, subject to certain contractual limitations. As of August 31, 2019, our organic ASV totaled $1.46 billion, up 5.0% organically over the prior year. As of August 31, 2019, organic ASV plus professional services was $1.48 billion, an increase of 5.1%, compared to the prior year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year over year organic ASV was due to growth across all of our geographic segments with the majority of growth in the U.S., followed by Asia Pacific and Europe. ASV growth from our workflow solutions was primarily driven by Analytics and Trading, CTS and Wealth. The increase includes sales of products and solutions to new and existing clients, an annual price increase for both the majority of the U.S. and international clients, partially offset by cancellations due primarily to industry-wide cost pressures, firm consolidations and closures. ASV growth in Analytics and Trading was primarily due to increased sales for our portfolio analytics solutions. ASV growth in CTS was primarily driven by increased sales in core and premium data feeds while ASV growth in Wealth was mainly due to increased workstation sales.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ASV from the U.S. segment was $909.7 million, an increase of 4.7% from the prior year comparable period. This increase was primarily from Analytics and Trading, CTS and Wealth, due to the increased demand for our portfolio analytics solutions, core and premium data feeds and wealth workstations.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ASV from the international operations was $548.3 million as of August 31, 2019, an increase of 4.6% over August 31, 2018. International ASV represents 37.6% of total ASV as of August 31, 2019, remaining consistent with the prior year period. The ASV increase from our international operations was due to continued growth in Analytics and Trading in both Asia Pacific and Europe as well as CTS growth in Europe. The Analytics and Trading growth was driven by our portfolio analytics solutions, while the CTS growth was due to core and premium data feeds.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Buy-side and sell-side ASV growth rates for the last 12 months were 4.8% and 6.3% respectively. Buy-side clients account for 83.7% of ASV, which include traditional asset managers, wealth advisors, corporations, hedge funds, insurance companies, plan sponsors and fund of funds. The remaining portion of ASV is derived from sell-side firms that perform M&amp;A advisory work, capital markets services and equity research.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Client and User Additions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total client count was 5,574 as of August 31, 2019, representing a net increase of 432 clients in the last twelve months. In the first quarter of fiscal 2019, we changed our client count definition to include clients from the April 2017 acquisition of FDSG. The prior year client count was not restated to reflect this change. The net increase was primarily driven by an increase in wealth management and corporate clients. As part of our long-term growth strategy, we continue to focus on expanding and cultivating relationships with our existing client base through sales of workstations, applications, services and content.</w:t>
      </w:r>
    </w:p>
    <w:p>
      <w:pPr>
        <w:sectPr>
          <w:pgSz w:w="11900" w:h="16838" w:orient="portrait"/>
          <w:cols w:equalWidth="0" w:num="1">
            <w:col w:w="11420"/>
          </w:cols>
          <w:pgMar w:left="240" w:top="341" w:right="239" w:bottom="0" w:gutter="0" w:footer="0" w:header="0"/>
        </w:sectPr>
      </w:pPr>
    </w:p>
    <w:bookmarkStart w:id="17" w:name="page18"/>
    <w:bookmarkEnd w:id="17"/>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2019, there were 126,822 professionals using FactSet, representing a net increase of 34,925 or 38.0% in the last 12 months primarily driven by Wealth and Research workstation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client retention as of August 31, 2019 was 89%, when expressed as a percentage of clients. Our successful client retention demonstrates that a majority of our clients maintain their subscriptions to FactSet year over year, highlighting the strength of our business strategy. As of August 31, 2019, our largest individual client accounted for approximately 3% of total subscriptions, and annual subscriptions from our ten largest clients did not surpass 15% of total client subscriptions.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Returning Value to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9, 2019, our Board of Directors approved a regular quarterly dividend of $0.72 per share. The cash dividend of $27.3 million was paid on September 19, 2019 to common stockholders of record at the close of business on August 30, 2019. We repurchased 0.9 million shares for $213.1 million during fiscal 2019 under our existing share repurchase program. Over the last 12 months, we have generated $427.1 million in cash from operations and have returned $320.4 million to stockholders in the form of share repurchases and cash dividends.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$238.6 million was available for future repurchases as of August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$59.4 million during fiscal 2019, compared to $33.5 million a year ago. Capital expenditures of $28.0 million, or 47%,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build-out of office space, with $22.3 million related to the new corporate headquarters in Norwalk, Connecticut and $6.6 million related to new office space in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an understanding of the significant factors that influenced our performance during the past three fiscal years, the following discussion should be read in conjunction with the Consolidated Financial Statements and the Notes to Consolidated Financial Statements presented in this Report on Form 10-K.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gridSpan w:val="3"/>
          </w:tcPr>
          <w:p>
            <w:pPr>
              <w:jc w:val="right"/>
              <w:ind w:right="430"/>
              <w:spacing w:after="0"/>
              <w:rPr>
                <w:sz w:val="20"/>
                <w:szCs w:val="20"/>
                <w:color w:val="auto"/>
              </w:rPr>
            </w:pPr>
            <w:r>
              <w:rPr>
                <w:rFonts w:ascii="Arial" w:cs="Arial" w:eastAsia="Arial" w:hAnsi="Arial"/>
                <w:sz w:val="18"/>
                <w:szCs w:val="18"/>
                <w:color w:val="auto"/>
              </w:rPr>
              <w:t>Years ended August 31,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1,435,351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1,350,145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1,350,145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1,221,179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services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663,446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659,296</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659,296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566,580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333,870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324,645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324,645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302,464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438,035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366,204</w:t>
            </w: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366,204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352,135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352,790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267,085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267,085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258,259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6.78</w:t>
            </w:r>
          </w:p>
        </w:tc>
        <w:tc>
          <w:tcPr>
            <w:tcW w:w="13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Diluted weighted average common shares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38,873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39,377</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39,377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39,642</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fiscal 2019 were $1.44 billion, increasing 6.3% compared to fiscal 2018. Our organic revenue growth rate for fiscal 2019 was 6.2% compared to the prior year period. Organic revenue excludes the effects of acquisitions and dispositions completed in the last 12 months, foreign currency in all periods presented and deferred revenue fair value adjustments from purchase accounting. The increase in revenue was due to revenue growth across all geographic segments and workflow solutions, including client additions and product expansion within our existing client base. The growth in the workflow solutions was primarily driven by Analytics and Trading, CTS and Wealth. The increase includes sales of products and solutions to new and existing clients, an annual price increase, partially offset by cancellations. Revenue growth in Analytics and Trading was primarily due to increased demand for our portfolio analytics solutions. The growth in CTS was driven mainly by increased sales of core and premium data feeds. Wealth also experienced revenue growth due to higher sales of our workstation product. Offsetting these growth factors were cancellations, resulting from continued industry-wide cost pressures and firm consolidations and 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in fiscal 2018 were $1.35 billion, increasing 10.6% compared to fiscal 2017. Our organic revenue growth rate for fiscal 2018 was 5.6% compared to fiscal 2017, with cancellations remaining relatively flat during fiscal 2018. Organic revenue excludes the effects of acquisitions and dispositions completed in the last 12 months and foreign currency in all periods. The increase in revenue was throughout our geographical segments and workflow solutions. The U.S. segment revenues was up 7.4% compared to the fiscal 2017, primarily driven by additional clients, expansion from within our existing client base and an annual price increase, while holding client cancellations steady. Our international operations also grew as demonstrated by our 17.3% growth in Europe and a 13.1% increase in Asia Pacific. In addition to revenue growth amongst the geographic segments, achievements were also made across each workflow solution which include Research, Analytics and Trading, CTS, and Wealth. The Research workflow growth was driven by additional users due to banking new hires. The growth in the Analytics and Trading workflow was primarily attributed to increased sales in the portfolio analytics, reporting, and risk platforms, coupled with the enhancement of our multi-asset class risk model offerings, which strengthened our position in the analytics market. The CTS workflow growth was driven by increased demand for our proprietary content data feeds while new business sales drove the Wealth workflow growth.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Revenue by Geographic Segment</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Years ended August 31,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9"/>
                <w:szCs w:val="19"/>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Revenue</w:t>
            </w:r>
          </w:p>
        </w:tc>
        <w:tc>
          <w:tcPr>
            <w:tcW w:w="22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894,554</w:t>
            </w:r>
          </w:p>
        </w:tc>
        <w:tc>
          <w:tcPr>
            <w:tcW w:w="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841,908</w:t>
            </w:r>
          </w:p>
        </w:tc>
        <w:tc>
          <w:tcPr>
            <w:tcW w:w="3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784,146</w:t>
            </w:r>
          </w:p>
        </w:tc>
        <w:tc>
          <w:tcPr>
            <w:tcW w:w="160" w:type="dxa"/>
            <w:vAlign w:val="bottom"/>
            <w:shd w:val="clear" w:color="auto" w:fill="CCEEFF"/>
          </w:tcPr>
          <w:p>
            <w:pPr>
              <w:spacing w:after="0"/>
              <w:rPr>
                <w:sz w:val="18"/>
                <w:szCs w:val="18"/>
                <w:color w:val="auto"/>
              </w:rPr>
            </w:pPr>
          </w:p>
        </w:tc>
      </w:tr>
    </w:tbl>
    <w:p>
      <w:pPr>
        <w:sectPr>
          <w:pgSz w:w="11900" w:h="16884"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62.3%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62.4%</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64.2%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Europe Revenues</w:t>
            </w:r>
          </w:p>
        </w:tc>
        <w:tc>
          <w:tcPr>
            <w:tcW w:w="2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408,084</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387,589</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330,332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Asia Pacific Revenues</w:t>
            </w:r>
          </w:p>
        </w:tc>
        <w:tc>
          <w:tcPr>
            <w:tcW w:w="22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Pr>
          <w:p>
            <w:pPr>
              <w:spacing w:after="0"/>
              <w:rPr>
                <w:sz w:val="18"/>
                <w:szCs w:val="18"/>
                <w:color w:val="auto"/>
              </w:rPr>
            </w:pPr>
          </w:p>
        </w:tc>
      </w:tr>
      <w:tr>
        <w:trPr>
          <w:trHeight w:val="21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Revenue</w:t>
            </w:r>
          </w:p>
        </w:tc>
        <w:tc>
          <w:tcPr>
            <w:tcW w:w="2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540,797</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508,237</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437,033</w:t>
            </w: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37.6%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35.8%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w:t>
            </w:r>
          </w:p>
        </w:tc>
        <w:tc>
          <w:tcPr>
            <w:tcW w:w="2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1,435,351</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1,350,145</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1,221,179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our U.S. segment increased 6.3% to $894.6 million in fiscal 2019 compared to $841.9 million in fiscal 2018. This increase was primarily due to increased sales of products and solutions to new and existing clients primarily in Analytics and Trading, CTS and Wealth, an annual price increase for the majority of our U.S. segment clients, partially offset by cancellations. Excluding the effects of acquisitions and dispositions, organic revenues in the U.S. was up 6.2% compared to fiscal 2018. Revenues from our U.S. operations accounted for 62.3% of our consolidated revenue during fiscal 2019, consistent with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 from our international operations increased 6.4% in fiscal 2019 compared to fiscal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European revenues increased 5.3% to $408.1 million in fiscal 2019 compared to $387.6 million in fiscal 2018. This increase was primarily driven by increased sales of products and solutions to new and existing clients primarily in Analytics and Trading and CTS, which includes our annual price increase for the majority of our European clients, partially offset by increased cancellations in Research. European organic revenues grew 5.0% in fiscal 2019 compared to fiscal 2018. Foreign currency exchange rate fluctuations decreased our European growth rate by 30 basis points.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revenues increased 10.0% during fiscal 2019, compared with fiscal 2018. This increase was due mainly to increased sales of products and solutions to new and existing clients primarily in Analytics and Trading, which includes our annual price increase for the majority of our Asia Pacific clients, partially offset by cancellations. Asia Pacific organic revenues grew 10.0% during fiscal 2019 compared to fiscal 2018, with foreign currency exchange rate fluctuations having a minimal impact.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our U.S. segment increased 7.4% to $841.9 million in fiscal 2018 compared to $784.1 million in fiscal 2017, due to organic ASV growth across our workflow solutions and strong performance executing new business sales. Cancellations remained relatively flat for fiscal 2018 showing signs of stability. Excluding the effects of acquisitions and dispositions, organic revenues in the U.S. were up 5.1% compared to fiscal 2017. Revenues from our U.S. operations accounted for 62.4% of our consolidated revenue during fiscal 2018, a decrease from 64.2% in fiscal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our international operations increased 16.3% in fiscal 2018 compared to fiscal 2017, due to growth across our workflow solutions, partially offset by higher cancellations compared to the prior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European revenues increased 17.3% to $387.6 million in fiscal 2018 compared to $330.3 in fiscal 2017. Excluding the effects of acquisitions and dispositions completed in the last 12 months and foreign currency, European organic revenues grew 9.4% in fiscal 2018 compared to fiscal 2017. Foreign currency exchange rate fluctuations increased our European growth rate by 150 basis points.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Asia Pacific revenues increased 13.1% during fiscal 2018, compared with fiscal 2017. Excluding the effects of acquisitions and dispositions completed in the last 12 months and foreign currency, Asia Pacific organic revenues grew 12.9% during fiscal 2018 compared to fiscal 2017, with foreign currency exchange rate fluctuations having a minimal impact.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2"/>
              </w:rPr>
              <w:t>Years ended August 31,</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8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663,446</w:t>
            </w:r>
          </w:p>
        </w:tc>
        <w:tc>
          <w:tcPr>
            <w:tcW w:w="5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659,296</w:t>
            </w:r>
          </w:p>
        </w:tc>
        <w:tc>
          <w:tcPr>
            <w:tcW w:w="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997,316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983,941</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438,035</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366,204</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i w:val="1"/>
                <w:iCs w:val="1"/>
                <w:color w:val="auto"/>
              </w:rPr>
              <w:t>Operating Margin</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30.5%</w:t>
            </w:r>
          </w:p>
        </w:tc>
        <w:tc>
          <w:tcPr>
            <w:tcW w:w="3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27.1%</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28.8%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services increased 0.6% to $663.4 million in fiscal 2019 compared to $659.3 in fiscal 2018. This increase was primarily due to an increase in data costs and computer-related expenses, partially offset by a reduction in compensation costs and contractor fees. Cost of services, expressed as a percentage of revenue, was 46.2% during fiscal 2019, a decrease of 260 basis points over the prior year period. This decrease was primarily due to revenue growth outpacing the growth of cost of services on a year over year basis, as well as a decrease in compensation costs, partially offset by an increase in computer-related expenses, when expressed as a percentage of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694"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Employee compensation, when expressed as a percentage of revenue decreased 300 basis points in fiscal 2019, compared to the prior fiscal year. This decrease in employee compensation was primarily driven by a foreign currency benefit from a stronger U.S. dollar, a shift in headcount distribution from our higher to lower cost locations, the timing of new employee hiring, and a restructuring charge impacting the prior year period, partially offset by higher employee benefit costs. Computer-related expenses increased 40 basis points, when expressed as a percentage of revenue for fiscal 2019, compared to the prior year period, primarily driven by increased costs from cloud-based hosting and licensed software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services increased 16.4% to $659.3 million in fiscal 2018 compared to $566.6 million in fiscal 2017. Cost of services, expressed as a percentage of revenue, was 48.8% during fiscal 2018, an increase of 240 basis points over fiscal 2017. This increase was primarily due to higher employee compensation costs driven by increased employee headcount and restructuring actions, incremental data costs from recent acquisitions and additional users as well as amortization of intangible assets associated with our recent acquisitions. This increase was partially offset by a reduction in stock-based compensation expenses from accelerated vesting in fiscal 2017.</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Employee compensation, including stock-based compensation, when expressed as a percentage of revenue increased 100 basis points in fiscal 2018, compared to fiscal 2017. The increase is primarily due to the hiring of 497 net new employees over the last 12 months, with the majority of their compensation recorded in cost of services due to their involvement with content collection, engineering and product development. Employee compensation expense further increased due to headcount expansion from fiscal 2017 acquisitions that were included for a full year in fiscal 2018, while fiscal 2017 only included a partial year amount. In addition, during fiscal 2018 we incurred $17.4 million of restructuring charges primarily related to severance of which $8.5 million was recorded within cost of services. Data costs, when expressed as a percentage of revenue, increased 60 basis points due primarily from our recent acquisitions and higher variable data costs associated with additional users. Amortization of acquired intangible assets, when expressed as a percentage of revenue, increased 20 basis points in fiscal 2018 compared to the same period a year ago, primarily due to recent acquisitions, which added $93.2 million of intangible assets to be amortized over a weighted-average life of 11.5 years. These intangible assets were amortized for the full fiscal 2018, while, fiscal 2017 did not include a similar amount of acquisition amortization due to the dates of each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increased 2.8% to $333.9 million during fiscal 2019 compared to $324.6 million in fiscal 2018. This increase was primarily due to an increase in bad debt expense and compensation costs, partially offset by a reduction in travel expenses. SG&amp;A expenses, expressed as a percentage of revenue, were 23.3% in fiscal 2019, a decrease of 70 basis points over the prior year period. This year over year decrease was primarily due to revenue growth outpacing the growth of SG&amp;A related expenses, lower employee compensation and a reduction in travel costs, partially offset by an increase in bad debt expense, when expressed as a percentage of revenue.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 compensation, when expressed as a percentage of revenue, decreased 50 basis points in fiscal 2019, compared to fiscal 2018. This decrease is primarily driven by a foreign currency benefit from a stronger U.S dollar, a shift in headcount distribution from our higher to lower cost locations, the timing of new employee hiring, and a restructuring charge impacting the prior year period, partially offset by higher employee benefit costs. Travel expenses decreased 30 basis points, as a percentage of revenue, due to an internal focus on cost discipline measures. Bad debt expense increased 60 basis points,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increased 7.3% to $324.6 million during fiscal 2018 compared to $302.5 million in fiscal 2017. SG&amp;A expenses, expressed as a percentage of revenue, were 24.0% in fiscal 2018, a decrease of 70 basis points over fiscal 2017. This decrease was primarily due to revenue growth outpacing the growth of SG&amp;A related expenses on a year over year basis, foreign currency exchange gains on hedging activities of our Indian Rupee and lower overall employee compensation including stock-based compensation expense. This decrease was partially offset primarily by higher legal costs, restructuring actions and new employee additions.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Employee compensation, including stock-based compensation, when expressed as a percentage of revenue decreased 50 basis points compared to fiscal 2017. The decrease is primarily related to a higher percentage of our employees working in a cost of services capacity compared to an SG&amp;A role. Compensation for our employees within the content collection, consulting, product development, software and systems engineering groups is recorded within cost of services while employees within our sales and various other support and administrative departments are reflected in SG&amp;A. In fiscal 2018, the majority of our hiring had been in departments within cost of services, thus driving a higher percentage of our employee compensation in this area. Partially offsetting these decreases were higher legal expenses primarily from the settlement of a legal matter in the fourth quarter of fiscal 2018, a full year of employee compensation from acquisitions and $8.9 million of severance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and Operating Margin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income increased 19.6% to $438.0 million in fiscal 2019 compared to $366.2 million in fiscal 2018. Operating income increased due to revenue growth, favorable foreign exchange rates which reduced the overall operating expense impact and mainly resulted in a reduction in compensation expense, as well as, decreased costs from restructuring actions, decreased travel expenses and contractor fees, partially offset by an increase in data costs, computer-related expenses and bad debt expense. Our operating margin increased in fiscal 2019 to 30.5%, compared to 27.1% for fiscal 2018. Operating margin increased due to incremental revenue that outpaced the growth of our operating expenses year over year, favorable foreign exchange rates, which reduced the overall operating expense impact and mainly resulted in a reduction in compensation expense, as well as, lower costs from restructuring actions, a reduction in travel expenses, partially offset by higher bad debt expense and computer-related expenses, when expressed as a percentage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ectPr>
          <w:pgSz w:w="11900" w:h="16838" w:orient="portrait"/>
          <w:cols w:equalWidth="0" w:num="1">
            <w:col w:w="11420"/>
          </w:cols>
          <w:pgMar w:left="240" w:top="125" w:right="239" w:bottom="117"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6"/>
          <w:szCs w:val="16"/>
          <w:color w:val="auto"/>
        </w:rPr>
        <w:t>Operating income increased 4.0% to $366.2 million in fiscal 2018 compared to $352.1 million in fiscal 2017. Our operating margin decreased in fiscal 2018 to 27.1%, compared to 28.8% for fiscal 2017. Operating income increased due to incremental revenue that outpaced the growth of SG&amp;A expenses year over year partially offset by higher cost of services. The reduction in operating margin year over year was due to an increase in employee compensation costs, including restructuring actions, data costs from acquisitions and additional users, amortization of intangible assets associated with acquisitions, and incremental legal fees partially offset by foreign currency exchange gains on hedging activities and lower stock-based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Income by Segment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0"/>
              </w:rPr>
              <w:t>Years ended August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179,374</w:t>
            </w:r>
          </w:p>
        </w:tc>
        <w:tc>
          <w:tcPr>
            <w:tcW w:w="5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148,095</w:t>
            </w:r>
          </w:p>
        </w:tc>
        <w:tc>
          <w:tcPr>
            <w:tcW w:w="3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179,258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148,977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153,676</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79,403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69,132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61,355</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438,035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366,204</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352,135</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segments are aligned with how we manage the business, the demographic markets we serve, and how the CODMG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 operating income increased 21.1% to $179.4 million during fiscal 2019, compared to $148.1 million a year ago. The increase in U.S. operating income was primarily due to revenue growth of 6.3% and a reduction in compensation expense, partially offset by increased computer-related expenses, data costs, bad debt expense and occupancy expense. Compensation expense decreased due to a net reduction in headcount of 4.9% over the past 12 months, the timing of new employee hiring, and a restructuring charge impacting the prior year period, partially offset by higher employee benefit costs. Computer related expenses increased year over year primarily due to increased costs from cloud-based hosting and licensed software arrangements. Data costs increased due to increased acquisition costs of fixed cost content and additional spend on variable cost content to drive revenue growth. Occupancy costs increased primarily related to leasing the new corporate headquarters space in Norwalk, Connecticut.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European operating income increased 20.3% to $179.3 million during fiscal 2019, compared to $149.0 million a year ago. The increase in European operating income was primarily due to revenue growth of 5.3% and an overall reduction in operating expenses driven mainly by a decrease in employee compensation expense and occupancy expense, partially offset by an increase in bad debt expense. Employee compensation decreased primarily due to a foreign currency benefit from a stronger U.S. dollar, a restructuring charge impacting the prior year period, partially offset by a net headcount increase of 2.9% over the past 12 months. Occupancy costs decreased due to a one-time adjustment recognized in fiscal 2019. The impact of foreign currency increased European operating income by $6.6 million year over year.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Asia Pacific operating income increased 14.9% to $79.4 million during fiscal 2019, compared to $69.1 million a year ago. The increase in Asia Pacific operating income was due to revenue growth of 10.0% and benefits from a stronger U.S. dollar, partially offset by increases in compensation expense and occupancy costs. Employee compensation was higher, year over year, due to a 3.3% increase in our Asia Pacific workforce, partially offset by a foreign currency benefit from a stronger U.S. dollar. Occupancy costs increased due primarily to the expansion of office space in India and the Philippines. The impact of foreign currency increased Asia Pacific operating income by $3.2 million year over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operating income increased 8.0% to $148.1 million during fiscal 2018 compared to $137.1 million in fiscal 2017. The increase in U.S. operating income was primarily due to revenue growth of 7.4%, partially offset by increased expenses related to employee compensation, computer equipment and data costs. Employee compensation increased primarily due to annual base salary increases, restructuring actions, and higher employee benefit costs including medical expenditures. Computer related expenses, which include depreciation, maintenance, software and other fees, increased year over year due to expenses associated with upgrades to existing computer systems in Norwalk, additional server equipment in our data centers located in New Jersey and Virginia, as well as laptop computers and peripherals for new and existing employees. Data costs increased due to higher third-party data costs from our recent acquisitions and additional users.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European operating income decreased 3.1% to $149.0 million during fiscal 2018 compared to $153.7 million in fiscal 2017. The impact of foreign currency decreased European operating income by $4.9 million year over year. Additionally, the decrease in European operating income was due to a full year impact of fiscal 2017 acquisitions, that contributed to higher employee compensation, amortization of intangible assets, and data costs, partially offset by revenue growth of 17.3%.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12.7% to $69.1 million during fiscal 2018 compared to $61.4 million in fiscal 2017. The increase in Asia Pacific operating income was due to revenue growth of 13.1% and benefits from a stronger U.S. dollar, partially offset by increases in employee compensation and occupancy costs. Employee compensation was higher year over year as result of a 9.2% increase in our Asia Pacific workforce. Occupancy costs increased due primarily to an increase in rent expense for additional office space in our Philippines location. The impact of foreign currency increased Asia Pacific operating income by $3.6 million year over year.</w:t>
      </w:r>
    </w:p>
    <w:p>
      <w:pPr>
        <w:sectPr>
          <w:pgSz w:w="11900" w:h="16838" w:orient="portrait"/>
          <w:cols w:equalWidth="0" w:num="1">
            <w:col w:w="11420"/>
          </w:cols>
          <w:pgMar w:left="240" w:top="125" w:right="239" w:bottom="82"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Income Taxes, Net Income and Diluted Earnings per Share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Years ended August 31,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9"/>
                <w:szCs w:val="19"/>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69,175</w:t>
            </w:r>
          </w:p>
        </w:tc>
        <w:tc>
          <w:tcPr>
            <w:tcW w:w="5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84,753</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352,790</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267,085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258,259</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fiscal 2019 provision for income taxes was $69.2 million, a decrease of 18.4% from the same period a year ago. The decrease was primarily attributable to the enactment of the TCJA. The TCJA imposed a one-time transition tax expense, which resulted in a $23.2 million impact to the income tax provision for fiscal 2018, without a comparable impact in fiscal 2019. This transition tax impact was revised during fiscal 2019, resulting in a net benefit of $3.4 million upon finalizing the accounting for the tax effects of the TCJA. The TCJA also lowered the statutory U.S corporate income tax rate from 35% to 21%, effective January 1, 2018, which was fully applicable for fiscal 2019 compared to the lower tax rate being phased in for the prior year comparable period. The reduction in the U.S. corporate income tax rate required a remeasurement of our net U.S. deferred tax position, which resulted in a non-recurring tax charge of $2.2 million during fiscal 2018. The decrease in the income tax provision year over year was partially offset by a $3.3 million income tax expense from finalizing prior years’ tax returns and other discrete items for fiscal 2019.</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16.4% for the full fiscal 2019 year compared to 24.1% a year ago was mainly due the reduction in the federal statutory rate from the enactment of the TCJA that was fully applicable for fiscal year 2019 compared to being phased in for the prior year comparable period. The decrease in the effective tax rate for fiscal 2019 was also due to the one-time transition tax from the TCJA that was recorded in the prior year period. These benefits were partially offset by higher foreign income taxed at rates lower than U.S.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fiscal 2018 provision for income taxes was $84.8 million, a decrease of 1.5% from fiscal 2017. The decrease was primarily attributable to the impacts associated with the U.S. tax reform under the TCJA. On December 22, 2017, the U.S. government enacted comprehensive tax legislation through the TCJA. The TCJA, among other things, lowered the statutory U.S. corporate income tax rate from 35% to 21%, effective January 1, 2018. Due to our August 31 fiscal year-end, the lower tax rate was phased in, resulting in a blended U.S. statutory federal rate of 25.7% for fiscal 2018. The TCJA also implemented a modified territorial tax system and imposed a mandatory one-time transition tax on accumulated earnings and profits (“E&amp;P”) of foreign subsidiaries that were previously deferred from U.S. income taxes.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tax rate was 24.1% for the full fiscal 2018 year compared to 25.0% in fiscal 2017, due to higher foreign income taxed at rates lower than U.S. rates, incremental income tax benefits from R&amp;D tax credits and increased excess tax benefits from stock option exercises. These benefits were partially offset by the one-time transition tax of $23.2 million and a $2.3 million tax expense associated with the remeasurement of our net U.S. deferred tax position, both of which related to the TCJA. We had approximately $250 million in undistributed foreign E&amp;P generated prior to December 31, 2017, which resulted in the provisional amount for the one-time transition tax expense of $23.2 million, payable over an eight-year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and Diluted Earnings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32.1% to $352.8 million while diluted earnings per share increased 33.9% to $9.08 during fiscal 2019 compared to fiscal 2018. Net income and diluted EPS increased primarily due to higher operating income, a reduction in the income tax provision primarily due to the TCJA reform, partially offset by an increase in interest expense associated with our outstanding debt. Diluted EPS also benefited from a 0.5 million share reduction in our diluted weighted average shares outstanding, compared to the same period a year ago, mainly due to share repurchases, partially offset by the impact from stock options issued.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3.4% to $267.1 million, while diluted earnings per share increased 4.1% to $6.78 during fiscal 2018 compared to fiscal 2017. Net income and diluted EPS grew primarily from higher revenue from strong performances across our segments and workflow solutions, gains earned from our foreign currency hedges, and a decrease in our effective tax rate due to the TCJA. These benefits were partially offset by an increase in employee compensation expenses, data costs, amortization of intangible assets from acquisitions, occupancy costs, and interest expense associated with our outstanding debt. Diluted EPS also benefited from a 0.3 million reduction in our weighted average shares outstanding due to share repurchases partially offset by stock option exercises during fiscal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shown in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we do, limiting the usefulness of those measures for comparative purposes.</w:t>
      </w:r>
    </w:p>
    <w:p>
      <w:pPr>
        <w:sectPr>
          <w:pgSz w:w="11900" w:h="16838" w:orient="portrait"/>
          <w:cols w:equalWidth="0" w:num="1">
            <w:col w:w="11420"/>
          </w:cols>
          <w:pgMar w:left="240" w:top="584" w:right="239" w:bottom="0" w:gutter="0" w:footer="0" w:header="0"/>
        </w:sectPr>
      </w:pPr>
    </w:p>
    <w:bookmarkStart w:id="22" w:name="page23"/>
    <w:bookmarkEnd w:id="22"/>
    <w:p>
      <w:pPr>
        <w:spacing w:after="0" w:line="2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w w:val="95"/>
              </w:rPr>
              <w:t>The table below provides an unaudited reconciliation of revenue to organic revenue.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Twelve Months Ended</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August 31,</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1,435,351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1,350,145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(1)</w:t>
            </w:r>
          </w:p>
        </w:tc>
        <w:tc>
          <w:tcPr>
            <w:tcW w:w="34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5,185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7,691</w:t>
            </w: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Currency impact</w:t>
            </w:r>
            <w:r>
              <w:rPr>
                <w:rFonts w:ascii="Arial" w:cs="Arial" w:eastAsia="Arial" w:hAnsi="Arial"/>
                <w:sz w:val="28"/>
                <w:szCs w:val="28"/>
                <w:color w:val="auto"/>
                <w:vertAlign w:val="superscript"/>
              </w:rPr>
              <w:t>(2)</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Organic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1,441,521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1,357,836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Deferred revenue fair value adjustments from purchase accounting.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  The impact from foreign currency movements over the past 12 months.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8"/>
                <w:szCs w:val="18"/>
                <w:color w:val="auto"/>
                <w:w w:val="94"/>
              </w:rPr>
              <w:t>Twelve Months Ended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August 31,</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right"/>
              <w:ind w:right="330"/>
              <w:spacing w:after="0" w:line="266" w:lineRule="exact"/>
              <w:rPr>
                <w:sz w:val="20"/>
                <w:szCs w:val="20"/>
                <w:color w:val="auto"/>
              </w:rPr>
            </w:pPr>
            <w:r>
              <w:rPr>
                <w:rFonts w:ascii="Arial" w:cs="Arial" w:eastAsia="Arial" w:hAnsi="Arial"/>
                <w:sz w:val="18"/>
                <w:szCs w:val="18"/>
                <w:color w:val="auto"/>
              </w:rPr>
              <w:t>2018</w:t>
            </w:r>
            <w:r>
              <w:rPr>
                <w:rFonts w:ascii="Arial" w:cs="Arial" w:eastAsia="Arial" w:hAnsi="Arial"/>
                <w:sz w:val="30"/>
                <w:szCs w:val="30"/>
                <w:color w:val="auto"/>
                <w:vertAlign w:val="superscript"/>
              </w:rPr>
              <w:t>(2)</w:t>
            </w:r>
          </w:p>
        </w:tc>
        <w:tc>
          <w:tcPr>
            <w:tcW w:w="260" w:type="dxa"/>
            <w:vAlign w:val="bottom"/>
          </w:tcPr>
          <w:p>
            <w:pPr>
              <w:spacing w:after="0"/>
              <w:rPr>
                <w:sz w:val="23"/>
                <w:szCs w:val="23"/>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Change</w:t>
            </w:r>
          </w:p>
        </w:tc>
        <w:tc>
          <w:tcPr>
            <w:tcW w:w="1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366,204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24,665</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7,691</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items</w:t>
            </w:r>
          </w:p>
        </w:tc>
        <w:tc>
          <w:tcPr>
            <w:tcW w:w="1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8,045</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26,950</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operating income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476,185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425,510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Adjusted operating margin</w:t>
            </w: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31.3%</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352,790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267,085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amortization(3)</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19,723</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revenue fair value adjustment(4)</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6,084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items(5)</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21,614</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items</w:t>
            </w:r>
          </w:p>
        </w:tc>
        <w:tc>
          <w:tcPr>
            <w:tcW w:w="1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5,274</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21,310</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net income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388,856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335,816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items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0.56</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items</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Adjusted diluted earnings per common share(6)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8.53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(diluted)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39,377</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fiscal 2019 were adjusted to exclude (i) intangible asset amortization (ii) deferred revenue fair value adjustments from purchase accounting, and (iii) other items including severance, stock-based compensation acceleration, professional fees for infrastructure upgrade activities, a one-time adjustment related to data costs and occupancy costs, partially offset by non-core transaction related revenue. Net income and diluted EPS in fiscal 2019 were also adjusted to exclude amounts primarily related to finalizing prior years' tax returns and other discrete items.</w:t>
      </w:r>
    </w:p>
    <w:p>
      <w:pPr>
        <w:spacing w:after="0" w:line="188" w:lineRule="exact"/>
        <w:rPr>
          <w:rFonts w:ascii="Arial" w:cs="Arial" w:eastAsia="Arial" w:hAnsi="Arial"/>
          <w:sz w:val="18"/>
          <w:szCs w:val="18"/>
          <w:i w:val="1"/>
          <w:iCs w:val="1"/>
          <w:color w:val="auto"/>
        </w:rPr>
      </w:pPr>
    </w:p>
    <w:p>
      <w:pPr>
        <w:jc w:val="both"/>
        <w:ind w:left="660" w:right="20" w:hanging="328"/>
        <w:spacing w:after="0" w:line="286"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Operating income, net income and diluted EPS in fiscal 2018 were adjusted to exclude (i) intangible asset amortization (ii) deferred revenue fair value adjustments from purchase accounting, and (iii) other items including restructuring, legal matters and other corporate actions. Net income and diluted EPS in fiscal 2018 were also adjusted to exclude a one-time deemed repatriation tax on foreign earnings.</w:t>
      </w:r>
    </w:p>
    <w:p>
      <w:pPr>
        <w:spacing w:after="0" w:line="165" w:lineRule="exact"/>
        <w:rPr>
          <w:rFonts w:ascii="Arial" w:cs="Arial" w:eastAsia="Arial" w:hAnsi="Arial"/>
          <w:sz w:val="17"/>
          <w:szCs w:val="17"/>
          <w:i w:val="1"/>
          <w:iCs w:val="1"/>
          <w:color w:val="auto"/>
        </w:rPr>
      </w:pPr>
    </w:p>
    <w:p>
      <w:pPr>
        <w:ind w:left="660" w:hanging="328"/>
        <w:spacing w:after="0"/>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intangible asset amortization was recorded net of a tax impact of $4.7 million in fiscal 2019 compared with $4.9 million for fiscal 2018.</w:t>
      </w:r>
    </w:p>
    <w:p>
      <w:pPr>
        <w:spacing w:after="0" w:line="23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deferred revenue fair value adjustment was recorded net of a tax impact of $1.0 million in fiscal 2019 compared with $1.6 million for fiscal 2018.</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impact of $1.7 million in fiscal 2019 compared with $5.3 million for fiscal 2018.</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Details may not sum to total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6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ectPr>
          <w:pgSz w:w="11900" w:h="16860" w:orient="portrait"/>
          <w:cols w:equalWidth="0" w:num="1">
            <w:col w:w="11420"/>
          </w:cols>
          <w:pgMar w:left="240" w:top="125"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w w:val="96"/>
              </w:rPr>
              <w:t>The table below, for the periods indicated, provides selected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89"/>
              </w:rPr>
              <w:t>Years ended August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427,136</w:t>
            </w:r>
          </w:p>
        </w:tc>
        <w:tc>
          <w:tcPr>
            <w:tcW w:w="5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385,668</w:t>
            </w:r>
          </w:p>
        </w:tc>
        <w:tc>
          <w:tcPr>
            <w:tcW w:w="3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line="243"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8"/>
                <w:szCs w:val="28"/>
                <w:color w:val="auto"/>
                <w:vertAlign w:val="superscript"/>
              </w:rPr>
              <w:t>(1)</w:t>
            </w:r>
          </w:p>
        </w:tc>
        <w:tc>
          <w:tcPr>
            <w:tcW w:w="34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(59,370)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(33,520)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367,766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352,148</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(56,100)</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(48,531)</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(214,274)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(320,037)</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359,799</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208,623</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net cash used in investing activities during each fiscal year reported.</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Free cash flow is defined as cash provided by operating activities, which includes the cash cost for taxes and changes in working capital, less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aggregated to $359.8 million, or 23.1% of total assets at August 31, 2019, compared with $208.6 million, or 14.7% of total assets at August 31, 2018. Our cash and cash equivalents increased $151.2 million during fiscal 2019, primarily due to $575.0 million in proceeds from debt, $427.1 million of net cash provided by operating activities, $107.1 million in proceeds from the exercise of employee stock options and $3.3 million in net proceeds from investments. These cash inflows were partially offset by $575.0 million related to the repayment of debt, $220.4 million in share repurchases (which included $213.1 million under the existing share repurchase program and $7.3 million in shares repurchased from employees to cover their cost of taxes upon vesting of restricted stock), $100.1 million in dividend payments, $59.4 million of capital expenditures, and $5.6 million from the effects of foreign currency translations.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$56.1 million in fiscal 2019, representing a $7.6 million increase in cash used from investing activities, compared to fiscal 2018. This increase was primarily due to $25.9 million of higher capital expenditures, offset by a $15.0 million decrease in acquisition activity, and a $3.3 million increase in net proceeds from investments (net of purchases).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2019, net cash used in financing activities was $214.3 million, representing a $105.8 million decrease from fiscal 2018. This decrease was due primarily to $575.0 million of borrowings under our 2019 Credit Agreement, an $83.6 million decrease in share repurchases and a $35.4 million increase in proceeds from employee stock plans. This decrease was partially offset by the $575.0 million retirement of the 2017 Credit Agreement and a $10.6 million increase in dividend payments. Refer to the Capital Resources section of the MD&amp;A for a discussion on our Long-term debt borrowings.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our cash. As of August 31, 2019, our total cash and cash equivalents worldwide was $359.8 million, with $132.6 million included in the U.S. segment, the majority of which is held in bank accounts located within the U.S., $183.5 million in the Europe segment, predominantly within bank accounts in the UK, France, and Germany, and the remaining $43.7 million held in the Asia Pacific segment. As of August 31, 2019, we also had $574.2 million in outstanding borrowings (net of $0.8 million of unamortized debt issuance costs). We believe our liquidity (including cash on hand, cash from operating activities and other cash flows that we expect to generate) within each geographic segment will be sufficient to meet our short-term and long-term operating requirements,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generated in fiscal 2019 was $367.8 million, an increase of 4.4% compared to $352.1 million in fiscal 2018. Free cash flow is the result of $427.1 million of net cash provided by operating activities, partially offset by $59.4 million in capital expenditures. The year over year increase to free cash flow was primarily driven by higher net income and an increase in client collections due to a reduction in our days sales outstanding ("DSO") to 37 days as of August 31, 2019, compared to 41 days for the prior year period, partially offset by higher capital requirements from the build-out of new office space and the timing of supplier and tax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and cash equivalents aggregated to $208.6 million, or 14.7% of our total assets at August 31, 2018, compared with $194.7 million, or 13.8% of our total assets at August 31, 2017. Our cash and cash equivalents increased $13.9 million during fiscal 2018 due to net cash provided by operating activities of $385.7 million and $71.6 million in proceeds from the exercise of employee stock options. These cash inflows were partially offset by $89.4 million in dividend payments, $33.5 million of capital expenditures, $15.0 million related to a business investment, $3.2 million from the effects of foreign currency translations and $303.9 million in share repurchases, which included $302.4 million under the existing share repurchase program and $1.5 million in shares repurchased from employees to cover their cost of taxes upon vesting of restricted stock.</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in investing activities was $48.5 million in fiscal 2018, representing a $298.8 million decrease from fiscal 2017. This reduction was primarily due to decreased acquisition activity with $15.0 million invested in fiscal 2018 compared to $303.1 million largely related to the BI-SAM Technologies (“BISAM”) and Vermilion Holdings Limited (“Vermilion”) acquisitions in fiscal 2017. Additionally, cash used in investing activities decreased year over year due to lower capital expenditures of $3.3 million and a decrease in the purchase of investments (net of proceeds) of $7.4 million year over year</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2018, net cash used in financing activities was $320.0 million, representing a $311.9 million increase from fiscal 2017. This increase was due to $275.0 million in proceeds (net of repayment) from the issuance of long-term debt in fiscal 2017 that did not occur in fiscal 2018. In addition, the decrease was due to higher dividend payments of $8.5 million, an increase in share repurchases of $43.0 million, and a change in the presentation of tax benefits from share-based payment arrangements due to the adoption of the accounting standard update, which required us to disclose benefits from stock option exercises</w:t>
      </w:r>
    </w:p>
    <w:p>
      <w:pPr>
        <w:sectPr>
          <w:pgSz w:w="11900" w:h="16838" w:orient="portrait"/>
          <w:cols w:equalWidth="0" w:num="1">
            <w:col w:w="11420"/>
          </w:cols>
          <w:pgMar w:left="240" w:top="341" w:right="239" w:bottom="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as an operating cash inflow instead of a financing activity. This presentation change was adopted prospectively beginning with fiscal 2018. These cash outflows were partially offset by an increase in proceeds from employee stock plans of $21.6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Free cash flow generated in fiscal 2018 was $352.1 million, an increase of 24.1% compared to $283.7 million in fiscal 2017. Free cash flow was attributable to $267.1 million of net income, $87.0 million of non-cash items, $31.6 million of working capital changes, less $33.5 million in capital expenditures. The year over year free cash flow growth was driven by positive working capital changes totaling $47.6 million and lower capital expenditures of $3.3 million. Working capital improved year over year due to timing of supplier payments and payroll, stabilization of our days sales outstanding (“DSO”) at 41 days and the adoption of an accounting standard update for share-based payments, which required the presentation of benefits from stock options exercised to be reported as an operating activity, when in prior periods it was reported as a financing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$59.4 million during fiscal 2019, compared to $33.5 million a year ago. Capital expenditures of $28.0 million, or 47%,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build-out of office space, with $22.3 million related to the new corporate headquarters in Norwalk, Connecticut and $6.6 million related to new office space in India.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$33.5 million during fiscal 2018, down from $36.9 million in fiscal 2017. Capital expenditures of $24.2 million, or 72% of our capital expenditures during fiscal 2018 related to upgrades to existing computer systems in Norwalk, additional server equipment in our data centers located in New Jersey and Virginia, as well as laptop computers and peripherals for new and existing employees. The remainder of our capital expenditures was primarily for the build out of office space including $2.2 million at our India location, $2.8 million at our Hong Kong location and $1.5 million at our Netherlands location.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Capital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of up to $500.0 million, provided that any such request for additional borrowings must be in a minimum amount of $25.0 million.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August 31, 2019. The principal balance is payable in full on the maturity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our long-term debt was $575.0 million as of August 31, 2019, which the Company believe approximates carrying amount as the terms and interest rates approximate market rates given its floating interest rate basis. Borrowings under the loan bear interest on the outstanding principal amount at a rate equal to the daily LIBOR rate plus a spread using a debt leverage pricing grid, currently at 0.875%. During fiscal years 2019, 2018 and 2017, FactSet recorded interest expense of $19.8 million, $15.9 million and $8.4 million, respectively, on its outstanding debt amounts. The weighted average interest rate on amounts outstanding under our credit facilities was 3.35% and 2.69% as of August 31, 2019 and 2018, respectively. Interest on the loan outstanding is payable quarterly, in arrears, and on the maturity date.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August 31,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borrowings from the 2019 Credit Agreement were used to retire all outstanding debt under the previous 2017 Credit Agreement between FactSet, as the borrower, and PNC as the lender on March 29, 2019. The total principal amount of the debt outstanding at the time of retirement was $575.0 million and there were no prepayment penalties.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provided for a $575.0 million revolving credit facility (the "2017 Revolving Credit Facility"). The 2017 Credit Agreement also allowed FactSet, subject to certain requirements, to arrange for additional borrowings with PNC for an aggregate amount of up to $225.0 million, provided that any such request for additional borrowings was in a minimum amount of $25.0 million. FactSet could have requested borrowings under the 2017 Revolving Credit Facility until its maturity or retirement date. Borrowings under the loan were subject to interest on the outstanding principal amount at a rate equal to the daily LIBOR rate plus 1.00%. Interest on the loan outstanding was payable quarterly in arrears and on the maturity date. There were no prepayment penalties if the Company elected to prepay the outstanding loan amounts prior to the scheduled maturity date. The principal balance was repaid in full on March 29, 2019.</w:t>
      </w:r>
    </w:p>
    <w:p>
      <w:pPr>
        <w:sectPr>
          <w:pgSz w:w="11900" w:h="16838" w:orient="portrait"/>
          <w:cols w:equalWidth="0" w:num="1">
            <w:col w:w="11420"/>
          </w:cols>
          <w:pgMar w:left="240" w:top="125"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$2.8 million of standby letters of credit have been issued in connection with our leased office spaces as of August 31, 2019. These standby letters of credit contain covenants that, among other things, require us to maintain minimum levels of consolidated net worth and certain leverage and fixed charge ratios. As of August 31, 2019 and 2018, we were in compliance with all covenants contained in the standby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Exposure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Europe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(loss) income as a component of stockholders’ equity.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currency exchange exposure is related to our operating expense base in countries outside the U.S., where 76% of our employees were located as of August 31, 2019. During fiscal 2019, foreign currency movements increased operating income by $10.1 million, compared to a decrease in operating income by $1.3 million for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2019,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our Indian Rupee exposure through the end of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 and 25% of our Indian Rupee exposure through the fourth quarter of 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75% of our Euro exposure through the first quarter of fiscal 2020, 50%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Euro exposure from the second quarter through the third quarter of fiscal 2020, and 25% of our Euro exposure through the fourth quarter of fiscal 2020.</w:t>
      </w:r>
    </w:p>
    <w:p>
      <w:pPr>
        <w:spacing w:after="0" w:line="181" w:lineRule="exact"/>
        <w:rPr>
          <w:rFonts w:ascii="Arial" w:cs="Arial" w:eastAsia="Arial" w:hAnsi="Arial"/>
          <w:sz w:val="18"/>
          <w:szCs w:val="18"/>
          <w:i w:val="1"/>
          <w:iCs w:val="1"/>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75% of our British Pound sterling exposure through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50% of our British Pound Sterling exposure from the second quarter through the third quarter of fiscal 2020, and 25% of our British Pound sterling exposure through the fourth quarter of fiscal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the gross notional value of foreign currency forward contracts to purchase Philippine Pesos and Indian Rupees with U.S. dollars was ₱1.4 billion and Rs.1.4 billion, respectively. The gross notional value of foreign currency forward contracts to purchase U.S. dollars with Euros and British Pound Sterling was €35.7 million and £20.5 million, respectively.</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other outstanding foreign currency contracts as of August 31, 2019. A loss on derivatives of $1.8 million was recorded in operating income during fiscal 2019, compared to a gain of $3.1 million in fiscal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August 31, 2019 and 2018, we had no off-balance sheet financing or other arrangements with unconsolidated entities or financial partnerships (such as entities often referred to as structured finance or special purpose entities) established for purposes of facilitating off-balance sheet financing or other debt arrangements or for other contractually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Repurchases will be made from time to time in the open market and privately negotiated transactions, subject to market conditions. In fiscal 2019, we repurchased 0.9 million shares for $213.1 million compared to 1.5 million shares for $302.4 million in fiscal 2018 under the existing share repurchase program. Over the last 12 months, we have returned $320.4 million to stockholders in the form of share repurchases and dividends.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$238.6 million is available for future repurchases as of August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disclosed below. As of August 31, 2019 and 2018, we had total purchase commitments with suppliers of $83.3 million and $79.0 million, respectively. There were no material changes in the Company’s purchase commitments with suppliers during fiscal 2019.</w:t>
      </w:r>
    </w:p>
    <w:p>
      <w:pPr>
        <w:sectPr>
          <w:pgSz w:w="11900" w:h="16838" w:orient="portrait"/>
          <w:cols w:equalWidth="0" w:num="1">
            <w:col w:w="11420"/>
          </w:cols>
          <w:pgMar w:left="240" w:top="125" w:right="239" w:bottom="0" w:gutter="0" w:footer="0" w:header="0"/>
        </w:sectPr>
      </w:pPr>
    </w:p>
    <w:bookmarkStart w:id="26" w:name="page27"/>
    <w:bookmarkEnd w:id="26"/>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significant contractual obligations as of August 31, 2019 and the corresponding effect that these obligations will have on our liquidity and cash flows in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2025 and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2021-2022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7"/>
              </w:rPr>
              <w:t>2023-2024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9"/>
                <w:szCs w:val="29"/>
                <w:color w:val="auto"/>
                <w:vertAlign w:val="superscript"/>
              </w:rPr>
              <w:t>(1)</w:t>
            </w:r>
          </w:p>
        </w:tc>
        <w:tc>
          <w:tcPr>
            <w:tcW w:w="7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3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3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3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580" w:type="dxa"/>
            <w:vAlign w:val="bottom"/>
          </w:tcPr>
          <w:p>
            <w:pPr>
              <w:spacing w:after="0" w:line="256"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9"/>
                <w:szCs w:val="29"/>
                <w:color w:val="auto"/>
                <w:vertAlign w:val="superscript"/>
              </w:rPr>
              <w:t>(2)</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43"/>
        </w:trPr>
        <w:tc>
          <w:tcPr>
            <w:tcW w:w="20" w:type="dxa"/>
            <w:vAlign w:val="bottom"/>
          </w:tcPr>
          <w:p>
            <w:pPr>
              <w:spacing w:after="0"/>
              <w:rPr>
                <w:sz w:val="21"/>
                <w:szCs w:val="21"/>
                <w:color w:val="auto"/>
              </w:rPr>
            </w:pPr>
          </w:p>
        </w:tc>
        <w:tc>
          <w:tcPr>
            <w:tcW w:w="35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8"/>
                <w:szCs w:val="28"/>
                <w:color w:val="auto"/>
                <w:vertAlign w:val="superscript"/>
              </w:rPr>
              <w:t>(3)</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w:t>
            </w: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contractual obligations by period(4)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1,058.3</w:t>
            </w:r>
          </w:p>
        </w:tc>
      </w:tr>
    </w:tbl>
    <w:p>
      <w:pPr>
        <w:spacing w:after="0" w:line="187" w:lineRule="exact"/>
        <w:rPr>
          <w:sz w:val="20"/>
          <w:szCs w:val="20"/>
          <w:color w:val="auto"/>
        </w:rPr>
      </w:pPr>
    </w:p>
    <w:p>
      <w:pPr>
        <w:jc w:val="both"/>
        <w:ind w:left="660" w:right="20" w:hanging="328"/>
        <w:spacing w:after="0" w:line="264"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 amounts include future minimum lease payments under all our non-cancelable operating leases with an initial term in excess of one year. For more information on our operating leases, see Note 19, Commitments and Contingencies, in the Notes to the Company’s Consolidated Financial Statements included in Item 8 of this Report on Form 10-K.</w:t>
      </w:r>
    </w:p>
    <w:p>
      <w:pPr>
        <w:spacing w:after="0" w:line="181"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Purchase commitments represent payments due in future periods in respect of obligations to our various data vendors as well as commitments to purchase goods and services such as telecommunication services, computer software and maintenance support and consulting services.</w:t>
      </w:r>
    </w:p>
    <w:p>
      <w:pPr>
        <w:spacing w:after="0" w:line="146" w:lineRule="exact"/>
        <w:rPr>
          <w:rFonts w:ascii="Arial" w:cs="Arial" w:eastAsia="Arial" w:hAnsi="Arial"/>
          <w:sz w:val="17"/>
          <w:szCs w:val="17"/>
          <w:i w:val="1"/>
          <w:iCs w:val="1"/>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amount due under the Company’s 2019 Credit Agreement.</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Non-current income taxes payable of $26.3 million and non-current deferred tax liabilities of $16.4 million have been excluded in the table above due to uncertainty regarding the timing of future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Purchase orders do not necessarily reflect a binding commitment but are merely indicative of authorizations and intention to conclude purchases in the future. For the purpose of this tabular disclosure, purchase obligations for goods and services are defined as agreements that are enforceable and legally binding on us and that specify all significant terms, including: fixed or minimum quantities to be purchased; fixed, minimum or variable price provisions; and the approximate timing of the transaction. It is expected that all the contractual obligations noted in the table will be funded from existing cash and cash flows from operations. Expected timing pertaining to the contractual obligations included in the table above has been estimated based on information currently available. The amounts paid, and the timing of those payments may differ based on when the goods and services provided by our vendors to whom we are contractually obligated are received, as well, as due to changes to agreed-upon amounts for any of our obligations.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2018, we entered into a new lease to relocate our corporate headquarters to 45 Glover Avenue in Norwalk, Connecticut. The new location will comprise approximately 173,000 square feet of office space. We took possession of the newly leased property on January 1, 2019 for fit-out purposes. We will continue to occupy our existing headquarters space until the new headquarters property is ready for occupancy, currently estimated to be in the second quarter of fiscal 2020.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Including new lease agreements executed during fiscal 2019, our worldwide leased office space increased to approximately 1,860,000 square feet at August 31, 2019, up 110,000 square feet, or 6.3% from August 31, 2018. This increase was primarily related to additional office space in India. Future minimum requirements for our operating leases in place as of August 31, 2019 totaled $400.0 million, a decrease from $407.8 million as of August 31, 2018. This decrease is primarily due the passage of a year on remaining rental agreement terms, reducing the overall future minimum lease obligation, partially offset by added office space in India.</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disclosed earlier in the </w:t>
      </w:r>
      <w:r>
        <w:rPr>
          <w:rFonts w:ascii="Arial" w:cs="Arial" w:eastAsia="Arial" w:hAnsi="Arial"/>
          <w:sz w:val="16"/>
          <w:szCs w:val="16"/>
          <w:i w:val="1"/>
          <w:iCs w:val="1"/>
          <w:color w:val="auto"/>
        </w:rPr>
        <w:t>Capital Resources</w:t>
      </w:r>
      <w:r>
        <w:rPr>
          <w:rFonts w:ascii="Arial" w:cs="Arial" w:eastAsia="Arial" w:hAnsi="Arial"/>
          <w:sz w:val="16"/>
          <w:szCs w:val="16"/>
          <w:color w:val="auto"/>
        </w:rPr>
        <w:t xml:space="preserve"> section of this MD&amp;A, we entered into the 2019 Credit Agreement on March 29, 2019 and borrowed $575.0 million. In conjunction with the 2019 Credit Agreement, FactSet retired its loan outstanding under the 2017 Credit Agreement amount of $575.0 million.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new leases entered in the ordinary course of business, there were no other significant changes to our contractual obligations during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9, 2019, our Board of Directors approved a regular quarterly dividend of $0.72 to be paid on September 19, 2019. The $0.08 per share or 12.5% increase marked our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year we have increased dividends, highlighting our continued commitment to returning value to shareholders. Over the last 12 months, we have returned $320.4 million to stockholders in the form of share repurchases and cash dividends. Future cash dividends will depend on our earnings, capital requirements, financial condition and other relevant factors. Dividends must be authorized by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2019 and 2018, our Board of Directors declared the following dividends on our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0"/>
              </w:rPr>
              <w:t>Dividends per</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88"/>
              </w:rPr>
              <w:t>Share of</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3"/>
              </w:rPr>
              <w:t>Common</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i w:val="1"/>
                <w:iCs w:val="1"/>
                <w:color w:val="auto"/>
                <w:w w:val="91"/>
              </w:rPr>
              <w:t>Total $ Amount</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88"/>
              </w:rPr>
              <w:t>Stock</w:t>
            </w:r>
          </w:p>
        </w:tc>
        <w:tc>
          <w:tcPr>
            <w:tcW w:w="2020" w:type="dxa"/>
            <w:vAlign w:val="bottom"/>
          </w:tcPr>
          <w:p>
            <w:pPr>
              <w:ind w:left="740"/>
              <w:spacing w:after="0"/>
              <w:rPr>
                <w:sz w:val="20"/>
                <w:szCs w:val="20"/>
                <w:color w:val="auto"/>
              </w:rPr>
            </w:pPr>
            <w:r>
              <w:rPr>
                <w:rFonts w:ascii="Arial" w:cs="Arial" w:eastAsia="Arial" w:hAnsi="Arial"/>
                <w:sz w:val="18"/>
                <w:szCs w:val="18"/>
                <w:color w:val="auto"/>
              </w:rPr>
              <w:t>Record Date</w:t>
            </w:r>
          </w:p>
        </w:tc>
        <w:tc>
          <w:tcPr>
            <w:tcW w:w="52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i w:val="1"/>
                <w:iCs w:val="1"/>
                <w:color w:val="auto"/>
                <w:w w:val="96"/>
              </w:rPr>
              <w:t>(in thousands)</w:t>
            </w:r>
          </w:p>
        </w:tc>
        <w:tc>
          <w:tcPr>
            <w:tcW w:w="2080" w:type="dxa"/>
            <w:vAlign w:val="bottom"/>
          </w:tcPr>
          <w:p>
            <w:pPr>
              <w:ind w:left="58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2019</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2020" w:type="dxa"/>
            <w:vAlign w:val="bottom"/>
          </w:tcPr>
          <w:p>
            <w:pPr>
              <w:ind w:left="100"/>
              <w:spacing w:after="0"/>
              <w:rPr>
                <w:sz w:val="20"/>
                <w:szCs w:val="20"/>
                <w:color w:val="auto"/>
              </w:rPr>
            </w:pPr>
            <w:r>
              <w:rPr>
                <w:rFonts w:ascii="Arial" w:cs="Arial" w:eastAsia="Arial" w:hAnsi="Arial"/>
                <w:sz w:val="18"/>
                <w:szCs w:val="18"/>
                <w:color w:val="auto"/>
              </w:rPr>
              <w:t>November 30, 2018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24,372</w:t>
            </w:r>
          </w:p>
        </w:tc>
        <w:tc>
          <w:tcPr>
            <w:tcW w:w="2080" w:type="dxa"/>
            <w:vAlign w:val="bottom"/>
          </w:tcPr>
          <w:p>
            <w:pPr>
              <w:ind w:left="10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28,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24,385</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2020" w:type="dxa"/>
            <w:vAlign w:val="bottom"/>
          </w:tcPr>
          <w:p>
            <w:pPr>
              <w:ind w:left="100"/>
              <w:spacing w:after="0"/>
              <w:rPr>
                <w:sz w:val="20"/>
                <w:szCs w:val="20"/>
                <w:color w:val="auto"/>
              </w:rPr>
            </w:pPr>
            <w:r>
              <w:rPr>
                <w:rFonts w:ascii="Arial" w:cs="Arial" w:eastAsia="Arial" w:hAnsi="Arial"/>
                <w:sz w:val="18"/>
                <w:szCs w:val="18"/>
                <w:color w:val="auto"/>
              </w:rPr>
              <w:t>May 31, 2019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27,506</w:t>
            </w:r>
          </w:p>
        </w:tc>
        <w:tc>
          <w:tcPr>
            <w:tcW w:w="2080" w:type="dxa"/>
            <w:vAlign w:val="bottom"/>
          </w:tcPr>
          <w:p>
            <w:pPr>
              <w:ind w:left="100"/>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30,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19,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2020" w:type="dxa"/>
            <w:vAlign w:val="bottom"/>
          </w:tcPr>
          <w:p>
            <w:pPr>
              <w:ind w:left="100"/>
              <w:spacing w:after="0"/>
              <w:rPr>
                <w:sz w:val="20"/>
                <w:szCs w:val="20"/>
                <w:color w:val="auto"/>
              </w:rPr>
            </w:pPr>
            <w:r>
              <w:rPr>
                <w:rFonts w:ascii="Arial" w:cs="Arial" w:eastAsia="Arial" w:hAnsi="Arial"/>
                <w:sz w:val="18"/>
                <w:szCs w:val="18"/>
                <w:color w:val="auto"/>
              </w:rPr>
              <w:t>November 30, 2017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21,902</w:t>
            </w:r>
          </w:p>
        </w:tc>
        <w:tc>
          <w:tcPr>
            <w:tcW w:w="2080" w:type="dxa"/>
            <w:vAlign w:val="bottom"/>
          </w:tcPr>
          <w:p>
            <w:pPr>
              <w:ind w:left="10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28, 2018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21,799</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2020" w:type="dxa"/>
            <w:vAlign w:val="bottom"/>
          </w:tcPr>
          <w:p>
            <w:pPr>
              <w:ind w:left="100"/>
              <w:spacing w:after="0"/>
              <w:rPr>
                <w:sz w:val="20"/>
                <w:szCs w:val="20"/>
                <w:color w:val="auto"/>
              </w:rPr>
            </w:pPr>
            <w:r>
              <w:rPr>
                <w:rFonts w:ascii="Arial" w:cs="Arial" w:eastAsia="Arial" w:hAnsi="Arial"/>
                <w:sz w:val="18"/>
                <w:szCs w:val="18"/>
                <w:color w:val="auto"/>
              </w:rPr>
              <w:t>May 31, 2018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24,566</w:t>
            </w:r>
          </w:p>
        </w:tc>
        <w:tc>
          <w:tcPr>
            <w:tcW w:w="2080" w:type="dxa"/>
            <w:vAlign w:val="bottom"/>
          </w:tcPr>
          <w:p>
            <w:pPr>
              <w:ind w:left="100"/>
              <w:spacing w:after="0"/>
              <w:rPr>
                <w:sz w:val="20"/>
                <w:szCs w:val="20"/>
                <w:color w:val="auto"/>
              </w:rPr>
            </w:pPr>
            <w:r>
              <w:rPr>
                <w:rFonts w:ascii="Arial" w:cs="Arial" w:eastAsia="Arial" w:hAnsi="Arial"/>
                <w:sz w:val="18"/>
                <w:szCs w:val="18"/>
                <w:color w:val="auto"/>
              </w:rPr>
              <w:t>June 19, 2018</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7" w:name="page28"/>
    <w:bookmarkEnd w:id="27"/>
    <w:p>
      <w:pPr>
        <w:ind w:left="180"/>
        <w:spacing w:after="0"/>
        <w:tabs>
          <w:tab w:leader="none" w:pos="3720" w:val="left"/>
          <w:tab w:leader="none" w:pos="4920" w:val="left"/>
          <w:tab w:leader="none" w:pos="5440" w:val="left"/>
          <w:tab w:leader="none" w:pos="7740" w:val="left"/>
          <w:tab w:leader="none" w:pos="8720" w:val="left"/>
          <w:tab w:leader="none" w:pos="9420" w:val="left"/>
        </w:tabs>
        <w:rPr>
          <w:sz w:val="20"/>
          <w:szCs w:val="20"/>
          <w:color w:val="auto"/>
        </w:rPr>
      </w:pPr>
      <w:r>
        <w:rPr>
          <w:rFonts w:ascii="Arial" w:cs="Arial" w:eastAsia="Arial" w:hAnsi="Arial"/>
          <w:sz w:val="18"/>
          <w:szCs w:val="18"/>
          <w:color w:val="auto"/>
        </w:rPr>
        <w:t>Fourth Quarter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0.64</w:t>
        <w:tab/>
        <w:t>August 31, 2018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24,443</w:t>
      </w:r>
      <w:r>
        <w:rPr>
          <w:sz w:val="20"/>
          <w:szCs w:val="20"/>
          <w:color w:val="auto"/>
        </w:rPr>
        <w:tab/>
      </w:r>
      <w:r>
        <w:rPr>
          <w:rFonts w:ascii="Arial" w:cs="Arial" w:eastAsia="Arial" w:hAnsi="Arial"/>
          <w:sz w:val="16"/>
          <w:szCs w:val="16"/>
          <w:color w:val="auto"/>
        </w:rPr>
        <w:t>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describe our significant accounting policies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our Consolidated Financial Statements included in Item 8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Management has discussed the development and selection of these critical accounting estimates with the Audit Committee of our Board of Directors. In addition, there are other items within our consolidated financial statements that require estimation but are not deemed critical as defined above. Changes in estimates used in these and other items could have a material impact on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its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are recognized separately from the business combination and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Equity Awards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Performance-based equity awards, whether in the form of stock options or restricted stock, require management to make assumptions regarding the likelihood of achieving performance targets. The number of performance-based awards that vest will be predicated on achieving performance levels during the measurement period subsequent to the date of grant. Dependent on the financial performance levels attained, a percentage of the performance-based awards will vest to the grantees. However, there is no current guarantee that such awards will vest in whole or in 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2017 Performance-based Option Grant Review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BISAM, FactSet granted 206,417 performance-based stock options in June 2017. These performance-based options were scheduled to vest 40% on the second anniversary date of the grant and 20% on each subsequent anniversary date, if certain BISAM revenue and operating income targets were achieved by March 31, 2019. In the third quarter of fiscal 2019, it was determined that the performance criteria were not achieved by March 31, 2019, and, as such, the options were forfeited, and no stock-based compensation expense was recorded for this performance-based option grant for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Accrued Compensation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significant estimates in determining our accrued compensation. We conduct a final review of Company, departmental and individual performance each year end to determine the amount of discretionary employee compensation. We also review compensation throughout the year to determine how overall performance tracks against management’s expectations. Management takes these and other factors, including historical performance, into account in reviewing accrued compensation estimates on a quarterly basis and adjusts accrual rates as appropriate. As of August 31, 2019, and 2018, the amount of the variable employee compensation recorded within accrued compensation was $49.4 million and $43.6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we are required to test goodwill at the reporting unit level for potential impairment, and, if impaired, write down to fair value based on the present value of discounted cash flows. Our reporting units evaluated for potential impairment were the U.S., Europe and Asia Pacific, which is aligned with how the chief operating decision making group (“CODMG”), composed of the CEO and executive management, manages the business and the demographic markets we serve. The three reporting units are consistent with the operating segments reported as there is no discrete financial information available for the subsidiaries or business units within each operating segment. The impairment test requires management to make judgments in connection with these reporting units, including assigning assets, liabilities, goodwill and other indefinite-lived intangible assets to reporting units and determining the fair value of each reporting unit.</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impairment analysis contains uncertainties as it requires management to make assumptions and apply judgment to estimate industry and economic factors including market conditions, legal and technological factors and the profitability of our business strategies. It is our policy to conduct impairment testing based on our current business strategies taking into consideration present industry and economic conditions, as well as future expectations. In fiscal 2019, we elected to perform a qualitative analysis for the reporting units to determine whether it is more likely than not the fair value of the reporting unit is greater than its carrying value. In performing a qualitative assessment, FactSet considers such factors as macro-economic conditions, industry and market conditions in which FactSet operates including the competitive environment and significant changes in demand for the Company’s services. The Company also considers its share price both in absolute terms and in relation to peer companies. If the qualitative analysis indicates that it is more likely than not the fair value of a</w:t>
      </w:r>
    </w:p>
    <w:p>
      <w:pPr>
        <w:sectPr>
          <w:pgSz w:w="11900" w:h="16838" w:orient="portrait"/>
          <w:cols w:equalWidth="0" w:num="1">
            <w:col w:w="11420"/>
          </w:cols>
          <w:pgMar w:left="240" w:top="125" w:right="239" w:bottom="0" w:gutter="0" w:footer="0" w:header="0"/>
        </w:sectPr>
      </w:pPr>
    </w:p>
    <w:bookmarkStart w:id="28" w:name="page29"/>
    <w:bookmarkEnd w:id="28"/>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reporting unit is less than its carrying amount or if FactSet elects not to perform a qualitative analysis, a quantitative analysis is performed to determine whether a goodwill impairment exists.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events could cause us to conclude that indicators of impairment do exist, and that goodwill associated with our previous acquisitions is impaired, which could result in an impairment loss in our Consolidated Statements of Income and a write-down of the related asset.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performed our annual goodwill impairment test during the fourth quarter of fiscal 2019, consistent with the timing of previous years. It was determined that there was no impairment, as it was not more likely than not the fair value of any reporting unit was less than its carrying value, using the qualitative screen. The carrying value of goodwill as of August 31, 2019 and 2018, was $685.7 million and $701.8 million,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identifiable intangible assets consist of acquired content databases, client relationships, software technology, non-compete agreements and trade names resulting from acquisitions, which have been fully integrated into our operations. We amortize intangible assets over their estimated useful lives, which are evaluated quarterly to determine whether events and circumstances warrant a revision to the remaining period of amortization. The weighted average useful life of our identifiable intangible assets at August 31, 2019 was 12.6 years. If the estimate of the remaining useful life is changed, the remaining carrying amount of the intangible asset is amortized prospectively over that revised remaining useful life. There were no material adjustments to the useful lives of intangible assets subject to amortization during any of the periods presented. These intangible assets had no assigned residual values as of August 31, 2019 and 2018.</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intangible assets that management expects to hold, and use is based on the amount the carrying value exceeds the fair value of the asset, which may be based on estimated future cash flows (discounted). No indicators of impairment of intangible assets has been identified during any of the periods presented. Our ongoing consideration of the recoverability could result in impairment charges in the future, which could adversely affect our results of operations. The carrying value of intangible assets as of August 31, 2019 and 2018, was $120.6 million and $148.9 million,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Long-lived assets, comprised of property, equipment and leasehold improvements are evaluated for impairment whenever events or changes in circumstances indicate the carrying value may not be recoverable. Factors that may cause an impairment review include significant changes in technology that make current computer-related assets that we use in our operations obsolete or less useful, and significant changes in the way we use these assets in our operations. When evaluating long-lived assets for potential impairment, if impairment indicators are present, we first compare the carrying value of the asset to the asset’s estimated future cash flows (undiscounted and excluding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if the amount of the asset’s carrying value exceeds the asset’s estimated fair value. If we recognize an impairment loss, the adjusted carrying amount of the asset becomes its new cost basis. The new cost basis will be depreciated (amortized) over the remaining useful life of that asset. Using the impairment evaluation methodology described here, there have been no long-lived asset impairment charges for each of the last three years. The carrying value of long-lived assets was $132.5 million as of August 31, 2019 and $100.5 million as of August 31, 2018.</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our impairment loss assessment methodology during the past three fiscal years. We do not believe there is a reasonable likelihood that there will be a material change in the estimates or assumptions we use to calculate long-lived asset impairment losses. However, if actual results are not consistent with our estimates and assumptions used in estimating future cash flows and asset fair values, we may be exposed to losses that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Estimated Tax Provision and Tax Contingencies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subject to income taxes in the U.S. and numerous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R&amp;D and other tax credits, tax audit settlements, incentive-stock options and the Foreign Derived Intangible Income Deduction. Our annual effective tax rate was 16.4%, 24.1% and 25.0% in fiscal 2019, 2018 and 2017, respectively.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provision for income taxes is subject to volatility and could be adversely impacted by numerous factors such as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account for unrecognized tax benefits, we first determine whether it is more-likely-than-not (defined as a likelihood of more than fifty percent) that a tax position will be sustained based on its technical merits as of the reporting date. A tax position that meets this more-likely-than-not threshold is then measured and recognized at the largest amount of benefit that is greater than fifty percent likely to be realized upon effective settlement with a taxing authority. The determination of liabilities related to unrecognized tax benefits, including associated interest and penalties, requires significant estimates. There can be no assurance that we will accurately predict the outcomes of these audits, however, we have no reason to believe that such audits will result in the payment of additional taxes and/or penalties that would have a material adverse effect on the Company’s results of operations or financial position, beyond current estimates.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w:t>
      </w:r>
    </w:p>
    <w:p>
      <w:pPr>
        <w:sectPr>
          <w:pgSz w:w="11900" w:h="16851" w:orient="portrait"/>
          <w:cols w:equalWidth="0" w:num="1">
            <w:col w:w="11420"/>
          </w:cols>
          <w:pgMar w:left="240" w:top="125" w:right="239" w:bottom="0" w:gutter="0" w:footer="0" w:header="0"/>
        </w:sectPr>
      </w:pPr>
    </w:p>
    <w:bookmarkStart w:id="29" w:name="page30"/>
    <w:bookmarkEnd w:id="29"/>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taxes in the period in which such determination is made. The Company does not currently anticipate that the total amounts of unrecognized tax benefits will significantly change within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classify the liability for unrecognized tax benefits as Taxes Payable (non-current) and to the extent that we anticipate payment of cash within one year, the benefit will be classified as Taxes Payable (current). Additionally, we accrue interest on all tax exposures for which reserves have been established consistent with jurisdictional tax laws. This interest is classified as income tax expense in the financial statements. As of August 31, 2019, we had gross unrecognized tax benefits totaling $10.9 million, including $1.1 million of accrued interest, recorded as Taxes Payable (non-current) within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the Company’s Consolidated Financial Statements included in Item 8 for a full description of recent accounting pronouncements, including the expected dates of adoption, which we include here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Market Trends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Shift from Active to Passive Investment Management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Approximately 83.7%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16.3% of our ASV. A significant portion of these revenues relate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Our revenue may decline if banks, including those involved in merger activity, significantly reduce headcount in the areas of corporate M&amp;A, capital markets and equity research to compensate for the challenges faced by other departments.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Brexit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23, 2016, voters in the United Kingdom approved an advisory referendum to withdraw from the European Union ("Brexit"). On March 29, 2017, the United Kingdom invoked Article 50 of the Lisbon Treaty, formally starting negotiations with the European Union. United Kingdom and European Union leaders then backed an extension until October 31, 2019, to provide more time to complete negotiations on formal withdrawal and transitional arrangements. On October 17, 2019 a new Brexit deal was agreed between the European Union and the UK Government. On October 22, 2019 the UK Parliament approved the new Brexit deal but rejected the timing of its implementation. Following the vote in the UK Parliament, European Council President Donald Tusk confirmed that he would recommend that the European Union leaders agree to a third extension to the Article 50 period until January 31, 2020, to give the United Kingdom more time to scrutinize the new Brexit deal, and to avoid a no-deal Brexit. The political and economic instability created by the Brexit vote has caused, and may continue to cause, significant volatility in global financial markets. At this time, we cannot predict the impact that Brexit will have on our business as it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Markets in Financial Instruments Directive (“MiFID”)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MiFID II built upon many of the initiatives introduced through MiFID and is intended to help improve the functioning of the European Union single market by achieving a greater consistency of regulatory standards. MiFID originally became effective in 2007 and was enhanced through adoption of MiFID II, which became effective in January 2018. We continue to monitor the impact in the European Union of MiFID II on the investment process and trade lifecycle, as well as any impact of MiFID II on non-European Union countries. We also continue to review the application of key MiFID II requirements in the event of a no-deal Brexit in light of a recent publication by the European Securities and Markets Authority. We plan to work with our clients to navigate the MiFID II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current and historical information, this Report on Form 10-K, including Management’s Discussion and Analysis of Financial Condition and Results of Operations, contains forward-looking statements based on management’s current expectations, estimates, forecasts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Report on Form 10-K or in any of our other filings with the Securities and Exchange Commission, could cause results to differ materially from those stated. These factors include, but are not limited to: the ability to integrate newly acquired companies,</w:t>
      </w:r>
    </w:p>
    <w:p>
      <w:pPr>
        <w:sectPr>
          <w:pgSz w:w="11900" w:h="16905" w:orient="portrait"/>
          <w:cols w:equalWidth="0" w:num="1">
            <w:col w:w="11420"/>
          </w:cols>
          <w:pgMar w:left="240" w:top="125" w:right="239" w:bottom="0" w:gutter="0" w:footer="0" w:header="0"/>
        </w:sectPr>
      </w:pPr>
    </w:p>
    <w:bookmarkStart w:id="30" w:name="page31"/>
    <w:bookmarkEnd w:id="30"/>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Part 1 Item 1A, Risk Factors</w:t>
      </w:r>
      <w:r>
        <w:rPr>
          <w:rFonts w:ascii="Arial" w:cs="Arial" w:eastAsia="Arial" w:hAnsi="Arial"/>
          <w:sz w:val="18"/>
          <w:szCs w:val="18"/>
          <w:i w:val="1"/>
          <w:iCs w:val="1"/>
          <w:color w:val="auto"/>
        </w:rPr>
        <w:t>,</w:t>
      </w:r>
      <w:r>
        <w:rPr>
          <w:rFonts w:ascii="Arial" w:cs="Arial" w:eastAsia="Arial" w:hAnsi="Arial"/>
          <w:sz w:val="18"/>
          <w:szCs w:val="18"/>
          <w:color w:val="auto"/>
        </w:rPr>
        <w:t xml:space="preserve"> of this Report on Form 10-K. We do not intend, and undertake no obligation, to update any of our forward-looking statements after the date of this Report on Form 10-K to reflect actual results or future events or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Outlook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forward-looking statements reflect our expectations as of September 26, 2019. Given the number of risk factors, uncertainties and assumptions discussed in this MD&amp;A above and Part 1 Item 1A, Risk Factors, of this Report on Form 10-K, actual results may differ materially. We do not intend to update our forward-looking statements until our next quarterly results announcement, other than in publicly available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Expectations</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ASV plus professional services is expected to increase in the range of $65 million and $85 million over fiscal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GAAP revenue is expected to be in the range of $1.49 billion and $1.50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GAAP operating margin is expected to be in the range of 28.5% and 29.5%.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margin is expected to be in the range of 31.5% and 32.5%.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FactSet’s annual effective tax rate is expected to be in the range of 17.0% and 17.5%.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GAAP diluted EPS is expected to be in the range of $8.70 and $9.00. Adjusted diluted EPS is expected to be in the range of $9.85 and $10.15.</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Global Head of Sales and Client Solutions and Appointment of Global Head of Sales and Client Solutions</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April 15, 2019, we entered into a separation of employment and general release agreement (the "Separation Agreement") with John W. Wiseman, the Executive Vice President, Global Head of Sales and Client Solutions. Pursuant to the Separation Agreement, Mr. Wiseman participated in an orderly transition of duties to his successor, Franck A.R. Gossieaux, appointed June 1, 2019. Mr. Wiseman remained an employee of FactSet until his effective termination date of August 31, 2019.</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Effective June 1, 2019, we appointed Franck A.R. Gossieaux as the Executive Vice President, Global Head of Sales and Client Solutions. Mr. Gossieaux succeeded John W. Wiseman and reports directly to Philip Snow,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Human Resources Officer</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Effective December 1, 2018, we appointed Daniel Viens as the Chief Human Resources Officer. Mr. Viens reports directly to Philip Snow,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we are exposed to foreign currency exchange risk that could impact our financial position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Risk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 business outside the U.S. in several currencies including the Euro, British Pound Sterling, Indian Rupee, and Philippine Peso. The financial statements of these foreign subsidiaries are translated into U.S. dollars using period-end rates of exchange for assets and liabilities and average rates for the period for revenues and expenses.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w:t>
      </w:r>
    </w:p>
    <w:p>
      <w:pPr>
        <w:sectPr>
          <w:pgSz w:w="11900" w:h="16851" w:orient="portrait"/>
          <w:cols w:equalWidth="0" w:num="1">
            <w:col w:w="11420"/>
          </w:cols>
          <w:pgMar w:left="240" w:top="125" w:right="239" w:bottom="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2019,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our Indian Rupee exposure through the end of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 and 25% of our Indian Rupee exposure through the fourth quarter of 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75% of our Euro exposure through the first quarter of fiscal 2020, 50%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Euro exposure from the second quarter through the third quarter of fiscal 2020, and 25% of our Euro exposure through the fourth quarter of fiscal 2020.</w:t>
      </w:r>
    </w:p>
    <w:p>
      <w:pPr>
        <w:spacing w:after="0" w:line="181" w:lineRule="exact"/>
        <w:rPr>
          <w:rFonts w:ascii="Arial" w:cs="Arial" w:eastAsia="Arial" w:hAnsi="Arial"/>
          <w:sz w:val="18"/>
          <w:szCs w:val="18"/>
          <w:i w:val="1"/>
          <w:iCs w:val="1"/>
          <w:color w:val="auto"/>
        </w:rPr>
      </w:pPr>
    </w:p>
    <w:p>
      <w:pPr>
        <w:jc w:val="both"/>
        <w:ind w:left="660" w:right="20" w:hanging="328"/>
        <w:spacing w:after="0" w:line="264"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75% of our British Pound sterling exposure through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50% of our British Pound Sterling exposure from the second quarter through the third quarter of fiscal 2020, and 25% of our British Pound Sterling exposure through the fourth quarter of fiscal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the gross notional value of foreign currency forward contracts to purchase Philippine Pesos and Indian Rupees with U.S. dollars was ₱1.4 billion and Rs.1.4 billion, respectively. The gross notional value of foreign currency forward contracts to purchase U.S. dollars with Euros and British Pound Sterling was €35.7 million and £20.5 million,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loss on derivatives of $1.8 million was recorded into operating income during fiscal 2019, compared to a gain of $3.1 million in fiscal 2018. The gains and losses on foreign currency forward contracts mitigate the variability in operating expenses associated with currency movements. These transactions are designated and accounted for as cash flow hedges in accordance with applicable accounting guidance.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August 31, 2019. If the U.S. dollar had been 10% weaker, the fair value of outstanding foreign currency forward contracts would have increased by $10.8 million, which would have had an immaterial impact on our Consolidated Balance Sheets. Such a change in fair value of our financial instruments would be substantially offset by changes in our expense base. If we had no hedges in place as of August 31, 2019, a hypothetical 10% weaker U.S. dollar against all foreign currencies from the quoted foreign currency exchange rates at August 31, 2019, would result in a decrease in operating income by $28.0 million over the next 12 months. A hypothetical 10% weaker U.S. dollar against all foreign currencies at August 31, 2019 would increase the fair value of total assets by $66.9 million and equity by $60.1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Investments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August 31, 2019, was $385.6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(current assets) on our consolidated balance sheets as the mutual funds can be liquidated at our discretion and the certificates of deposit have original maturities greater than three months, but less than one year. The mutual funds and certificates of deposit are held for investment purposes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As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August 31, 2019, the fair value of our long-term debt was $575.0 million, which approximated its carrying amount. The application of a floating interest rate equal to the daily LIBOR rate plus a spread using a debt leverage pricing grid, approximates the current market rate for similar instruments. It is anticipated that the fair market value of our debt will continue to be immaterially affected by fluctuations in interest rates. We do not believe that the value of our debt has been significantly impacted by current market events. The debt bears interest on the outstanding principal amount at a rate equal to the daily LIBOR rate plus a spread using a debt leverage pricing grid currently at 0.875%. During fiscal years 2019, 2018 and 2017, we recorded interest expense of $19.8 million, $15.9 million and $8.4 million, respectively, on our outstanding debt amounts. Assuming all terms of our outstanding long-term debt remained</w:t>
      </w:r>
    </w:p>
    <w:p>
      <w:pPr>
        <w:sectPr>
          <w:pgSz w:w="11900" w:h="16838" w:orient="portrait"/>
          <w:cols w:equalWidth="0" w:num="1">
            <w:col w:w="11420"/>
          </w:cols>
          <w:pgMar w:left="240" w:top="125" w:right="239" w:bottom="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 same, a hypothetical 25 basis point change (up or down) in the one-month LIBOR rate would result in a $1.4 million change to our annual interest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tcPr>
          <w:p>
            <w:pPr>
              <w:spacing w:after="0"/>
              <w:rPr>
                <w:sz w:val="20"/>
                <w:szCs w:val="20"/>
                <w:color w:val="auto"/>
              </w:rPr>
            </w:pPr>
            <w:r>
              <w:rPr>
                <w:rFonts w:ascii="Arial" w:cs="Arial" w:eastAsia="Arial" w:hAnsi="Arial"/>
                <w:sz w:val="18"/>
                <w:szCs w:val="18"/>
                <w:color w:val="auto"/>
              </w:rPr>
              <w:t>ITEM 8. FINANCIAL STATEMENTS AND SUPPLEMENTARY DATA</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6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6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106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Statement of Responsibility for Financial Statements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Management’s Report on Internal Control over Financial Reporting</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Reports of Independent Registered Public Accounting Firm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Consolidated Statements of Income for the years ended August 31, 2019, 2018 and 2017</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Income for the years ended August 31, 2019, 2018 and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Consolidated Balance Sheets at August 31, 2019 and 2018</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 for the years ended August 31, 2019, 2018 and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180"/>
              <w:spacing w:after="0"/>
              <w:rPr>
                <w:sz w:val="20"/>
                <w:szCs w:val="20"/>
                <w:color w:val="auto"/>
              </w:rPr>
            </w:pPr>
            <w:r>
              <w:rPr>
                <w:rFonts w:ascii="Arial" w:cs="Arial" w:eastAsia="Arial" w:hAnsi="Arial"/>
                <w:sz w:val="18"/>
                <w:szCs w:val="18"/>
                <w:color w:val="auto"/>
              </w:rPr>
              <w:t>Consolidated Statements of Changes in Stockholders’ Equity for the years ended August 31, 2019, 2018 and 2017</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the Consolidated Financial Statements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60" w:type="dxa"/>
            <w:vAlign w:val="bottom"/>
          </w:tcPr>
          <w:p>
            <w:pPr>
              <w:ind w:left="5620"/>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Management’s Statement of Responsibility for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consolidated financial statements are prepared by management, which is responsible for their fairness, integrity and objectivity. The accompanying consolidated financial statements have been prepared in conformity with accounting principles generally accepted in the United States of America and include amounts based on management’s estimates and judgments. All financial information in this Report on Form 10-K has been presented on a basis consistent with the information included in the accompanying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policies and practices reflect corporate governance initiatives that are compliant with the listing requirements of the New York Stock Exchange, the NASDAQ Stock Market and the corporate governance requirements of the Sarbanes-Oxley Act of 2002. Management, with oversight by the Company’s Board of Directors, has established and maintains a strong ethical climate so that its affairs are conducted to the highest standards of personal and corporate conduct.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maintains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FactSet assessed its internal control over financial reporting as of August 31, 2019 and issued a report (see below).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of the Board of Directors, which consists solely of independent non-employee directors, is responsible for overseeing the functioning of the accounting system and related controls and the preparation of annual financial statements. The Audit Committee periodically meets with management and the independent accountants to review and evaluate their accounting, auditing and financial reporting activities and responsibilities, including management’s assessment of internal control over financial reporting. The independent registered public accounting firm has full and free access to the Audit Committee and has met with the committee, with and without management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(with the participation of the Chief Executive Officer and Chief Financial Officer) conducted an evaluation of the effectiveness of FactSet’s internal control over financial reporting based on the framework in Internal Control—Integrated Framework (2013) issued by the Committee of Sponsoring Organizations of the Treadway Commission. Based on this evaluation, management concluded that FactSet’s internal control over financial reporting was effective as of August 31, 2019. Ernst &amp; Young LLP, an independent registered public accounting firm, has audited the effectiveness of FactSet’s internal control over financial reporting and has issued a report on FactSet’s internal control over financial reporting, which is included in their report on the subsequent page.</w:t>
      </w:r>
    </w:p>
    <w:p>
      <w:pPr>
        <w:sectPr>
          <w:pgSz w:w="11900" w:h="16838" w:orient="portrait"/>
          <w:cols w:equalWidth="0" w:num="1">
            <w:col w:w="11420"/>
          </w:cols>
          <w:pgMar w:left="240" w:top="125"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PHILIP SNOW</w:t>
            </w:r>
          </w:p>
        </w:tc>
        <w:tc>
          <w:tcPr>
            <w:tcW w:w="424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L. SHAN</w:t>
            </w:r>
          </w:p>
        </w:tc>
      </w:tr>
      <w:tr>
        <w:trPr>
          <w:trHeight w:val="411"/>
        </w:trPr>
        <w:tc>
          <w:tcPr>
            <w:tcW w:w="2300" w:type="dxa"/>
            <w:vAlign w:val="bottom"/>
          </w:tcPr>
          <w:p>
            <w:pPr>
              <w:spacing w:after="0"/>
              <w:rPr>
                <w:sz w:val="20"/>
                <w:szCs w:val="20"/>
                <w:color w:val="auto"/>
              </w:rPr>
            </w:pPr>
            <w:r>
              <w:rPr>
                <w:rFonts w:ascii="Arial" w:cs="Arial" w:eastAsia="Arial" w:hAnsi="Arial"/>
                <w:sz w:val="18"/>
                <w:szCs w:val="18"/>
                <w:color w:val="auto"/>
              </w:rPr>
              <w:t>F. Philip Snow</w:t>
            </w:r>
          </w:p>
        </w:tc>
        <w:tc>
          <w:tcPr>
            <w:tcW w:w="424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Helen L. Shan</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October 30, 2019</w:t>
            </w:r>
          </w:p>
        </w:tc>
        <w:tc>
          <w:tcPr>
            <w:tcW w:w="42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October 30, 2019</w:t>
            </w:r>
          </w:p>
        </w:tc>
      </w:tr>
      <w:tr>
        <w:trPr>
          <w:trHeight w:val="432"/>
        </w:trPr>
        <w:tc>
          <w:tcPr>
            <w:tcW w:w="2300" w:type="dxa"/>
            <w:vAlign w:val="bottom"/>
          </w:tcPr>
          <w:p>
            <w:pPr>
              <w:spacing w:after="0"/>
              <w:rPr>
                <w:sz w:val="24"/>
                <w:szCs w:val="24"/>
                <w:color w:val="auto"/>
              </w:rPr>
            </w:pPr>
          </w:p>
        </w:tc>
        <w:tc>
          <w:tcPr>
            <w:tcW w:w="4240" w:type="dxa"/>
            <w:vAlign w:val="bottom"/>
          </w:tcPr>
          <w:p>
            <w:pPr>
              <w:jc w:val="right"/>
              <w:ind w:right="650"/>
              <w:spacing w:after="0"/>
              <w:rPr>
                <w:sz w:val="20"/>
                <w:szCs w:val="20"/>
                <w:color w:val="auto"/>
              </w:rPr>
            </w:pPr>
            <w:r>
              <w:rPr>
                <w:rFonts w:ascii="Arial" w:cs="Arial" w:eastAsia="Arial" w:hAnsi="Arial"/>
                <w:sz w:val="18"/>
                <w:szCs w:val="18"/>
                <w:color w:val="auto"/>
              </w:rPr>
              <w:t>50</w:t>
            </w:r>
          </w:p>
        </w:tc>
        <w:tc>
          <w:tcPr>
            <w:tcW w:w="488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FactSet Research System Inc.’s (the Company) internal control over financial reporting as of August 31, 2019,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2019, based on the COSO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October 30, 2019,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FactSet Research Systems Inc. (the Company) as of August 31, 2019 and 2018, and the related consolidated statements of income, comprehensive income, stockholders’ equity and cash flows for each of the three years in the period ended August 31, 2019,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2019 and 2018, and the results of its operations and its cash flows for each of the three years in the period ended August 31, 2019, in conformity with U.S. generally accepted accounting principles.</w:t>
      </w:r>
    </w:p>
    <w:p>
      <w:pPr>
        <w:sectPr>
          <w:pgSz w:w="11900" w:h="16838" w:orient="portrait"/>
          <w:cols w:equalWidth="0" w:num="1">
            <w:col w:w="11420"/>
          </w:cols>
          <w:pgMar w:left="240" w:top="125" w:right="239" w:bottom="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2019, based on criteria established in Internal Control - Integrated Framework issued by the Committee of Sponsoring Organizations of the Treadway Commission (2013 framework) and our report dated October 30,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Measurement of income tax provision</w:t>
      </w:r>
    </w:p>
    <w:p>
      <w:pPr>
        <w:spacing w:after="0" w:line="27" w:lineRule="exact"/>
        <w:rPr>
          <w:sz w:val="20"/>
          <w:szCs w:val="20"/>
          <w:color w:val="auto"/>
        </w:rPr>
      </w:pPr>
    </w:p>
    <w:p>
      <w:pPr>
        <w:jc w:val="both"/>
        <w:ind w:left="2300" w:right="260" w:hanging="1957"/>
        <w:spacing w:after="0" w:line="269" w:lineRule="auto"/>
        <w:rPr>
          <w:sz w:val="20"/>
          <w:szCs w:val="20"/>
          <w:color w:val="auto"/>
        </w:rPr>
      </w:pPr>
      <w:r>
        <w:rPr>
          <w:rFonts w:ascii="Arial" w:cs="Arial" w:eastAsia="Arial" w:hAnsi="Arial"/>
          <w:sz w:val="17"/>
          <w:szCs w:val="17"/>
          <w:color w:val="auto"/>
        </w:rPr>
        <w:t>Description of the Matter As discussed in Note 3 and 17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2019, the Company recognized a consolidated provision for income taxes of $69.2 million with $55.8 million related to its U.S. operations and $13.4 million related to its non-U.S. operations.</w:t>
      </w:r>
    </w:p>
    <w:p>
      <w:pPr>
        <w:spacing w:after="0" w:line="181" w:lineRule="exact"/>
        <w:rPr>
          <w:sz w:val="20"/>
          <w:szCs w:val="20"/>
          <w:color w:val="auto"/>
        </w:rPr>
      </w:pPr>
    </w:p>
    <w:p>
      <w:pPr>
        <w:jc w:val="both"/>
        <w:ind w:left="2300" w:right="260"/>
        <w:spacing w:after="0" w:line="312" w:lineRule="auto"/>
        <w:rPr>
          <w:sz w:val="20"/>
          <w:szCs w:val="20"/>
          <w:color w:val="auto"/>
        </w:rPr>
      </w:pPr>
      <w:r>
        <w:rPr>
          <w:rFonts w:ascii="Arial" w:cs="Arial" w:eastAsia="Arial" w:hAnsi="Arial"/>
          <w:sz w:val="16"/>
          <w:szCs w:val="16"/>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187" w:lineRule="exact"/>
        <w:rPr>
          <w:sz w:val="20"/>
          <w:szCs w:val="20"/>
          <w:color w:val="auto"/>
        </w:rPr>
      </w:pPr>
    </w:p>
    <w:p>
      <w:pPr>
        <w:sectPr>
          <w:pgSz w:w="11900" w:h="16838" w:orient="portrait"/>
          <w:cols w:equalWidth="0" w:num="2">
            <w:col w:w="2040" w:space="260"/>
            <w:col w:w="9120"/>
          </w:cols>
          <w:pgMar w:left="240" w:top="125" w:right="239" w:bottom="0" w:gutter="0" w:footer="0" w:header="0"/>
          <w:type w:val="continuous"/>
        </w:sectPr>
      </w:pPr>
    </w:p>
    <w:p>
      <w:pPr>
        <w:jc w:val="both"/>
        <w:ind w:left="2300" w:right="260"/>
        <w:spacing w:after="0" w:line="290" w:lineRule="auto"/>
        <w:rPr>
          <w:sz w:val="20"/>
          <w:szCs w:val="20"/>
          <w:color w:val="auto"/>
        </w:rPr>
      </w:pPr>
      <w:r>
        <w:rPr>
          <w:rFonts w:ascii="Arial" w:cs="Arial" w:eastAsia="Arial" w:hAnsi="Arial"/>
          <w:sz w:val="16"/>
          <w:szCs w:val="16"/>
          <w:color w:val="auto"/>
        </w:rPr>
        <w:t>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positions. This included assessing the Company’s correspondence with the relevant tax authorities and evaluating third-party reports and advice obtained by the Company. We also performed a sensitivity analysis to evaluate the effect from changes in management’s allocation methodologies and assumptions. We have evaluated the Company’s income tax disclosures included in Note 17 of the consolidated financial statements in relation to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420"/>
          </w:cols>
          <w:pgMar w:left="240" w:top="125" w:right="2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0"/>
              </w:rPr>
              <w:t>Years ended August 31,</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2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1,435,351</w:t>
            </w:r>
          </w:p>
        </w:tc>
        <w:tc>
          <w:tcPr>
            <w:tcW w:w="5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1,350,145</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1,221,179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type w:val="continuous"/>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663,446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659,296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333,870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324,645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997,316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983,941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438,035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366,204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sale of business</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other expense</w:t>
            </w:r>
          </w:p>
        </w:tc>
        <w:tc>
          <w:tcPr>
            <w:tcW w:w="5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(14,366)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421,965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351,838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69,175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84,753</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352,790</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267,085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38,144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38,733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w w:val="89"/>
              </w:rPr>
              <w:t>Years ended August 31,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352,790</w:t>
            </w:r>
          </w:p>
        </w:tc>
        <w:tc>
          <w:tcPr>
            <w:tcW w:w="5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267,085</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ind w:left="320"/>
              <w:spacing w:after="0" w:line="256" w:lineRule="exact"/>
              <w:rPr>
                <w:sz w:val="20"/>
                <w:szCs w:val="20"/>
                <w:color w:val="auto"/>
              </w:rPr>
            </w:pPr>
            <w:r>
              <w:rPr>
                <w:rFonts w:ascii="Arial" w:cs="Arial" w:eastAsia="Arial" w:hAnsi="Arial"/>
                <w:sz w:val="18"/>
                <w:szCs w:val="18"/>
                <w:color w:val="auto"/>
              </w:rPr>
              <w:t>Net unrealized gain (loss) on cash flow hedges</w:t>
            </w:r>
            <w:r>
              <w:rPr>
                <w:rFonts w:ascii="Arial" w:cs="Arial" w:eastAsia="Arial" w:hAnsi="Arial"/>
                <w:sz w:val="29"/>
                <w:szCs w:val="29"/>
                <w:color w:val="auto"/>
                <w:vertAlign w:val="superscript"/>
              </w:rPr>
              <w:t>(1)</w:t>
            </w:r>
          </w:p>
        </w:tc>
        <w:tc>
          <w:tcPr>
            <w:tcW w:w="34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(7,288)</w:t>
            </w:r>
          </w:p>
        </w:tc>
        <w:tc>
          <w:tcPr>
            <w:tcW w:w="3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(23,821)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(16,719)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33,833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328,969</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250,366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unrealized gain (loss) on cash flow hedges disclosed above was net of tax (expense) benefit of ($387), $3,518, and ($3,049) for the fiscal years ended August 31,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4"/>
          </w:tcPr>
          <w:p>
            <w:pPr>
              <w:jc w:val="right"/>
              <w:ind w:right="140"/>
              <w:spacing w:after="0"/>
              <w:rPr>
                <w:sz w:val="20"/>
                <w:szCs w:val="20"/>
                <w:color w:val="auto"/>
              </w:rPr>
            </w:pPr>
            <w:r>
              <w:rPr>
                <w:rFonts w:ascii="Arial" w:cs="Arial" w:eastAsia="Arial" w:hAnsi="Arial"/>
                <w:sz w:val="18"/>
                <w:szCs w:val="18"/>
                <w:color w:val="auto"/>
              </w:rPr>
              <w:t>August 31,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359,799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208,623</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29,259</w:t>
            </w: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w w:val="95"/>
              </w:rPr>
              <w:t>Accounts receivable, net of reserves of $10,511 at August 31, 2019 and $3,490 at August 31, 2018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146,309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156,639</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30,121</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583,812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430,916</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100,545</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685,729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701,833</w:t>
            </w: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120,551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148,935</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9,716</w:t>
            </w: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29,943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27,502</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1,560,130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1,419,447</w:t>
            </w:r>
          </w:p>
        </w:tc>
      </w:tr>
      <w:tr>
        <w:trPr>
          <w:trHeight w:val="197"/>
        </w:trPr>
        <w:tc>
          <w:tcPr>
            <w:tcW w:w="20" w:type="dxa"/>
            <w:vAlign w:val="bottom"/>
          </w:tcPr>
          <w:p>
            <w:pPr>
              <w:spacing w:after="0"/>
              <w:rPr>
                <w:sz w:val="17"/>
                <w:szCs w:val="17"/>
                <w:color w:val="auto"/>
              </w:rPr>
            </w:pPr>
          </w:p>
        </w:tc>
        <w:tc>
          <w:tcPr>
            <w:tcW w:w="76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11"/>
        </w:trPr>
        <w:tc>
          <w:tcPr>
            <w:tcW w:w="20" w:type="dxa"/>
            <w:vAlign w:val="bottom"/>
          </w:tcPr>
          <w:p>
            <w:pPr>
              <w:spacing w:after="0"/>
              <w:rPr>
                <w:sz w:val="9"/>
                <w:szCs w:val="9"/>
                <w:color w:val="auto"/>
              </w:rPr>
            </w:pPr>
          </w:p>
        </w:tc>
        <w:tc>
          <w:tcPr>
            <w:tcW w:w="7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36" w:name="page37"/>
    <w:bookmarkEnd w:id="36"/>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79,620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47,656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Dividends payable</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27,445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574,174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16,391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fees</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8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887,874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893,547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Commitments and contingencies (See Note 19)</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$.01 par value, 150,000,000 shares authorized, 40,104,192 and 39,264,849 shares issued,</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38,117,840 and 38,192,586 shares outstanding at August 31, 2019 and 2018, respectively</w:t>
            </w:r>
          </w:p>
        </w:tc>
        <w:tc>
          <w:tcPr>
            <w:tcW w:w="7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806,973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at cost: 1,986,352 and 1,072,263 shares at August 31, 2019 and 2018, respectively</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(433,799)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373,225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(74,544)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672,256</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0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1,560,130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80" w:type="dxa"/>
            <w:vAlign w:val="bottom"/>
            <w:gridSpan w:val="2"/>
          </w:tcPr>
          <w:p>
            <w:pPr>
              <w:jc w:val="center"/>
              <w:ind w:left="2430"/>
              <w:spacing w:after="0"/>
              <w:rPr>
                <w:sz w:val="20"/>
                <w:szCs w:val="20"/>
                <w:color w:val="auto"/>
              </w:rPr>
            </w:pPr>
            <w:r>
              <w:rPr>
                <w:rFonts w:ascii="Arial" w:cs="Arial" w:eastAsia="Arial" w:hAnsi="Arial"/>
                <w:sz w:val="18"/>
                <w:szCs w:val="18"/>
                <w:i w:val="1"/>
                <w:iCs w:val="1"/>
                <w:color w:val="auto"/>
                <w:w w:val="90"/>
              </w:rPr>
              <w:t>The accompanying notes are an integral part of these consolidated financial statements.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jc w:val="right"/>
              <w:ind w:right="2250"/>
              <w:spacing w:after="0"/>
              <w:rPr>
                <w:sz w:val="20"/>
                <w:szCs w:val="20"/>
                <w:color w:val="auto"/>
              </w:rPr>
            </w:pPr>
            <w:r>
              <w:rPr>
                <w:rFonts w:ascii="Arial" w:cs="Arial" w:eastAsia="Arial" w:hAnsi="Arial"/>
                <w:sz w:val="18"/>
                <w:szCs w:val="18"/>
                <w:color w:val="auto"/>
              </w:rPr>
              <w:t>56</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w w:val="89"/>
              </w:rPr>
              <w:t>Years ended August 31,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352,790</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267,085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60,463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57,285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(1,910)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assets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 benefits from share-based payment arrangements</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Accounts receivable, net of reserves</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10,205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(8,417)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5,735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fees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Taxes payable, net of prepaid taxes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(19,238)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27,659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427,136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385,668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320,527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of businesses and investments, net of cash and cash equivalents acquired</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(12,470)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or sale of investments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Purchases of property, equipment and leasehold improvements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(59,370)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(33,520)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 payments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(100,052)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(89,408)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(220,372)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(303,955)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(575,000)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107,051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71,610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benefits from share-based payment arrangements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financing activities, net</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(214,274)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40"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151,176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194,731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359,799</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208,623</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interest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19,509</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15,676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paid during the year for income taxes, net of refunds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89,997</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68,707</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Supplemental Disclosure of Non-Cash Transactions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 paid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27,445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gridSpan w:val="4"/>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4"/>
            <w:vMerge w:val="restart"/>
          </w:tcPr>
          <w:p>
            <w:pPr>
              <w:jc w:val="right"/>
              <w:ind w:right="64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Additional</w:t>
            </w:r>
          </w:p>
        </w:tc>
        <w:tc>
          <w:tcPr>
            <w:tcW w:w="22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46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(in thousands, except share</w:t>
            </w: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Par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2"/>
              </w:rPr>
              <w:t>Paid-in</w:t>
            </w: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8"/>
              </w:rPr>
              <w:t>Retained</w:t>
            </w:r>
          </w:p>
        </w:tc>
        <w:tc>
          <w:tcPr>
            <w:tcW w:w="13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8"/>
              </w:rPr>
              <w:t>Comprehensive</w:t>
            </w:r>
          </w:p>
        </w:tc>
        <w:tc>
          <w:tcPr>
            <w:tcW w:w="12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i w:val="1"/>
                <w:iCs w:val="1"/>
                <w:color w:val="auto"/>
              </w:rPr>
              <w:t>data)</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Capital</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0"/>
              </w:rPr>
              <w:t>Earnings</w:t>
            </w:r>
          </w:p>
        </w:tc>
        <w:tc>
          <w:tcPr>
            <w:tcW w:w="30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1,</w:t>
            </w: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51,150,978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623,195</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11,112,753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(1,321,700)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4"/>
              </w:rPr>
              <w:t>1,283,927</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(68,553)</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258,259</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33,833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561,960</w:t>
            </w: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50,039</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132,194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Repurchases of common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stock</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1,556,660</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(253,131)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34,183</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w w:val="92"/>
              </w:rPr>
              <w:t>Tax benefits from share-based</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payment arrangements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10,331</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Accelerated share repurchase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24,000</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(83,363)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as of August 31, 2017</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51,845,132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741,748</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12,822,100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(1,606,678)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1,458,823</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(34,720)</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267,085</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685,807</w:t>
            </w: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80,983</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26,599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8,070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Repurchases of common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stock</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1,534,782</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(302,441)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(302,441)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31,517</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(92,710)</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Retirement of treasury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(13,292,689)</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(186,717)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(13,292,689)</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1,697,205</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(1,510,355)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w w:val="93"/>
              </w:rPr>
              <w:t>Balance as of August 31, 2018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39,264,849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667,531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1,072,263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(213,428)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122,843</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(51,439)</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352,790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(23,821)</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plans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753,942</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107,043</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Vesting of restricted stock</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85,401</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31,644</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(7,241)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Repurchases of common</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882,445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(213,130)</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expense</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32,400</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Cumulative effect of adoption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of accounting standards*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as of August 31, 2019</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40,104,192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806,973</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1,986,352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(433,799)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373,225</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(74,544)</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312" w:lineRule="auto"/>
        <w:tabs>
          <w:tab w:leader="none" w:pos="135"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TCJA providing for the reclassification from accumulated other comprehensive loss to retained earnings for stranded tax effects. See Notes 3 and 4 for additional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 ORGANIZATION AND NATURE OF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trade execution, performance measurement, risk management, reporting, and portfolio analysis, in which we serve the front, middle, and back offices to drive productivity and improved performance. FactSet’s flexible, open data and technology solutions can be implemented both across the investment portfolio lifecycle or as standalone components serving different workflows in the organization. FactSet is focused on growing the business throughout each of its three segments, the U.S., Europe, and Asia Pacific. The Company primarily delivers insight and information through the workflow solutions of Research, Analytics and Trading, Content and Technology Solutions and Wealth.</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currently serves financial professionals, which include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to execute trades. The Company combines dedicated client service with open and flexible technology offerings, such as a comprehensive data marketplace, a configurable mobile and desktop platform, digital portals and application programming interface (“APIs”). FactSet revenue is primarily derived from subscriptions to products and services such as workstations, analytics, enterprise data, research management, and trade execution.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FactSet conducts business globally and is managed on a geographic basis. The accompanying consolidated financial statements and notes of FactSet and its wholly-owned subsidiaries are prepared in accordance with generally accepted accounting principles in the United States (“GAAP”). The preparation of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have been made in areas that include allocation of purchase price to acquired assets and liabilities, stock-based compensation, income taxes, accrued compensation, valuation of goodwill, and useful lives and valuation of fixed and intangible assets.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Certain comparative figures in the Company's Consolidated Statement of Cash Flows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 and its subsidiaries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majority of the Company’s revenue is derived from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A provision for billing adjustments and cancellation of services is estimated and accounted for as a reduction to revenue, with a corresponding reduction to accounts receivable.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Accounts Receivable and Deferred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that have been earned but not yet paid are reflected on the Consolidated Balance Sheets as Accounts receivable, net of reserves. Amounts invoiced in advance of client payments that are in excess of earned subscription revenue are reflected on the Consolidated Balance Sheets as Deferred fees. As of August 31, 2019, the amount of accounts receivable that was unbilled totaled $15.8 million, which will be billed in fiscal 2020. As of August 31, 2018, the amount of accounts receivable that was unbilled totaled $6.4 million, which was billed in fiscal 2019.</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calculates its receivable reserve through analyzing aged client receivables, reviewing the recent history of client receivable write-offs and understanding general market and economic conditions. In accordance with this policy, a receivable reserve of $10.5 million and $3.5 million was recorded as of August 31, 2019 and 2018, respectively, within the Consolidated Balance Sheets as a reduction to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services is comprised of compensation for Company employees within the content collection, consulting, product development, software and systems engineering groups in addition to data costs, computer maintenance and depreciation expenses, amortization of identifiable intangible assets, and client-related communication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include compensation for the sales and various other support and administrative departments in addition to travel and entertainment expenses, marketing costs, rent, amortization of leasehold improvements, depreciation of furniture and fixtures, office expenses, professional fees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FactSet does not have a separate research and product development department, but rather the Product Development and Engineering departments work closely with our strategists, product managers, sales and other client-facing specialists to identify areas of improvement with the goal of providing increased value to clients. As such, research and product development costs relate to the salary and benefits for the Company’s product development, software engineering and technical support staff and, as such, these costs are expensed when incurred within cost of services as employee compensation. The Company expects to allocate a similar percentage of its workforce in future years in order to continue to develop new products and enhancements, respond quickly to market changes and meet the needs of its clients efficiently. FactSet incurred research and product development costs of $214.7 million, $217.1 million and $215.0 million during fiscal years 2019, 2018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(“EPS”) is computed by dividing net income by the number of weighted average common shares outstanding during the period. Diluted EPS is computed by dividing net income by the number of weighted average common shares outstanding during the period increased by the dilutive effect of potential common shares outstanding during the period. The number of potential common shares outstanding has been determined in accordance with the treasury stock method to the extent they are dilutive. For the purpose of calculating EPS, common shares outstanding include common shares issuable upon the exercise of outstanding share-based compensation awards, including employee stock options and restricted stock. Under the treasury stock method, the exercise price paid by the option holder and future stock-based compensation expense that the Company has not yet recognized are assumed to be used to repurchase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Comprehensive Income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discloses comprehensive income (loss) in accordance with applicable standards for the reporting and display of comprehensive income (loss) in a set of financial statements. Comprehensive income (loss) is defined as the change in net assets of a business enterprise during a period from transactions generated from non-owner sources. It includes all changes in equity during a period except those resulting from investments by owners and distributions to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cash equivalents are classified as Level 1 while the Company’s derivative instruments (foreign exchange forward contracts) and certificates of deposit are classified as Level 2. There were no Level 3 assets or liabilities held by FactSet as of August 31, 2019 or 2018. Refer to Note 5 Fair Value Measures for the definition of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consist of demand deposits and money market funds with original maturities of three months or less and are reported at fair value. The Company’s corporate money market funds are readily convertible into cash and the net asset value of each fund on the last day of the quarter is used to determine its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Investments consist of both mutual funds and certificates of deposit as both are part of the Company’s investment strategy. These mutual funds and certificates of deposit are included as Investments (short-term) on the Company’s Consolidated Balance Sheets as the certificates of deposit have original maturities greater than three months, but less than one year and the mutual funds can be liquidated at that Company’s discretion. The mutual funds and certificates of deposit are held for investment and are not considered debt securities. Interest income earned from these investments during fiscal 2019, 2018 and 2017 was $1.5 million, $1.3 million and $1.6 million, respectively. The Company’s cash, cash equivalents and investments portfolio did not experience any realized or unrealized losses as a result of counterparty credit risk or ratings change during fiscal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Property, Equipment and Leasehold Improvements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equipment and leasehold improvements are stated at cost, less accumulated depreciation and amortization. Computers and related equipment are depreciated on a straight-line basis over estimated useful lives of three years. Furniture and fixtures are depreciated on a straight-line basis over their estimated useful lives of seven years. Leasehold improvements are amortized on a straight-line basis over the terms of the related leases or estimated useful lives of the improvements, whichever period is shorter. Repairs and maintenance expenditures, which are not considered leasehold improvements and do not extend the useful life of the property and equipment, are expensed as incurred.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a test for impairment whenever events or changes in circumstances indicate that the carrying amount of an individual asset or asset group may not be recoverable. Should projected undiscounted future cash flows be less than the carrying amount of the asset or asset group, an impairment charge reducing the carrying amount to fair value is required. Fair value is determined based on the most appropriate valuation technique, including discounted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at the reporting unit level is reviewed for impairment annually, and more frequently if impairment indicators exist. Goodwill is deemed to be impaired and written-down in the period in which the carrying value of the reporting unit exceeds its fair value. FactSet has three reporting units, U.S, Europe and Asia Pacific, which are consistent with the operating segments reported, as discrete financial information is not available for subsidiaries within the operating segments.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may elect to perform a qualitative analysis for the reporting units to determine whether it is more likely than not the fair value of the reporting unit is greater than its carrying value. In performing a qualitative assessment, FactSet considers such factors as macro-economic conditions, industry and market conditions in which FactSet operates including the competitive environment and significant changes in demand for the Company’s services. The Company also considers its share price both in absolute terms and in relation to peer companies. If the qualitative analysis indicates that it is more likely than not the fair value of a reporting unit is less than its carrying amount or if FactSet elects not to perform a qualitative analysis, a quantitative analysis is performed to determine whether a goodwill impairment exists.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goodwill impairment analysis is used to identify potential impairment by comparing fair value of a reporting unit with its carrying amount using an income approach, along with other relevant market information, derived from a discounted cash flow model to estimate fair value of FactSet’s reporting units. The annual review of carrying value of goodwill, requires the Company develop estimates of future business performance. These estimates are used to derive expected cash flows and include assumptions regarding future sales levels and the level of working capital needed to support a given business. The discounted cash flow model also includes a determination of FactSet’s weighted average cost of capital by reporting unit. Cost of capital is based on assumptions about interest rates, as well as a risk-adjusted rate of return required by FactSet’s equity investors. Changes in these estimates can impact present value of expected cash flows used in determining fair value of a reporting unit. An impairment charge for the amount by which the carrying amount exceeds the reporting unit’s fair value, if any, would be recognized. The loss recognized would not exceed total amount of goodwill allocated to that reporting unit.</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performed its annual goodwill impairment test during the fourth quarter of fiscal 2019 utilizing a qualitative analysis and concluded it was more likely than not the fair value of each reporting unit was greater than its respective carrying value and no impairment charge was required.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Company amortizes intangible assets over their estimated useful lives, which are evaluated quarterly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Amortizable Intangible assets are tested for impairment, if indicators of impairment are present, based on undiscounted cash flows, and, if impaired, written down to fair value based on discounted cash flows. No impairment of intangible assets has been identified during any of the fiscal years presented. The intangible assets have no assigned residual values.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Accrued liabilities include estimates relating to employee compensation, operating expenses and tax liabilities. At the end of each fiscal year, FactSet conducts a final review of both Company and individual performance within each department to determine the amount of discretionary employee compensation. The Company also reviews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amount of the variable employee compensation recorded within accrued compensation as of August 31, 2019 and 2018, was $49.4 million and $43.6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Derivative Instruments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conducts business outside the U.S. in several currencies including the Euro, Indian Rupee, Philippine Peso, British Pound Sterling, and Japanese Yen.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exchange forward contracts for trading or speculative purposes. In designing a specific hedging approach, FactSet considers several factors, including offsetting exposures, significance of exposures, forecasting risk and potential effectiveness of the hedge. These transactions are designated and accounted for as cash flow hedges in accordance with applicable accounting guidance. The changes in fair value for these foreign currency forward contracts are initially reported as a component of accumulated other comprehensive loss (“AOCL”) and subsequently reclassified into operating expenses when the hedged exposure affects earnings. The gains and losses on foreign currency forward contracts mitigate the variability in operating expenses associated with currency movements. All derivatives are assessed for effectiveness at each reporting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wholly-owned subsidiaries operate under a functional currency different from the U.S. dollar, such as the Euro, Indian Rupee, Philippine Peso, British Pound Sterling, and Japanese Yen.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 and expenses of foreign operations are recorded in AOCL as a component of stockholders’ equity. The accumulated foreign currency translation loss totaled $72.3 million and $48.0 million at August 31, 2019 and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Income and Deferred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 enacted tax rates. FactSet recognizes the financial effect of an income tax position only if it is more likely than not (greater than 50%) that the tax position will prevail upon tax examination, based solely on the technical merits of the tax position as of the reporting date. Otherwise, no benefit or expense can be recognized in the consolidated financial statements. The tax benefits recognized are measured based on the largest benefit that has a greater than 50% likelihood of being realized upon ultimate settlement. Additionally, FactSet accrues interest on all tax exposures for which reserves have been established consistent with jurisdictional tax laws. Interest is classified as income tax expense in the financial statements. As of August 31, 2019, the Company had gross unrecognized tax benefits totaling $10.9 million, including $1.1 million of accrued interest, recorded as Taxes payable (non-current)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guidance requires the measurement and recognition of compensation expense for all share-based payment awards made to employees and directors including stock options, restricted stock and common shares acquired under employee stock purchases based on estimated fair values of the share awards that are scheduled to vest during the period. FactSet uses the straight-line attribution method for all awards with graded vesting features and service conditions only. Under this method, the amount of compensation expense that is recognized on any date is at least equal to the vested portion of the award on that date. For all stock-based awards with performance conditions, the graded vesting attribution method is used by the Company to determine the monthly stock-based compensation expense over the applicable vesting periods.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 Forfeitures are estimated based primarily on historical experience. For fiscal 2019 and 2018, windfall tax benefits, defined as tax deductions that exceed recorded stock-based compensation, are classified as cash inflows from operations and in fiscal 2017 are classified as cash inflows from financing activities.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Performance-based stock options require management to make assumptions regarding the likelihood of achieving Company performance targets on a quarterly basis. The number of performance-based options that vest will be predicated on the Company achieving certain performance levels. A change in the financial performance levels the Company achieves could result in changes to FactSet’s current estimate of the vesting percentage and related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Treasury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repurchased common stock under the cost method and includes such treasury stock as a component of its stockholders’ equity. The Company accounts for the formal retirement of treasury stock by deducting its par value from common stock, reducing additional paid-in capital (“APIC”) by the average amount recorded in APIC when the stock was originally issued and any remaining excess of cost deducted from retained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conducts all of its operations in leased facilities which have minimum lease obligations under non-cancelable operating leases. Certain of these leases contain rent escalations based on specified percentages. Most of the leases contain renewal options and require payments for taxes, insurance and maintenance. Rent expense is charged to operations as incurred except for escalating rents, which are charged to operations on a straight-line basis over the life of the lease. Lease incentives, relating to allowances provided by landlords, are amortized over the term of the lease as a reduction of rent expense. Costs associated with acquiring a subtenant, including broker commissions and tenant allowances, are amortized over the sublease term as a reduction of sublease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accounts for its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are recognized separately from the business combination and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beginning of fiscal 2019, FactSet implemented all applicable new accounting standards and updates issued by the Financial Accounting Standards Board (“FASB”) that were in effect. There were no new standards or updates adopted during the last three fiscal years that had a material impact on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 and cash flows related to contracts with clients.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adopted the new standard using the modified retrospective method as of the beginning of its first quarter of fiscal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implementation efforts include the evaluation of contract revenue under the new guidance. Additionally, an assessment of the qualitative and quantitative impacts of pricing changes during the contractual term and fulfillment costs was made.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derives most of its revenue by providing client access to its hosted proprietary data and analytics platform, which can include various combinations of products and services available over the contractual term. The Company determined that the subscription-based service represents a single performance obligation covering a series of distinct products and services that are substantially the same and that have the same pattern of transfer to the client. FactSet recorded an opening cumulative increase to retained earnings of $2.5 million, or $2.0 million net of tax, during the first quarter of fiscal 2019, related to certain fulfillment costs, which include up-front costs to allow for the delivery of services and products that are expected to be recovered. Under the new standard, such up-front costs are recognized as an asset and amortized consistent with the associated revenue for providing the services. The adoption of the new standards did not materially change the Company’s accounting policy for revenue recognition and did not have a material impact on the Company’s consolidated financial statements. Refer to Note 4 Revenue Recognition for further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January 2016, which amended the recognition, measurement, presentation, and disclosure of certain financial instruments. Under the amended guidance, investments in equity securities, excluding equity method investments, will be measured at fair value with changes in fair value to be recognized in net income. This guidance was applied on a modified retrospective approach through a cumulative effect adjustment to retained earnings as permitted by the standard and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August 2016, which simplified how certain transactions are classified in the statement of cash flows. This included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2019, FactSet adopted the accounting standard update issued by the FASB in October 2016, which removed the prohibition against the immediate recognition of the current and deferred income tax effects of intra-entity transfers of assets other than inventory. The guidance was issued in order to reduce diversity in practice related to the tax consequences of certain types of intra-entity asset transfers, particularly those involving intellectual property. The adoption of this standard had no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May 2017, which amended the scope of modification accounting for share-based payment arrangements. The guidance focused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February 2018, which allowed companies to reclassify certain stranded income tax effects resulting from the enactment of the Tax Cuts and Jobs Act (the "TCJA") from accumulated other comprehensive income to retained earnings. The adoption of this standard did not have a material impact on the Company’s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Implementation Costs in a Cloud Computing Arrangement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August 2018, which related to a client’s accounting for implementation costs incurred in a cloud computing arrangement that is a service contract. This guidance aligns the requirements for capitalizing implementation costs in a cloud computing service contract with the guidance for capitalizing implementation costs to develop or obtain internal-use software. Capitalized implementation costs will be amortized over the term of the arrangement. This accounting standard update will be effective for the Company beginning in the first quarter of fiscal 2021, however the Company elected to early adopt this standard on a prospective basis during the first quarter of fiscal 2019. There was no impact to the Company’s consolidated financial statements as a result of the adoption of this standard, as FactSet is currently accounting for costs incurred in a cloud computing arrangement in accordance with the guidance provided in this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GAAP for an entity to use bright-line tests in determining lease classification. FactSet will adopt the new accounting standard effective September 1, 2019, using a modified retrospective approach to record the required cumulative effect adjustments to the opening balance sheet in the period of adoption, rather than in the earliest comparative period presented. As such, the Company's historical consolidated financial statements will not be restated.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will elect the package of practical expedients permitted under the transition guidance, which permits the Company not to reassess under the new standard the prior conclusions about lease identification, lease classification, and initial direct costs. FactSet will not elect the use-of-hindsight practical expedient in determining the lease term and in assessing impairment. FactSet will also elect the practical expedient to not separate lease components from non-lease components but, rather, to combine them into one single lease component. The Company has also elected to apply the short-term lease exception to not recognize lease liabilities and right-of-use assets for leases with a term of 12 months or less. FactSet will recognize these lease payments on a straight-line basis over the lease term.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expect the adoption of the new lease accounting standard to have a material impact on its Consolidated Statements of Income, Consolidated Statements of Comprehensive Income and Consolidated Statements of Cash flows. The Company does expect the adoption to have a material impact to its Consolidated Balance Sheet due to the recognition of the required right of use asset and liability, which will primarily relate to the Company's real estate operating leases. Refer to Note 19 Commitments and Contingencies for information regarding the Company's undiscounted future lease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an accounting standard that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This guidance will be effective for the Company beginning in the first quarter of fiscal 2021. The Company is currently evaluating the impact of this accounting standard update but it is not expected to have a material impact on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the Company beginning in the first quarter of fiscal 2021, with early adoption permitted for any impairment tests performed after January 1, 2017 and is not expected to have a material impact on the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2017, the FASB issued an accounting standard update to reduce the complexity of and simplify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the Company beginning in the first quarter of fiscal 2020. The Company is currently evaluating the impact of this accounting standard update but it is not expected to have a material impact on the consolidated financial statements.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other new accounting pronouncements issued or effective as of August 31, 2019 have had or are expected to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4. REVENUE RECOGNITION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The Company determined that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in satisfied, which is comparable with how revenue is recognized today. FactSet does not consider payment terms a performance obligation for customers with contractual terms that are one year or less and has elected the practical expedient.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FactSet’s assessment of contracts with clients, the Company did identify a small portion of contracts with certain fulfillment costs, which include up-front costs to allow for the delivery of services and products that are expected to be recovered. In connection with the adoption of the new standard, these fulfillment costs are recognized as an asset and amortized consistent with the associated revenue for providing the services, which prior to adoption were expensed. As a result, during the first quarter of fiscal 2019, FactSet recorded an opening cumulative increase to Retained earnings of $2.5 million, or $2.0 million net of tax, with an offsetting increase related to the current asset portion in Prepaid expenses and other current assets and the non-current asset portion in Other assets based on the term of the license period. Prospectively, fulfillment costs will continue to be recognized in the same accounts used for the adoption impact, which include the Prepaid expenses and other current assets account for the current portion and Other assets for the non-current portion, based on the term of the license period. The differences between the Company’s reported operating results as of August 31, 2019, which reflect the application of the new standard on the Company’s contracts, and the results that would have been reported as if the accounting was performed pursuant to the accounting standards previously in effect, were not material.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demographic region which include U.S., Europe and Asia Pacific. FactSet believes these geographic regions are reflective of how the Company manages the business and the demographic markets in which it serves. The geographic regions best depict the nature, amount, timing and uncertainty of revenue and cash flows related to contracts with clients. Refer to Note 8 Segment Information for further information on revenue by geographic region.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 following table presents this disaggregation of revenue by geography: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August 31,</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894,554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841,908</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Europe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408,084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387,589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330,332</w:t>
            </w: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132,713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120,648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1,435,351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1,350,145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1,221,179</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Fair Value Hierarchy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1 -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FactSet’s corporate money market funds that are classified as cash equivalents.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2 -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3 - applies to assets or liabilities for which there are unobservable inputs to the valuation methodology that are significant to the measurement of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assets or liabilities. There were no Level 3 assets or liabilities held by FactSet as of August 31, 2019 or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 Assets and Liabilities Measured at Fair Value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shows by level within the fair value hierarchy the Company’s assets and liabilities that are measured at fair value on a 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and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60" w:type="dxa"/>
            <w:vAlign w:val="bottom"/>
            <w:gridSpan w:val="11"/>
          </w:tcPr>
          <w:p>
            <w:pPr>
              <w:jc w:val="right"/>
              <w:ind w:right="120"/>
              <w:spacing w:after="0"/>
              <w:rPr>
                <w:sz w:val="20"/>
                <w:szCs w:val="20"/>
                <w:color w:val="auto"/>
              </w:rPr>
            </w:pPr>
            <w:r>
              <w:rPr>
                <w:rFonts w:ascii="Arial" w:cs="Arial" w:eastAsia="Arial" w:hAnsi="Arial"/>
                <w:sz w:val="18"/>
                <w:szCs w:val="18"/>
                <w:color w:val="auto"/>
              </w:rPr>
              <w:t>Fair Value Measurements at August 31, 2019</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75,849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Mutual Funds</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18,583</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7,090</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Derivative instruments</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75,849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26,193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Derivative instruments</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11"/>
          </w:tcPr>
          <w:p>
            <w:pPr>
              <w:jc w:val="right"/>
              <w:ind w:right="120"/>
              <w:spacing w:after="0"/>
              <w:rPr>
                <w:sz w:val="20"/>
                <w:szCs w:val="20"/>
                <w:color w:val="auto"/>
              </w:rPr>
            </w:pPr>
            <w:r>
              <w:rPr>
                <w:rFonts w:ascii="Arial" w:cs="Arial" w:eastAsia="Arial" w:hAnsi="Arial"/>
                <w:sz w:val="18"/>
                <w:szCs w:val="18"/>
                <w:color w:val="auto"/>
              </w:rPr>
              <w:t>Fair Value Measurements at August 31, 2018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Mutual Funds</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18,668</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10,591</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Derivative instruments</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29,349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Derivative instruments</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323"/>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w:t>
      </w:r>
      <w:r>
        <w:rPr>
          <w:rFonts w:ascii="Arial" w:cs="Arial" w:eastAsia="Arial" w:hAnsi="Arial"/>
          <w:sz w:val="18"/>
          <w:szCs w:val="18"/>
          <w:i w:val="1"/>
          <w:iCs w:val="1"/>
          <w:color w:val="auto"/>
        </w:rPr>
        <w:t xml:space="preserve">) The Company’s corporate money market funds are readily convertible into cash and the net asset value of each fund on the last day of the quarter is used to determine its fair value. As such, the Company’s corporate money market funds are classified as Level </w:t>
      </w:r>
      <w:r>
        <w:rPr>
          <w:rFonts w:ascii="Arial" w:cs="Arial" w:eastAsia="Arial" w:hAnsi="Arial"/>
          <w:sz w:val="18"/>
          <w:szCs w:val="18"/>
          <w:color w:val="auto"/>
        </w:rPr>
        <w:t>1</w:t>
      </w:r>
      <w:r>
        <w:rPr>
          <w:rFonts w:ascii="Arial" w:cs="Arial" w:eastAsia="Arial" w:hAnsi="Arial"/>
          <w:sz w:val="18"/>
          <w:szCs w:val="18"/>
          <w:i w:val="1"/>
          <w:iCs w:val="1"/>
          <w:color w:val="auto"/>
        </w:rPr>
        <w:t xml:space="preserve"> assets and included in Cash and cash equivalents within the Consolidated Balance Sheets.</w:t>
      </w:r>
    </w:p>
    <w:p>
      <w:pPr>
        <w:spacing w:after="0" w:line="181" w:lineRule="exact"/>
        <w:rPr>
          <w:sz w:val="20"/>
          <w:szCs w:val="20"/>
          <w:color w:val="auto"/>
        </w:rPr>
      </w:pPr>
    </w:p>
    <w:p>
      <w:pPr>
        <w:jc w:val="both"/>
        <w:ind w:left="660" w:hanging="323"/>
        <w:spacing w:after="0" w:line="31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color w:val="auto"/>
        </w:rPr>
        <w:t>2</w:t>
      </w:r>
      <w:r>
        <w:rPr>
          <w:rFonts w:ascii="Arial" w:cs="Arial" w:eastAsia="Arial" w:hAnsi="Arial"/>
          <w:sz w:val="16"/>
          <w:szCs w:val="16"/>
          <w:i w:val="1"/>
          <w:iCs w:val="1"/>
          <w:color w:val="auto"/>
        </w:rPr>
        <w:t xml:space="preserve">) 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w:t>
      </w:r>
      <w:r>
        <w:rPr>
          <w:rFonts w:ascii="Arial" w:cs="Arial" w:eastAsia="Arial" w:hAnsi="Arial"/>
          <w:sz w:val="16"/>
          <w:szCs w:val="16"/>
          <w:color w:val="auto"/>
        </w:rPr>
        <w:t>2</w:t>
      </w:r>
      <w:r>
        <w:rPr>
          <w:rFonts w:ascii="Arial" w:cs="Arial" w:eastAsia="Arial" w:hAnsi="Arial"/>
          <w:sz w:val="16"/>
          <w:szCs w:val="16"/>
          <w:i w:val="1"/>
          <w:iCs w:val="1"/>
          <w:color w:val="auto"/>
        </w:rPr>
        <w:t xml:space="preserve"> assets and are classified as Investments (short-term) on the Consolidated Balance Sheets.</w:t>
      </w:r>
    </w:p>
    <w:p>
      <w:pPr>
        <w:spacing w:after="0" w:line="147" w:lineRule="exact"/>
        <w:rPr>
          <w:sz w:val="20"/>
          <w:szCs w:val="20"/>
          <w:color w:val="auto"/>
        </w:rPr>
      </w:pPr>
    </w:p>
    <w:p>
      <w:pPr>
        <w:jc w:val="both"/>
        <w:ind w:left="660" w:hanging="323"/>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3</w:t>
      </w:r>
      <w:r>
        <w:rPr>
          <w:rFonts w:ascii="Arial" w:cs="Arial" w:eastAsia="Arial" w:hAnsi="Arial"/>
          <w:sz w:val="18"/>
          <w:szCs w:val="18"/>
          <w:i w:val="1"/>
          <w:iCs w:val="1"/>
          <w:color w:val="auto"/>
        </w:rPr>
        <w:t xml:space="preserve">) The Company’s certificates of deposit held for investment are </w:t>
      </w:r>
      <w:r>
        <w:rPr>
          <w:rFonts w:ascii="Arial" w:cs="Arial" w:eastAsia="Arial" w:hAnsi="Arial"/>
          <w:sz w:val="18"/>
          <w:szCs w:val="18"/>
          <w:color w:val="auto"/>
        </w:rPr>
        <w:t>not</w:t>
      </w:r>
      <w:r>
        <w:rPr>
          <w:rFonts w:ascii="Arial" w:cs="Arial" w:eastAsia="Arial" w:hAnsi="Arial"/>
          <w:sz w:val="18"/>
          <w:szCs w:val="18"/>
          <w:i w:val="1"/>
          <w:iCs w:val="1"/>
          <w:color w:val="auto"/>
        </w:rPr>
        <w:t xml:space="preserve"> debt securities and are classified as Level </w:t>
      </w:r>
      <w:r>
        <w:rPr>
          <w:rFonts w:ascii="Arial" w:cs="Arial" w:eastAsia="Arial" w:hAnsi="Arial"/>
          <w:sz w:val="18"/>
          <w:szCs w:val="18"/>
          <w:color w:val="auto"/>
        </w:rPr>
        <w:t>2</w:t>
      </w:r>
      <w:r>
        <w:rPr>
          <w:rFonts w:ascii="Arial" w:cs="Arial" w:eastAsia="Arial" w:hAnsi="Arial"/>
          <w:sz w:val="18"/>
          <w:szCs w:val="18"/>
          <w:i w:val="1"/>
          <w:iCs w:val="1"/>
          <w:color w:val="auto"/>
        </w:rPr>
        <w:t xml:space="preserve"> assets. These certificates of deposit have original maturities greater than </w:t>
      </w:r>
      <w:r>
        <w:rPr>
          <w:rFonts w:ascii="Arial" w:cs="Arial" w:eastAsia="Arial" w:hAnsi="Arial"/>
          <w:sz w:val="18"/>
          <w:szCs w:val="18"/>
          <w:color w:val="auto"/>
        </w:rPr>
        <w:t>three</w:t>
      </w:r>
      <w:r>
        <w:rPr>
          <w:rFonts w:ascii="Arial" w:cs="Arial" w:eastAsia="Arial" w:hAnsi="Arial"/>
          <w:sz w:val="18"/>
          <w:szCs w:val="18"/>
          <w:i w:val="1"/>
          <w:iCs w:val="1"/>
          <w:color w:val="auto"/>
        </w:rPr>
        <w:t xml:space="preserve"> months, but less than </w:t>
      </w:r>
      <w:r>
        <w:rPr>
          <w:rFonts w:ascii="Arial" w:cs="Arial" w:eastAsia="Arial" w:hAnsi="Arial"/>
          <w:sz w:val="18"/>
          <w:szCs w:val="18"/>
          <w:color w:val="auto"/>
        </w:rPr>
        <w:t>one</w:t>
      </w:r>
      <w:r>
        <w:rPr>
          <w:rFonts w:ascii="Arial" w:cs="Arial" w:eastAsia="Arial" w:hAnsi="Arial"/>
          <w:sz w:val="18"/>
          <w:szCs w:val="18"/>
          <w:i w:val="1"/>
          <w:iCs w:val="1"/>
          <w:color w:val="auto"/>
        </w:rPr>
        <w:t xml:space="preserve"> year and, as such, are classified as Investments (short-term) within the Consolidated Balance Sheets.</w:t>
      </w:r>
    </w:p>
    <w:p>
      <w:pPr>
        <w:spacing w:after="0" w:line="181" w:lineRule="exact"/>
        <w:rPr>
          <w:sz w:val="20"/>
          <w:szCs w:val="20"/>
          <w:color w:val="auto"/>
        </w:rPr>
      </w:pPr>
    </w:p>
    <w:p>
      <w:pPr>
        <w:jc w:val="both"/>
        <w:ind w:left="660" w:hanging="323"/>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4</w:t>
      </w:r>
      <w:r>
        <w:rPr>
          <w:rFonts w:ascii="Arial" w:cs="Arial" w:eastAsia="Arial" w:hAnsi="Arial"/>
          <w:sz w:val="18"/>
          <w:szCs w:val="18"/>
          <w:i w:val="1"/>
          <w:iCs w:val="1"/>
          <w:color w:val="auto"/>
        </w:rPr>
        <w:t xml:space="preserve">) 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w:t>
      </w:r>
      <w:r>
        <w:rPr>
          <w:rFonts w:ascii="Arial" w:cs="Arial" w:eastAsia="Arial" w:hAnsi="Arial"/>
          <w:sz w:val="18"/>
          <w:szCs w:val="18"/>
          <w:color w:val="auto"/>
        </w:rPr>
        <w:t>2</w:t>
      </w:r>
      <w:r>
        <w:rPr>
          <w:rFonts w:ascii="Arial" w:cs="Arial" w:eastAsia="Arial" w:hAnsi="Arial"/>
          <w:sz w:val="18"/>
          <w:szCs w:val="18"/>
          <w:i w:val="1"/>
          <w:iCs w:val="1"/>
          <w:color w:val="auto"/>
        </w:rPr>
        <w:t xml:space="preserv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 1 and Level 2 fair value measurements during the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 Assets and Liabilities Measured at Fair Value on a Non-Recurring Basis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 information, and discounted cash flow projections. An impairment charge is recorded when the cost exceeds its fair value, based upon the results of such valuations. During fiscal 2019 and 2018, no fair value adjustments or material fair value measurements were required for the Company’s non-financial assets or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Assets and Liabilities Measured at Fair Value for Disclosure Purposes Only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2019, and 2018, the fair value of the Company’s long-term debt was $575.0 million, which approximated its carrying amount given the application of a floating interest rate equal to the daily LIBOR rate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880" w:firstLine="8"/>
        <w:spacing w:after="0" w:line="530"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DERIVATIVE INSTRUMENTS Cash Flow Hedges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FactSet conducts business outside the U.S. in several currencies including the Euro, Indian Rupee, Philippine Peso, British Pound Sterling, and Japanese Yen.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See Note 19, Commitments and Contingencies - Concentration of Credit Risk, for further discussion on counterparty credit risk.</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fiscal 2019 or 2018, and as such, no corresponding gains or losses related to changes in the value of the Company’s contracts were reclassified into earnings prior to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2019, FactSet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its Indian Rupee exposure through the end of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 and 25% of its Indian Rupee exposure through the fourth quarter of fiscal 2020.</w:t>
      </w:r>
    </w:p>
    <w:p>
      <w:pPr>
        <w:spacing w:after="0" w:line="170" w:lineRule="exact"/>
        <w:rPr>
          <w:rFonts w:ascii="Arial" w:cs="Arial" w:eastAsia="Arial" w:hAnsi="Arial"/>
          <w:sz w:val="18"/>
          <w:szCs w:val="18"/>
          <w:i w:val="1"/>
          <w:iCs w:val="1"/>
          <w:color w:val="auto"/>
        </w:rPr>
      </w:pPr>
    </w:p>
    <w:p>
      <w:pPr>
        <w:ind w:left="660" w:hanging="328"/>
        <w:spacing w:after="0" w:line="342"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Euro </w:t>
      </w:r>
      <w:r>
        <w:rPr>
          <w:rFonts w:ascii="Arial" w:cs="Arial" w:eastAsia="Arial" w:hAnsi="Arial"/>
          <w:sz w:val="16"/>
          <w:szCs w:val="16"/>
          <w:color w:val="auto"/>
        </w:rPr>
        <w:t>– foreign currency forward contracts to hedge approximately 75% of its Euro exposure through the first quarter of fiscal 2020, 50% of its Euro</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from the second quarter through the third quarter of fiscal 2020, and 25% of its Euro exposure through the fourth quarter of fiscal 2020.</w:t>
      </w:r>
    </w:p>
    <w:p>
      <w:pPr>
        <w:spacing w:after="0" w:line="123" w:lineRule="exact"/>
        <w:rPr>
          <w:rFonts w:ascii="Arial" w:cs="Arial" w:eastAsia="Arial" w:hAnsi="Arial"/>
          <w:sz w:val="16"/>
          <w:szCs w:val="16"/>
          <w:i w:val="1"/>
          <w:iCs w:val="1"/>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75% of its British Pound sterling exposure through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50% of its British Pound Sterling exposure from the second quarter through the third quarter of fiscal 2020, and 25% of its British Pound Sterling exposure through the fourth quarter of fiscal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Currency Hedged</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8"/>
                <w:szCs w:val="18"/>
                <w:color w:val="auto"/>
              </w:rPr>
              <w:t>Gross Notional Value</w:t>
            </w:r>
          </w:p>
        </w:tc>
        <w:tc>
          <w:tcPr>
            <w:tcW w:w="140" w:type="dxa"/>
            <w:vAlign w:val="bottom"/>
          </w:tcPr>
          <w:p>
            <w:pPr>
              <w:spacing w:after="0"/>
              <w:rPr>
                <w:sz w:val="20"/>
                <w:szCs w:val="20"/>
                <w:color w:val="auto"/>
              </w:rPr>
            </w:pPr>
          </w:p>
        </w:tc>
        <w:tc>
          <w:tcPr>
            <w:tcW w:w="2560" w:type="dxa"/>
            <w:vAlign w:val="bottom"/>
            <w:gridSpan w:val="5"/>
          </w:tcPr>
          <w:p>
            <w:pPr>
              <w:jc w:val="right"/>
              <w:ind w:right="420"/>
              <w:spacing w:after="0"/>
              <w:rPr>
                <w:sz w:val="20"/>
                <w:szCs w:val="20"/>
                <w:color w:val="auto"/>
              </w:rPr>
            </w:pPr>
            <w:r>
              <w:rPr>
                <w:rFonts w:ascii="Arial" w:cs="Arial" w:eastAsia="Arial" w:hAnsi="Arial"/>
                <w:sz w:val="18"/>
                <w:szCs w:val="18"/>
                <w:color w:val="auto"/>
              </w:rPr>
              <w:t>Fair Value (Liability) Asset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August 31,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0"/>
              </w:rPr>
              <w:t>August 31,</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7"/>
              </w:rPr>
              <w:t>August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(in thousands, in U.S. dollars)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August 31, 2018</w:t>
            </w: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Indian Rupee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50,780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British Pound Sterling</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18,995</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the gross notional value of foreign currency forward contracts to purchase Philippine Pesos and Indian Rupees with U.S. dollars was ₱1.4 billion and Rs.1.4 billion, respectively. The gross notional value of foreign currency forward contracts to purchase U.S. dollars with Euros and British Pound Sterling was €35.7 million and £20.5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fair value amounts of derivative instruments and gains and losses on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August 31,</w:t>
            </w:r>
          </w:p>
        </w:tc>
        <w:tc>
          <w:tcPr>
            <w:tcW w:w="3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August 31,</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760" w:type="dxa"/>
            <w:vAlign w:val="bottom"/>
            <w:gridSpan w:val="3"/>
          </w:tcPr>
          <w:p>
            <w:pPr>
              <w:spacing w:after="0"/>
              <w:rPr>
                <w:sz w:val="20"/>
                <w:szCs w:val="20"/>
                <w:color w:val="auto"/>
              </w:rPr>
            </w:pPr>
            <w:r>
              <w:rPr>
                <w:rFonts w:ascii="Arial" w:cs="Arial" w:eastAsia="Arial" w:hAnsi="Arial"/>
                <w:sz w:val="18"/>
                <w:szCs w:val="18"/>
                <w:color w:val="auto"/>
              </w:rPr>
              <w:t>Balance Sheet Location</w:t>
            </w:r>
          </w:p>
        </w:tc>
        <w:tc>
          <w:tcPr>
            <w:tcW w:w="48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1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Derivatives designated as hedging instruments</w:t>
            </w:r>
          </w:p>
        </w:tc>
        <w:tc>
          <w:tcPr>
            <w:tcW w:w="376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Assets: Foreign Currency Forward Contracts</w:t>
            </w:r>
          </w:p>
        </w:tc>
        <w:tc>
          <w:tcPr>
            <w:tcW w:w="4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9"/>
              </w:rPr>
              <w:t>Liabilities: Foreign Currency Forward Contracts</w:t>
            </w: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August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Derivatives in Cash Flow Hedging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pre-tax effect of derivative instruments in cash flow hedging relationships for the each of the three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gridSpan w:val="4"/>
          </w:tcPr>
          <w:p>
            <w:pPr>
              <w:jc w:val="center"/>
              <w:ind w:left="10"/>
              <w:spacing w:after="0"/>
              <w:rPr>
                <w:sz w:val="20"/>
                <w:szCs w:val="20"/>
                <w:color w:val="auto"/>
              </w:rPr>
            </w:pPr>
            <w:r>
              <w:rPr>
                <w:rFonts w:ascii="Arial" w:cs="Arial" w:eastAsia="Arial" w:hAnsi="Arial"/>
                <w:sz w:val="18"/>
                <w:szCs w:val="18"/>
                <w:color w:val="auto"/>
                <w:w w:val="91"/>
              </w:rPr>
              <w:t>(Loss) Gain Recognized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center"/>
              <w:ind w:left="470"/>
              <w:spacing w:after="0"/>
              <w:rPr>
                <w:sz w:val="20"/>
                <w:szCs w:val="20"/>
                <w:color w:val="auto"/>
              </w:rPr>
            </w:pPr>
            <w:r>
              <w:rPr>
                <w:rFonts w:ascii="Arial" w:cs="Arial" w:eastAsia="Arial" w:hAnsi="Arial"/>
                <w:sz w:val="18"/>
                <w:szCs w:val="18"/>
                <w:color w:val="auto"/>
                <w:w w:val="91"/>
              </w:rPr>
              <w:t>(Loss) Gain Reclassified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gridSpan w:val="4"/>
          </w:tcPr>
          <w:p>
            <w:pPr>
              <w:jc w:val="center"/>
              <w:ind w:left="30"/>
              <w:spacing w:after="0"/>
              <w:rPr>
                <w:sz w:val="20"/>
                <w:szCs w:val="20"/>
                <w:color w:val="auto"/>
              </w:rPr>
            </w:pPr>
            <w:r>
              <w:rPr>
                <w:rFonts w:ascii="Arial" w:cs="Arial" w:eastAsia="Arial" w:hAnsi="Arial"/>
                <w:sz w:val="18"/>
                <w:szCs w:val="18"/>
                <w:color w:val="auto"/>
                <w:w w:val="95"/>
              </w:rPr>
              <w:t>in AOCL on Derivatives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Gain Reclassified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color w:val="auto"/>
                <w:w w:val="95"/>
              </w:rPr>
              <w:t>from AOCL into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(Effective Portion)</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from AOCL</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5"/>
              </w:rPr>
              <w:t>(Effective Portion)</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640" w:type="dxa"/>
            <w:vAlign w:val="bottom"/>
            <w:gridSpan w:val="2"/>
          </w:tcPr>
          <w:p>
            <w:pPr>
              <w:spacing w:after="0" w:line="195" w:lineRule="exact"/>
              <w:rPr>
                <w:sz w:val="20"/>
                <w:szCs w:val="20"/>
                <w:color w:val="auto"/>
              </w:rPr>
            </w:pPr>
            <w:r>
              <w:rPr>
                <w:rFonts w:ascii="Arial" w:cs="Arial" w:eastAsia="Arial" w:hAnsi="Arial"/>
                <w:sz w:val="18"/>
                <w:szCs w:val="18"/>
                <w:color w:val="auto"/>
                <w:w w:val="96"/>
              </w:rPr>
              <w:t>Derivatives in Cash Flow Hedging</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into Income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Relationships</w:t>
            </w:r>
          </w:p>
        </w:tc>
        <w:tc>
          <w:tcPr>
            <w:tcW w:w="700" w:type="dxa"/>
            <w:vAlign w:val="bottom"/>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center"/>
              <w:ind w:right="330"/>
              <w:spacing w:after="0"/>
              <w:rPr>
                <w:sz w:val="20"/>
                <w:szCs w:val="20"/>
                <w:color w:val="auto"/>
              </w:rPr>
            </w:pPr>
            <w:r>
              <w:rPr>
                <w:rFonts w:ascii="Arial" w:cs="Arial" w:eastAsia="Arial" w:hAnsi="Arial"/>
                <w:sz w:val="18"/>
                <w:szCs w:val="18"/>
                <w:color w:val="auto"/>
                <w:w w:val="89"/>
              </w:rPr>
              <w:t>2018</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(Effective Portion)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00" w:type="dxa"/>
            <w:vAlign w:val="bottom"/>
          </w:tcPr>
          <w:p>
            <w:pPr>
              <w:jc w:val="center"/>
              <w:ind w:right="310"/>
              <w:spacing w:after="0"/>
              <w:rPr>
                <w:sz w:val="20"/>
                <w:szCs w:val="20"/>
                <w:color w:val="auto"/>
              </w:rPr>
            </w:pPr>
            <w:r>
              <w:rPr>
                <w:rFonts w:ascii="Arial" w:cs="Arial" w:eastAsia="Arial" w:hAnsi="Arial"/>
                <w:sz w:val="18"/>
                <w:szCs w:val="18"/>
                <w:color w:val="auto"/>
                <w:w w:val="89"/>
              </w:rPr>
              <w:t>2018</w:t>
            </w: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Foreign currency forward</w:t>
            </w: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(2,883)</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were included in the assessment of hedge effectiveness. As of August 31, 2019, FactSet estimates that $3.1 million of net derivative losses related to its cash flow hedges included in AOCL will be reclassified into earnings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Offsetting of Derivative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August 31, 2019 and 2018, there were no material amounts recorded net on the 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12"/>
          </w:tcPr>
          <w:p>
            <w:pPr>
              <w:spacing w:after="0"/>
              <w:rPr>
                <w:sz w:val="20"/>
                <w:szCs w:val="20"/>
                <w:color w:val="auto"/>
              </w:rPr>
            </w:pPr>
            <w:r>
              <w:rPr>
                <w:rFonts w:ascii="Arial" w:cs="Arial" w:eastAsia="Arial" w:hAnsi="Arial"/>
                <w:sz w:val="18"/>
                <w:szCs w:val="18"/>
                <w:color w:val="auto"/>
              </w:rPr>
              <w:t>7. OTHER COMPREHENSIVE (LOSS) INCOME AND ACCUMULATED OTHER COMPREHENSIVE LOSS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40" w:type="dxa"/>
            <w:vAlign w:val="bottom"/>
            <w:gridSpan w:val="14"/>
          </w:tcPr>
          <w:p>
            <w:pPr>
              <w:spacing w:after="0"/>
              <w:rPr>
                <w:sz w:val="20"/>
                <w:szCs w:val="20"/>
                <w:color w:val="auto"/>
              </w:rPr>
            </w:pPr>
            <w:r>
              <w:rPr>
                <w:rFonts w:ascii="Arial" w:cs="Arial" w:eastAsia="Arial" w:hAnsi="Arial"/>
                <w:sz w:val="18"/>
                <w:szCs w:val="18"/>
                <w:color w:val="auto"/>
                <w:w w:val="94"/>
              </w:rPr>
              <w:t>The components of other comprehensive (loss) income during the fiscal years ended August 31, 2019, 2018 and 2017 are as follows:</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4"/>
          </w:tcPr>
          <w:p>
            <w:pPr>
              <w:jc w:val="right"/>
              <w:ind w:right="900"/>
              <w:spacing w:after="0"/>
              <w:rPr>
                <w:sz w:val="20"/>
                <w:szCs w:val="20"/>
                <w:color w:val="auto"/>
              </w:rPr>
            </w:pPr>
            <w:r>
              <w:rPr>
                <w:rFonts w:ascii="Arial" w:cs="Arial" w:eastAsia="Arial" w:hAnsi="Arial"/>
                <w:sz w:val="18"/>
                <w:szCs w:val="18"/>
                <w:color w:val="auto"/>
              </w:rPr>
              <w:t>August 31, 2019</w:t>
            </w:r>
          </w:p>
        </w:tc>
        <w:tc>
          <w:tcPr>
            <w:tcW w:w="340" w:type="dxa"/>
            <w:vAlign w:val="bottom"/>
          </w:tcPr>
          <w:p>
            <w:pPr>
              <w:spacing w:after="0"/>
              <w:rPr>
                <w:sz w:val="24"/>
                <w:szCs w:val="24"/>
                <w:color w:val="auto"/>
              </w:rPr>
            </w:pPr>
          </w:p>
        </w:tc>
        <w:tc>
          <w:tcPr>
            <w:tcW w:w="2360" w:type="dxa"/>
            <w:vAlign w:val="bottom"/>
            <w:gridSpan w:val="4"/>
          </w:tcPr>
          <w:p>
            <w:pPr>
              <w:jc w:val="right"/>
              <w:ind w:right="860"/>
              <w:spacing w:after="0"/>
              <w:rPr>
                <w:sz w:val="20"/>
                <w:szCs w:val="20"/>
                <w:color w:val="auto"/>
              </w:rPr>
            </w:pPr>
            <w:r>
              <w:rPr>
                <w:rFonts w:ascii="Arial" w:cs="Arial" w:eastAsia="Arial" w:hAnsi="Arial"/>
                <w:sz w:val="18"/>
                <w:szCs w:val="18"/>
                <w:color w:val="auto"/>
              </w:rPr>
              <w:t>August 31, 2018</w:t>
            </w:r>
          </w:p>
        </w:tc>
        <w:tc>
          <w:tcPr>
            <w:tcW w:w="220" w:type="dxa"/>
            <w:vAlign w:val="bottom"/>
          </w:tcPr>
          <w:p>
            <w:pPr>
              <w:spacing w:after="0"/>
              <w:rPr>
                <w:sz w:val="24"/>
                <w:szCs w:val="24"/>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w w:val="94"/>
              </w:rPr>
              <w:t>August 31, 2017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Pre-tax</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Pre-tax</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(24,325)</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28,816</w:t>
            </w:r>
          </w:p>
        </w:tc>
        <w:tc>
          <w:tcPr>
            <w:tcW w:w="7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unrealized gain (loss) on cash flow</w:t>
            </w:r>
          </w:p>
        </w:tc>
        <w:tc>
          <w:tcPr>
            <w:tcW w:w="34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504</w:t>
            </w:r>
          </w:p>
        </w:tc>
        <w:tc>
          <w:tcPr>
            <w:tcW w:w="3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(10,806)</w:t>
            </w:r>
          </w:p>
        </w:tc>
        <w:tc>
          <w:tcPr>
            <w:tcW w:w="220" w:type="dxa"/>
            <w:vAlign w:val="bottom"/>
          </w:tcPr>
          <w:p>
            <w:pPr>
              <w:spacing w:after="0"/>
              <w:rPr>
                <w:sz w:val="17"/>
                <w:szCs w:val="17"/>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8,066</w:t>
            </w:r>
          </w:p>
        </w:tc>
        <w:tc>
          <w:tcPr>
            <w:tcW w:w="7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5,017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spacing w:after="0"/>
              <w:rPr>
                <w:sz w:val="20"/>
                <w:szCs w:val="20"/>
                <w:color w:val="auto"/>
              </w:rPr>
            </w:pPr>
            <w:r>
              <w:rPr>
                <w:rFonts w:ascii="Arial" w:cs="Arial" w:eastAsia="Arial" w:hAnsi="Arial"/>
                <w:sz w:val="18"/>
                <w:szCs w:val="18"/>
                <w:color w:val="auto"/>
              </w:rPr>
              <w:t>hedges recognized in AOCL</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Other comprehensive (loss) </w:t>
            </w:r>
            <w:r>
              <w:rPr>
                <w:rFonts w:ascii="Arial" w:cs="Arial" w:eastAsia="Arial" w:hAnsi="Arial"/>
                <w:sz w:val="18"/>
                <w:szCs w:val="18"/>
                <w:color w:val="auto"/>
              </w:rPr>
              <w:t>i</w:t>
            </w:r>
            <w:r>
              <w:rPr>
                <w:rFonts w:ascii="Arial" w:cs="Arial" w:eastAsia="Arial" w:hAnsi="Arial"/>
                <w:sz w:val="18"/>
                <w:szCs w:val="18"/>
                <w:i w:val="1"/>
                <w:iCs w:val="1"/>
                <w:color w:val="auto"/>
              </w:rPr>
              <w:t>ncome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33,833</w:t>
            </w: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color w:val="auto"/>
              </w:rPr>
              <w:t>August 31, 2019</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7"/>
              </w:rPr>
              <w:t>August 31,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Accumulated unrealized losses on cash flow hedges, net of tax</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(2,266)  $</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2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(72,278)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(47,953)</w:t>
            </w:r>
          </w:p>
        </w:tc>
      </w:tr>
      <w:tr>
        <w:trPr>
          <w:trHeight w:val="20"/>
        </w:trPr>
        <w:tc>
          <w:tcPr>
            <w:tcW w:w="6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Total accumulated other comprehensive loss</w:t>
            </w:r>
          </w:p>
        </w:tc>
        <w:tc>
          <w:tcPr>
            <w:tcW w:w="2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(74,544)</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segments are defined as components of an enterprise that have the following characteristics: (i) it engages in business activities from which they may earn revenues and incur expenses, (ii) its operating results are regularly reviewed by the company’s chief operating decision maker to make decisions about resources to be allocated to the segment and assess its performance, and (iii) its discrete financial information is available. Executive management, along with the CEO, constitute FactSet’s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and Trading. The CODMG reviews financial information at the operating segment level and is responsible for making decisions about resources allocated amongst the operating segments based on actual results.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aligned with how the Company, including its CODMG, manages the business and the demographic markets in which it serves. The Company’s internal financial reporting structure is based on three segments: the U.S., Europe and Asia Pacific. The Company believes this alignment helps to better manage the business and view the markets it serves, which are centered on providing integrated global financial and economic information. Sales, consulting, data collection, product development and software engineering are the primary functional groups within the U.S., Europe and Asia Pacific segments. These functional groups provide global financial and economic information to investment managers, investment banks and other financial services professionals.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U.S. segment serves investment professionals including financial institutions throughout the Americas. The Europe and Asia Pacific segments serve investment professionals located throughout Europe and Asia Pacific, respectively. Segment revenue reflects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Expenditures associated with the Company’s data centers, third-party data costs and corporate headquarters charges are recorded by the U.S.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structure. These results are used, in part, by management, both in evaluating the performance of, and in allocating resources to, each of the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August 31, 2019</w:t>
            </w:r>
          </w:p>
        </w:tc>
        <w:tc>
          <w:tcPr>
            <w:tcW w:w="21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clients</w:t>
            </w:r>
          </w:p>
        </w:tc>
        <w:tc>
          <w:tcPr>
            <w:tcW w:w="2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894,554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408,084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132,713</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179,374</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179,258</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79,403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438,035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851,014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588,911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120,205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1,560,130</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40,018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14,703</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5,742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60,463</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26,152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32,400</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43,647</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13,128</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59,370</w:t>
            </w:r>
          </w:p>
        </w:tc>
      </w:tr>
      <w:tr>
        <w:trPr>
          <w:trHeight w:val="431"/>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August 31, 2018</w:t>
            </w:r>
          </w:p>
        </w:tc>
        <w:tc>
          <w:tcPr>
            <w:tcW w:w="2180" w:type="dxa"/>
            <w:vAlign w:val="bottom"/>
          </w:tcPr>
          <w:p>
            <w:pPr>
              <w:spacing w:after="0"/>
              <w:rPr>
                <w:sz w:val="24"/>
                <w:szCs w:val="24"/>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clients</w:t>
            </w:r>
          </w:p>
        </w:tc>
        <w:tc>
          <w:tcPr>
            <w:tcW w:w="2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841,908</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387,589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120,648</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148,095</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148,977</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69,132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366,204</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724,259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585,497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109,692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1,419,448</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37,453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15,710</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4,122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57,285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31,516</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20,358</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10,022</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33,520</w:t>
            </w: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August 31, 2017</w:t>
            </w:r>
          </w:p>
        </w:tc>
        <w:tc>
          <w:tcPr>
            <w:tcW w:w="2180" w:type="dxa"/>
            <w:vAlign w:val="bottom"/>
          </w:tcPr>
          <w:p>
            <w:pPr>
              <w:spacing w:after="0"/>
              <w:rPr>
                <w:sz w:val="24"/>
                <w:szCs w:val="24"/>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clients</w:t>
            </w:r>
          </w:p>
        </w:tc>
        <w:tc>
          <w:tcPr>
            <w:tcW w:w="2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784,146</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330,332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106,701</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137,104</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153,676</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61,355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352,135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703,941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609,368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1,413,315</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35,244</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9,837</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48,294</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34,183</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29,561</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4,916</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36,862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following table sets forth information for those countries that are 10% or more of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Years ended August 31,</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r>
      <w:tr>
        <w:trPr>
          <w:trHeight w:val="250"/>
        </w:trPr>
        <w:tc>
          <w:tcPr>
            <w:tcW w:w="20" w:type="dxa"/>
            <w:vAlign w:val="bottom"/>
          </w:tcPr>
          <w:p>
            <w:pPr>
              <w:spacing w:after="0"/>
              <w:rPr>
                <w:sz w:val="21"/>
                <w:szCs w:val="21"/>
                <w:color w:val="auto"/>
              </w:rPr>
            </w:pPr>
          </w:p>
        </w:tc>
        <w:tc>
          <w:tcPr>
            <w:tcW w:w="638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29"/>
                <w:szCs w:val="29"/>
                <w:color w:val="auto"/>
                <w:vertAlign w:val="superscript"/>
              </w:rPr>
              <w:t>(1)</w:t>
            </w:r>
          </w:p>
        </w:tc>
        <w:tc>
          <w:tcPr>
            <w:tcW w:w="4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right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894,554</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841,908</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784,146</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157,346</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163,732</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All other European countries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230,243</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166,600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120,648</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106,701</w:t>
            </w: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i w:val="1"/>
                <w:iCs w:val="1"/>
                <w:color w:val="auto"/>
              </w:rPr>
              <w:t>Total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1,435,351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1,350,145</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1,221,179</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w:t>
      </w:r>
      <w:r>
        <w:rPr>
          <w:rFonts w:ascii="Arial" w:cs="Arial" w:eastAsia="Arial" w:hAnsi="Arial"/>
          <w:sz w:val="18"/>
          <w:szCs w:val="18"/>
          <w:i w:val="1"/>
          <w:iCs w:val="1"/>
          <w:color w:val="auto"/>
        </w:rPr>
        <w:t>)  Revenue is attributed to countries based on the location of the client.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color w:val="auto"/>
              </w:rPr>
              <w:t>At August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10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29"/>
                <w:szCs w:val="29"/>
                <w:color w:val="auto"/>
                <w:vertAlign w:val="superscript"/>
              </w:rPr>
              <w:t>(1)</w:t>
            </w:r>
          </w:p>
        </w:tc>
        <w:tc>
          <w:tcPr>
            <w:tcW w:w="3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99,783</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74,792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All other European countries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14,173</w:t>
            </w: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Total long-lived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132,524</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100,545</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w:t>
      </w:r>
      <w:r>
        <w:rPr>
          <w:rFonts w:ascii="Arial" w:cs="Arial" w:eastAsia="Arial" w:hAnsi="Arial"/>
          <w:sz w:val="18"/>
          <w:szCs w:val="18"/>
          <w:i w:val="1"/>
          <w:iCs w:val="1"/>
          <w:color w:val="auto"/>
        </w:rPr>
        <w:t>) Long-lived assets consist of property, equipment and leasehold improvements, net of accumulated depreciation and amortization and exclude goodwill, intangible assets, deferred taxes and other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980" w:firstLine="8"/>
        <w:spacing w:after="0" w:line="501"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COMBINATIONS BISAM</w:t>
      </w:r>
    </w:p>
    <w:p>
      <w:pPr>
        <w:jc w:val="both"/>
        <w:spacing w:after="0" w:line="272" w:lineRule="auto"/>
        <w:rPr>
          <w:sz w:val="20"/>
          <w:szCs w:val="20"/>
          <w:color w:val="auto"/>
        </w:rPr>
      </w:pPr>
      <w:r>
        <w:rPr>
          <w:rFonts w:ascii="Arial" w:cs="Arial" w:eastAsia="Arial" w:hAnsi="Arial"/>
          <w:sz w:val="17"/>
          <w:szCs w:val="17"/>
          <w:color w:val="auto"/>
        </w:rPr>
        <w:t>On March 17, 2017, FactSet acquired BI-SAM Technologies (“BISAM”) for a total purchase price of $217.6 million. BISAM is a global provider of portfolio performance and attribution, multi-asset risk, GIPS composites management and reporting. BISAM’s product offerings include B-One, BISAM’s cross-asset solution, which will serve as a complement to both FactSet’s portfolio analytics suite and client reporting solutions, and Cognity, which enhances FactSet’s risk analysis for derivatives and quantitative portfolio construction. These factors contributed to a purchase price in excess of fair value of BISAM’s net tangible and intangible assets, leading to the recognition of goodwill. At the time of acquisition, BISAM employed over 160 employees based primarily in its New York, Boston, Paris, London and Sofia offices. Total transaction costs of $3.2 million were recorded within Selling, General and Administrative (“SG&amp;A”) expenses in the Consolidated Statements of Income during fiscal 2017.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purchase price of $217.6 million was allocated to BISAM’s net tangible and intangible assets based upon their estimated fair value as of the date of acquisition. The allocation included $27.6 million to tangible assets and $56.6 million to amortizable intangible assets consisting of client relationships, amortized over 16 years using an accelerated amortization method; software technology, amortized over five years using a straight-line amortization method; and a trade name, amortized over four years using a straight-line amortization method.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Goodwill totaling $173.9 million represents the excess of the purchase price over the fair value of the net tangible and intangible assets acquired. Goodwill generated from the BISAM acquisition is included in the US and European segments and is not deductible for income tax purposes. The results of operations of BISAM have been included in the Company’s Consolidated Statements of Income since the completion of the acquisition on March 17, 2017. Pro forma information has not been presented because the effect of the BISAM acquisition is not material to the Company’s consolidated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VERMILION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8, 2016, FactSet acquired Vermilion Holdings Limited (“Vermilion”) for a total purchase price of $67.9 million. Vermilion is a global provider of client reporting and communications solutions and services to the financial services industry. Client reporting is a growing area of the market as regulatory requirements rise and with the acquisition of Vermilion and its Vermilion Reporting Suite (“VRS”), FactSet now offers a workflow around all elements of the client reporting process, which it expects will expand as investors grow increasingly sophisticated. This factor contributed to a purchase price in excess of fair value of Vermilion’s net tangible and intangible assets, leading to the recognition of goodwill. At the time of acquisition, Vermilion employed 59 individuals in its London, Boston and Singapore offices. Total transaction costs related to the acquisition were $0.7 million in fiscal 2017 and recorded within SG&amp;A expenses in the Consolidated Statements of Income during fiscal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The total purchase price of $67.9 million was allocated to Vermilion’s net tangible and intangible assets based upon their estimated fair value as of the date of acquisition. The allocation included $8.0 million to tangible assets and $18.2 million to intangible assets, consisting of client relationships, amortized over 15 years using an accelerated amortization method; software technology, amortized over six years using a straight-line amortization method; non-compete agreements, amortized over three years using a straight-line amortization method; and a trade name, amortized over four years using a straight-line amortization method.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Goodwill totaling $51.2 million represents the excess of the purchase price over the fair value of the net tangible and intangible assets acquired. Goodwill generated from the Vermilion acquisition is included in the European segment and is not deductible for income tax purposes. The results of operations of Vermilion have been included in the Company’s Consolidated Statements of Income since the completion of the acquisition on November 8, 2016. Pro forma information has not been presented because the effect of the Vermilion acquisition is not material to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fiscal years ended August 31, 2019 and 2018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Asia Pacific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19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386,835</w:t>
            </w:r>
          </w:p>
        </w:tc>
        <w:tc>
          <w:tcPr>
            <w:tcW w:w="3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317,759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w:t>
            </w: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Acquisitions and other adjustments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Balance at August 31, 2018</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386,195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312,694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Balance at August 31, 2019</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386,195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296,459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3,075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685,729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2019,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11. INTANGIBLE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the Company’s intangible assets at August 31, 2019 was 12.6 years. The Company amortizes intangible assets over their estimated useful lives, which are evaluated quarterly to determine whether events and circumstances warrant a revision to the remaining period of amortization. There have been no material changes to the estimate of the remaining useful lives during fiscal years 2019, 2018 and 2017. If indicators of impairment are present, amortizable intangible assets are tested for impairment comparing the carrying value to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Net Carrying</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At August 31, 2019 (in thousands)</w:t>
            </w: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32,200</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21,512</w:t>
            </w: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Client relationships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95,905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60,399</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48,461</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238,836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118,285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120,551</w:t>
            </w:r>
          </w:p>
        </w:tc>
      </w:tr>
      <w:tr>
        <w:trPr>
          <w:trHeight w:val="404"/>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Net Carrying</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At August 31, 2018 (in thousands)</w:t>
            </w: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33,992</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20,990</w:t>
            </w: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Client relationships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98,882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69,495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62,274</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248,289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99,354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148,935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recorded for intangible assets during fiscal years 2019, 2018 and 2017 was $25.1 million, $24.7 million and $19.9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2019, estimated intangible asset amortization expense for each of the next five years and thereafter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Estimated Amortization</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Expense</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9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20,859</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18,088</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13,508</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3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40" w:firstLine="8"/>
        <w:spacing w:after="0" w:line="563"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PROPERTY, EQUIPMENT AND LEASEHOLD IMPROVEMENTS Property, equipment and leasehold improvements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August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1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155,520</w:t>
            </w:r>
          </w:p>
        </w:tc>
        <w:tc>
          <w:tcPr>
            <w:tcW w:w="50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153,868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181,623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44,699</w:t>
            </w: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i w:val="1"/>
                <w:iCs w:val="1"/>
                <w:color w:val="auto"/>
              </w:rPr>
              <w:t>Subtotal</w:t>
            </w:r>
          </w:p>
        </w:tc>
        <w:tc>
          <w:tcPr>
            <w:tcW w:w="18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358,374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345,801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(225,850)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(245,256)</w:t>
            </w: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Property, equipment and leasehold improvements, net</w:t>
            </w:r>
          </w:p>
        </w:tc>
        <w:tc>
          <w:tcPr>
            <w:tcW w:w="18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132,524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100,545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$35.4 million, $32.6 million and $28.0 million for fiscal years 2019, 2018 and 2017, respectively.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13. COMMON STOCK AND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17, 2019, FactSet's Board of Directors approved a 12.5% increase in the regular quarterly dividend from $0.64 to $0.72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Years ended August 31,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40" w:type="dxa"/>
            <w:vAlign w:val="bottom"/>
            <w:gridSpan w:val="2"/>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beginning of year (September 1)</w:t>
            </w:r>
          </w:p>
        </w:tc>
        <w:tc>
          <w:tcPr>
            <w:tcW w:w="1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38,193</w:t>
            </w:r>
          </w:p>
        </w:tc>
        <w:tc>
          <w:tcPr>
            <w:tcW w:w="186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839</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712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from employees(1)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1860" w:type="dxa"/>
            <w:vAlign w:val="bottom"/>
            <w:gridSpan w:val="3"/>
          </w:tcPr>
          <w:p>
            <w:pPr>
              <w:jc w:val="right"/>
              <w:ind w:right="160"/>
              <w:spacing w:after="0"/>
              <w:rPr>
                <w:sz w:val="20"/>
                <w:szCs w:val="20"/>
                <w:color w:val="auto"/>
              </w:rPr>
            </w:pPr>
            <w:r>
              <w:rPr>
                <w:rFonts w:ascii="Arial" w:cs="Arial" w:eastAsia="Arial" w:hAnsi="Arial"/>
                <w:sz w:val="18"/>
                <w:szCs w:val="18"/>
                <w:color w:val="auto"/>
              </w:rPr>
              <w:t>(1,534)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under accelerated share repurchase agreement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Balance, end of year (August 31)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38,118</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38,193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39,023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3"/>
        <w:spacing w:after="0" w:line="277" w:lineRule="auto"/>
        <w:tabs>
          <w:tab w:leader="none" w:pos="640" w:val="left"/>
        </w:tabs>
        <w:rPr>
          <w:sz w:val="20"/>
          <w:szCs w:val="20"/>
          <w:color w:val="auto"/>
        </w:rPr>
      </w:pPr>
      <w:r>
        <w:rPr>
          <w:rFonts w:ascii="Arial" w:cs="Arial" w:eastAsia="Arial" w:hAnsi="Arial"/>
          <w:sz w:val="30"/>
          <w:szCs w:val="30"/>
          <w:i w:val="1"/>
          <w:iCs w:val="1"/>
          <w:color w:val="auto"/>
          <w:vertAlign w:val="superscript"/>
        </w:rPr>
        <w:t>(</w:t>
      </w:r>
      <w:r>
        <w:rPr>
          <w:rFonts w:ascii="Arial" w:cs="Arial" w:eastAsia="Arial" w:hAnsi="Arial"/>
          <w:sz w:val="30"/>
          <w:szCs w:val="30"/>
          <w:color w:val="auto"/>
          <w:vertAlign w:val="superscript"/>
        </w:rPr>
        <w:t>1</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ab/>
        <w:t xml:space="preserve">For fiscal </w:t>
      </w:r>
      <w:r>
        <w:rPr>
          <w:rFonts w:ascii="Arial" w:cs="Arial" w:eastAsia="Arial" w:hAnsi="Arial"/>
          <w:sz w:val="18"/>
          <w:szCs w:val="18"/>
          <w:color w:val="auto"/>
        </w:rPr>
        <w:t>2019, 2018</w:t>
      </w:r>
      <w:r>
        <w:rPr>
          <w:rFonts w:ascii="Arial" w:cs="Arial" w:eastAsia="Arial" w:hAnsi="Arial"/>
          <w:sz w:val="18"/>
          <w:szCs w:val="18"/>
          <w:i w:val="1"/>
          <w:iCs w:val="1"/>
          <w:color w:val="auto"/>
        </w:rPr>
        <w:t xml:space="preserve"> and </w:t>
      </w:r>
      <w:r>
        <w:rPr>
          <w:rFonts w:ascii="Arial" w:cs="Arial" w:eastAsia="Arial" w:hAnsi="Arial"/>
          <w:sz w:val="18"/>
          <w:szCs w:val="18"/>
          <w:color w:val="auto"/>
        </w:rPr>
        <w:t>2017,</w:t>
      </w:r>
      <w:r>
        <w:rPr>
          <w:rFonts w:ascii="Arial" w:cs="Arial" w:eastAsia="Arial" w:hAnsi="Arial"/>
          <w:sz w:val="18"/>
          <w:szCs w:val="18"/>
          <w:i w:val="1"/>
          <w:iCs w:val="1"/>
          <w:color w:val="auto"/>
        </w:rPr>
        <w:t xml:space="preserve"> the Company repurchased 31,644, 8,070 and 49,771 shares, or $7.2 million, $1.5 million and $7.8 million, of common stock, respectively, in settlement of employee tax withholding obligations due upon the vesting of restricted stock.</w:t>
      </w:r>
    </w:p>
    <w:p>
      <w:pPr>
        <w:sectPr>
          <w:pgSz w:w="11900" w:h="16838" w:orient="portrait"/>
          <w:cols w:equalWidth="0" w:num="1">
            <w:col w:w="11420"/>
          </w:cols>
          <w:pgMar w:left="240" w:top="584" w:right="239" w:bottom="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3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 Share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3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year ended August 31, 2019</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352,790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38,144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352,790</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38,873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year ended August 31, 2018</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267,085</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38,733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267,085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39,377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year ended August 31, 2017</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258,259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39,444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258,259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39,642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Dilutive potential common shares consist of stock options and unvested restricted stock awards. There were 11,481 stock options excluded from the fiscal 2019 calculation of diluted EPS, because their inclusion would have been anti-dilutive. There were no stock options excluded from the fiscal 2018 calculation of diluted EPS and there were 704,786 stock options excluded from the fiscal 2017 calculations of diluted EPS, because their inclusion would have been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7"/>
          <w:szCs w:val="17"/>
          <w:color w:val="auto"/>
        </w:rPr>
        <w:t>There were no performance-based stock options excluded from the calculation of diluted EPS for fiscal 2019. As of August 31, 2018 and 2017, the number of performance-based stock options excluded from the calculation of diluted EPS was 249,443 and 415,061, respectively. Performance-based stock options are omitted from the calculation of diluted EPS until the performance criteria is considered probable of being achieved.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960" w:firstLine="8"/>
        <w:spacing w:after="0" w:line="50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EQUITY Preferred Stock</w:t>
      </w:r>
    </w:p>
    <w:p>
      <w:pPr>
        <w:jc w:val="both"/>
        <w:spacing w:after="0" w:line="259" w:lineRule="auto"/>
        <w:rPr>
          <w:sz w:val="20"/>
          <w:szCs w:val="20"/>
          <w:color w:val="auto"/>
        </w:rPr>
      </w:pPr>
      <w:r>
        <w:rPr>
          <w:rFonts w:ascii="Arial" w:cs="Arial" w:eastAsia="Arial" w:hAnsi="Arial"/>
          <w:sz w:val="18"/>
          <w:szCs w:val="18"/>
          <w:color w:val="auto"/>
        </w:rPr>
        <w:t>At August 31, 2019 and 2018,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August 31, 2019 and 2018, there were 150,000,000 shares of common stock ($0.01 par value per share) authorized, of which 40,104,192 and 39,264,849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Treasury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reduction to retained earnings ($1.5 billion). As of August 31, 2019, and August 31, 2018, there were 1,986,352 and 1,072,263 shares of treasury stock (at cost) outstanding,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During fiscal 2019, the Company repurchased 882,445 shares for $213.1 million compared to 1,534,398 shares for $302.4 million in fiscal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$238.6 million remains authorized for future share repurchases as of August 31, 2019. There is no defined number of shares to be repurchased over a specified timeframe through the life of the share repurchase program. It is expected that share repurchases will be paid using existing and future cash generated by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Restricted stock awards entitle the holder to shares of common stock as the awards vest over time. During fiscal 2019, previously granted restricted stock awards of 85,401 shares vested and were included in common stock outstanding as of August 31, 2019 (recorded net of 31,644 shares repurchased from employees at a cost of $7.2 million to cover their cost of taxes upon vesting of the restricted stock). During fiscal 2018, 26,599 shares of previously granted restricted stock awards vested and were included in common stock outstanding as of August 31, 2018 (recorded net of 8,070 shares repurchased from employees at a cost of $1.5 million to cover their cost of taxes upon vesting of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80" w:type="dxa"/>
            <w:vAlign w:val="bottom"/>
            <w:gridSpan w:val="7"/>
          </w:tcPr>
          <w:p>
            <w:pPr>
              <w:spacing w:after="0"/>
              <w:rPr>
                <w:sz w:val="20"/>
                <w:szCs w:val="20"/>
                <w:color w:val="auto"/>
              </w:rPr>
            </w:pPr>
            <w:r>
              <w:rPr>
                <w:rFonts w:ascii="Arial" w:cs="Arial" w:eastAsia="Arial" w:hAnsi="Arial"/>
                <w:sz w:val="18"/>
                <w:szCs w:val="18"/>
                <w:color w:val="auto"/>
                <w:w w:val="98"/>
              </w:rPr>
              <w:t>The Company’s Board of Directors declared the following dividends on our common stock during the periods presented:</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jc w:val="center"/>
              <w:ind w:right="630"/>
              <w:spacing w:after="0"/>
              <w:rPr>
                <w:sz w:val="20"/>
                <w:szCs w:val="20"/>
                <w:color w:val="auto"/>
              </w:rPr>
            </w:pPr>
            <w:r>
              <w:rPr>
                <w:rFonts w:ascii="Arial" w:cs="Arial" w:eastAsia="Arial" w:hAnsi="Arial"/>
                <w:sz w:val="18"/>
                <w:szCs w:val="18"/>
                <w:color w:val="auto"/>
                <w:w w:val="92"/>
              </w:rPr>
              <w:t>Dividends per</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tcPr>
          <w:p>
            <w:pPr>
              <w:jc w:val="center"/>
              <w:ind w:right="610"/>
              <w:spacing w:after="0"/>
              <w:rPr>
                <w:sz w:val="20"/>
                <w:szCs w:val="20"/>
                <w:color w:val="auto"/>
              </w:rPr>
            </w:pPr>
            <w:r>
              <w:rPr>
                <w:rFonts w:ascii="Arial" w:cs="Arial" w:eastAsia="Arial" w:hAnsi="Arial"/>
                <w:sz w:val="18"/>
                <w:szCs w:val="18"/>
                <w:color w:val="auto"/>
                <w:w w:val="88"/>
              </w:rPr>
              <w:t>Share of</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color w:val="auto"/>
                <w:w w:val="98"/>
              </w:rPr>
              <w:t>Total amount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Year Ended</w:t>
            </w:r>
          </w:p>
        </w:tc>
        <w:tc>
          <w:tcPr>
            <w:tcW w:w="6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0"/>
              </w:rPr>
              <w:t>Common Stock</w:t>
            </w:r>
          </w:p>
        </w:tc>
        <w:tc>
          <w:tcPr>
            <w:tcW w:w="24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Record Date</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w w:val="94"/>
              </w:rPr>
              <w:t>(in thousands)</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Fiscal 2019</w:t>
            </w:r>
          </w:p>
        </w:tc>
        <w:tc>
          <w:tcPr>
            <w:tcW w:w="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0.64</w:t>
            </w:r>
          </w:p>
        </w:tc>
        <w:tc>
          <w:tcPr>
            <w:tcW w:w="2480" w:type="dxa"/>
            <w:vAlign w:val="bottom"/>
          </w:tcPr>
          <w:p>
            <w:pPr>
              <w:jc w:val="right"/>
              <w:spacing w:after="0"/>
              <w:rPr>
                <w:sz w:val="20"/>
                <w:szCs w:val="20"/>
                <w:color w:val="auto"/>
              </w:rPr>
            </w:pPr>
            <w:r>
              <w:rPr>
                <w:rFonts w:ascii="Arial" w:cs="Arial" w:eastAsia="Arial" w:hAnsi="Arial"/>
                <w:sz w:val="18"/>
                <w:szCs w:val="18"/>
                <w:color w:val="auto"/>
              </w:rPr>
              <w:t>November 30, 2018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24,372</w:t>
            </w:r>
          </w:p>
        </w:tc>
        <w:tc>
          <w:tcPr>
            <w:tcW w:w="2040" w:type="dxa"/>
            <w:vAlign w:val="bottom"/>
          </w:tcPr>
          <w:p>
            <w:pPr>
              <w:jc w:val="right"/>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0.64</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28,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24,385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0.72</w:t>
            </w:r>
          </w:p>
        </w:tc>
        <w:tc>
          <w:tcPr>
            <w:tcW w:w="2480" w:type="dxa"/>
            <w:vAlign w:val="bottom"/>
          </w:tcPr>
          <w:p>
            <w:pPr>
              <w:jc w:val="right"/>
              <w:spacing w:after="0"/>
              <w:rPr>
                <w:sz w:val="20"/>
                <w:szCs w:val="20"/>
                <w:color w:val="auto"/>
              </w:rPr>
            </w:pPr>
            <w:r>
              <w:rPr>
                <w:rFonts w:ascii="Arial" w:cs="Arial" w:eastAsia="Arial" w:hAnsi="Arial"/>
                <w:sz w:val="18"/>
                <w:szCs w:val="18"/>
                <w:color w:val="auto"/>
              </w:rPr>
              <w:t>May 31, 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27,506</w:t>
            </w:r>
          </w:p>
        </w:tc>
        <w:tc>
          <w:tcPr>
            <w:tcW w:w="2040" w:type="dxa"/>
            <w:vAlign w:val="bottom"/>
          </w:tcPr>
          <w:p>
            <w:pPr>
              <w:jc w:val="right"/>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0.72</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30,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27,445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19,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0.56</w:t>
            </w:r>
          </w:p>
        </w:tc>
        <w:tc>
          <w:tcPr>
            <w:tcW w:w="2480" w:type="dxa"/>
            <w:vAlign w:val="bottom"/>
          </w:tcPr>
          <w:p>
            <w:pPr>
              <w:jc w:val="right"/>
              <w:spacing w:after="0"/>
              <w:rPr>
                <w:sz w:val="20"/>
                <w:szCs w:val="20"/>
                <w:color w:val="auto"/>
              </w:rPr>
            </w:pPr>
            <w:r>
              <w:rPr>
                <w:rFonts w:ascii="Arial" w:cs="Arial" w:eastAsia="Arial" w:hAnsi="Arial"/>
                <w:sz w:val="18"/>
                <w:szCs w:val="18"/>
                <w:color w:val="auto"/>
              </w:rPr>
              <w:t>November 30, 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21,902</w:t>
            </w:r>
          </w:p>
        </w:tc>
        <w:tc>
          <w:tcPr>
            <w:tcW w:w="2040" w:type="dxa"/>
            <w:vAlign w:val="bottom"/>
          </w:tcPr>
          <w:p>
            <w:pPr>
              <w:jc w:val="right"/>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0.56</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28,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21,799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0.64</w:t>
            </w:r>
          </w:p>
        </w:tc>
        <w:tc>
          <w:tcPr>
            <w:tcW w:w="2480" w:type="dxa"/>
            <w:vAlign w:val="bottom"/>
          </w:tcPr>
          <w:p>
            <w:pPr>
              <w:jc w:val="right"/>
              <w:spacing w:after="0"/>
              <w:rPr>
                <w:sz w:val="20"/>
                <w:szCs w:val="20"/>
                <w:color w:val="auto"/>
              </w:rPr>
            </w:pPr>
            <w:r>
              <w:rPr>
                <w:rFonts w:ascii="Arial" w:cs="Arial" w:eastAsia="Arial" w:hAnsi="Arial"/>
                <w:sz w:val="18"/>
                <w:szCs w:val="18"/>
                <w:color w:val="auto"/>
              </w:rPr>
              <w:t>May 31, 2018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24,566</w:t>
            </w:r>
          </w:p>
        </w:tc>
        <w:tc>
          <w:tcPr>
            <w:tcW w:w="2040" w:type="dxa"/>
            <w:vAlign w:val="bottom"/>
          </w:tcPr>
          <w:p>
            <w:pPr>
              <w:jc w:val="right"/>
              <w:spacing w:after="0"/>
              <w:rPr>
                <w:sz w:val="20"/>
                <w:szCs w:val="20"/>
                <w:color w:val="auto"/>
              </w:rPr>
            </w:pPr>
            <w:r>
              <w:rPr>
                <w:rFonts w:ascii="Arial" w:cs="Arial" w:eastAsia="Arial" w:hAnsi="Arial"/>
                <w:sz w:val="18"/>
                <w:szCs w:val="18"/>
                <w:color w:val="auto"/>
              </w:rPr>
              <w:t>June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0.64</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24,443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18,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200" w:lineRule="exact"/>
        <w:rPr>
          <w:sz w:val="20"/>
          <w:szCs w:val="20"/>
          <w:color w:val="auto"/>
        </w:rPr>
      </w:pPr>
    </w:p>
    <w:p>
      <w:pPr>
        <w:spacing w:after="0" w:line="383" w:lineRule="exact"/>
        <w:rPr>
          <w:sz w:val="20"/>
          <w:szCs w:val="20"/>
          <w:color w:val="auto"/>
        </w:rPr>
      </w:pPr>
    </w:p>
    <w:p>
      <w:pPr>
        <w:ind w:right="6620" w:firstLine="8"/>
        <w:spacing w:after="0" w:line="501"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STOCK OPTION AND RETIREMENT PLANS Stock Options Awards</w:t>
      </w:r>
    </w:p>
    <w:p>
      <w:pPr>
        <w:jc w:val="both"/>
        <w:spacing w:after="0" w:line="273" w:lineRule="auto"/>
        <w:rPr>
          <w:sz w:val="20"/>
          <w:szCs w:val="20"/>
          <w:color w:val="auto"/>
        </w:rPr>
      </w:pPr>
      <w:r>
        <w:rPr>
          <w:rFonts w:ascii="Arial" w:cs="Arial" w:eastAsia="Arial" w:hAnsi="Arial"/>
          <w:sz w:val="17"/>
          <w:szCs w:val="17"/>
          <w:color w:val="auto"/>
        </w:rPr>
        <w:t>The FactSet Research Systems Inc. Stock Option and Award Plan, as amended and restated (the “Long Term Incentive Plan” or “LTIP”) provides for the grant of share-based awards, including stock options and restricted stock awards to employees of FactSet. The expiration date of the Long Term Incentive Plan is December 19, 2027.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2019, a total of 2,524,304 stock options were outstanding at a weighted average exercise price of $168.50. Unamortized stock-based compensation of $80.4 million is expected to be recognized as stock-based compensation expense over the remaining weighted average vesting period of 3.0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years 2019, 2018 and 2017, FactSet granted 502,139, 610,628 and 1,026,984 stock options, respectively. These stock options have a weighted average exercise price of $223.68, $190.65 and $157.09 to existing employees of the Company,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 Average</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Price Per</w:t>
            </w:r>
          </w:p>
        </w:tc>
      </w:tr>
      <w:tr>
        <w:trPr>
          <w:trHeight w:val="230"/>
        </w:trPr>
        <w:tc>
          <w:tcPr>
            <w:tcW w:w="20" w:type="dxa"/>
            <w:vAlign w:val="bottom"/>
          </w:tcPr>
          <w:p>
            <w:pPr>
              <w:spacing w:after="0"/>
              <w:rPr>
                <w:sz w:val="20"/>
                <w:szCs w:val="20"/>
                <w:color w:val="auto"/>
              </w:rPr>
            </w:pPr>
          </w:p>
        </w:tc>
        <w:tc>
          <w:tcPr>
            <w:tcW w:w="7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6"/>
              </w:rPr>
              <w:t>Number Outstanding</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3"/>
              </w:rPr>
              <w:t>Share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2016</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Granted – non performance-based</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152.89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performance-based</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166.29</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Granted – non-employee Directors grant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170.24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86.17</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160.31</w:t>
            </w: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139.29</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Granted – non performance-based</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190.14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performance-based</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Granted – non-employee Directors grant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197.75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113.73</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158.14</w:t>
            </w: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153.05</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Granted – non performance-based</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224.35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non-employee Directors grant</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207.88</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137.61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170.54</w:t>
            </w:r>
          </w:p>
        </w:tc>
      </w:tr>
      <w:tr>
        <w:trPr>
          <w:trHeight w:val="224"/>
        </w:trPr>
        <w:tc>
          <w:tcPr>
            <w:tcW w:w="20" w:type="dxa"/>
            <w:vAlign w:val="bottom"/>
          </w:tcPr>
          <w:p>
            <w:pPr>
              <w:spacing w:after="0"/>
              <w:rPr>
                <w:sz w:val="19"/>
                <w:szCs w:val="19"/>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August 31, 2019</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168.50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Outstanding and Exercisable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ranges of outstanding and exercisable options as of August 31, 2019 (in thousands, except per share data and the weighted average remaining years of contractual life):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color w:val="auto"/>
              </w:rPr>
              <w:t>Outstanding</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Exercisable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Years of</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Aggregate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Range of Exercise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Number</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8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Intrinsic</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Number</w:t>
            </w: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89"/>
              </w:rPr>
              <w:t>Price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Prices Per Share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280" w:type="dxa"/>
            <w:vAlign w:val="bottom"/>
          </w:tcPr>
          <w:p>
            <w:pPr>
              <w:jc w:val="center"/>
              <w:spacing w:after="0"/>
              <w:rPr>
                <w:sz w:val="20"/>
                <w:szCs w:val="20"/>
                <w:color w:val="auto"/>
              </w:rPr>
            </w:pPr>
            <w:r>
              <w:rPr>
                <w:rFonts w:ascii="Arial" w:cs="Arial" w:eastAsia="Arial" w:hAnsi="Arial"/>
                <w:sz w:val="18"/>
                <w:szCs w:val="18"/>
                <w:color w:val="auto"/>
              </w:rPr>
              <w:t>Life</w:t>
            </w:r>
          </w:p>
        </w:tc>
        <w:tc>
          <w:tcPr>
            <w:tcW w:w="28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3"/>
              </w:rPr>
              <w:t>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Exercisable</w:t>
            </w: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3"/>
              </w:rPr>
              <w:t>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$92.22</w:t>
            </w:r>
          </w:p>
        </w:tc>
        <w:tc>
          <w:tcPr>
            <w:tcW w:w="13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91.86</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33,175</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91.86</w:t>
            </w: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$94.84</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60"/>
              <w:spacing w:after="0"/>
              <w:rPr>
                <w:sz w:val="20"/>
                <w:szCs w:val="20"/>
                <w:color w:val="auto"/>
              </w:rPr>
            </w:pPr>
            <w:r>
              <w:rPr>
                <w:rFonts w:ascii="Arial" w:cs="Arial" w:eastAsia="Arial" w:hAnsi="Arial"/>
                <w:sz w:val="18"/>
                <w:szCs w:val="18"/>
                <w:color w:val="auto"/>
              </w:rPr>
              <w:t>$110.31</w:t>
            </w: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15,102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$131.31</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$148.52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$150.81</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60"/>
              <w:spacing w:after="0"/>
              <w:rPr>
                <w:sz w:val="20"/>
                <w:szCs w:val="20"/>
                <w:color w:val="auto"/>
              </w:rPr>
            </w:pPr>
            <w:r>
              <w:rPr>
                <w:rFonts w:ascii="Arial" w:cs="Arial" w:eastAsia="Arial" w:hAnsi="Arial"/>
                <w:sz w:val="18"/>
                <w:szCs w:val="18"/>
                <w:color w:val="auto"/>
              </w:rPr>
              <w:t>$152.28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470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56,307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$159.14</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$170.24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$171.22</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60"/>
              <w:spacing w:after="0"/>
              <w:rPr>
                <w:sz w:val="20"/>
                <w:szCs w:val="20"/>
                <w:color w:val="auto"/>
              </w:rPr>
            </w:pPr>
            <w:r>
              <w:rPr>
                <w:rFonts w:ascii="Arial" w:cs="Arial" w:eastAsia="Arial" w:hAnsi="Arial"/>
                <w:sz w:val="18"/>
                <w:szCs w:val="18"/>
                <w:color w:val="auto"/>
              </w:rPr>
              <w:t>$175.20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175.04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$189.98</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$200.20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3"/>
          </w:tcPr>
          <w:p>
            <w:pPr>
              <w:jc w:val="center"/>
              <w:ind w:right="490"/>
              <w:spacing w:after="0"/>
              <w:rPr>
                <w:sz w:val="20"/>
                <w:szCs w:val="20"/>
                <w:color w:val="auto"/>
              </w:rPr>
            </w:pPr>
            <w:r>
              <w:rPr>
                <w:rFonts w:ascii="Arial" w:cs="Arial" w:eastAsia="Arial" w:hAnsi="Arial"/>
                <w:sz w:val="18"/>
                <w:szCs w:val="18"/>
                <w:color w:val="auto"/>
                <w:w w:val="97"/>
              </w:rPr>
              <w:t>$200.99  -  $286.74</w:t>
            </w:r>
          </w:p>
        </w:tc>
        <w:tc>
          <w:tcPr>
            <w:tcW w:w="11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22,883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221.88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Fiscal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261,505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116,075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The following table summarizes outstanding and exercisable options as of August 31, 2018 and 2017 (in thousands, except the weighted average exercise price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2740" w:type="dxa"/>
            <w:vAlign w:val="bottom"/>
            <w:gridSpan w:val="4"/>
          </w:tcPr>
          <w:p>
            <w:pPr>
              <w:ind w:left="660"/>
              <w:spacing w:after="0"/>
              <w:rPr>
                <w:sz w:val="20"/>
                <w:szCs w:val="20"/>
                <w:color w:val="auto"/>
              </w:rPr>
            </w:pPr>
            <w:r>
              <w:rPr>
                <w:rFonts w:ascii="Arial" w:cs="Arial" w:eastAsia="Arial" w:hAnsi="Arial"/>
                <w:sz w:val="18"/>
                <w:szCs w:val="18"/>
                <w:color w:val="auto"/>
              </w:rPr>
              <w:t>August 31, 2018</w:t>
            </w:r>
          </w:p>
        </w:tc>
        <w:tc>
          <w:tcPr>
            <w:tcW w:w="2600" w:type="dxa"/>
            <w:vAlign w:val="bottom"/>
            <w:gridSpan w:val="4"/>
          </w:tcPr>
          <w:p>
            <w:pPr>
              <w:ind w:left="660"/>
              <w:spacing w:after="0"/>
              <w:rPr>
                <w:sz w:val="20"/>
                <w:szCs w:val="20"/>
                <w:color w:val="auto"/>
              </w:rPr>
            </w:pPr>
            <w:r>
              <w:rPr>
                <w:rFonts w:ascii="Arial" w:cs="Arial" w:eastAsia="Arial" w:hAnsi="Arial"/>
                <w:sz w:val="18"/>
                <w:szCs w:val="18"/>
                <w:color w:val="auto"/>
              </w:rPr>
              <w:t>August 31, 2017</w:t>
            </w:r>
          </w:p>
        </w:tc>
      </w:tr>
      <w:tr>
        <w:trPr>
          <w:trHeight w:val="195"/>
        </w:trPr>
        <w:tc>
          <w:tcPr>
            <w:tcW w:w="60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16"/>
        </w:trPr>
        <w:tc>
          <w:tcPr>
            <w:tcW w:w="608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Number of</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Exercise Price</w:t>
            </w:r>
          </w:p>
        </w:tc>
      </w:tr>
      <w:tr>
        <w:trPr>
          <w:trHeight w:val="230"/>
        </w:trPr>
        <w:tc>
          <w:tcPr>
            <w:tcW w:w="60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 Share</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fiscal year end</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Exercisable at fiscal year end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126.27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105.14</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in-the-money options exercisable as of August 31, 2019 was 0.9 million with a weighted average exercise price $139.32. The aggregate intrinsic value of in-the-money stock options exercisable at August 31, 2019 and 2018 was $116.1 million and $105.3 million, respectively. The aggregate intrinsic value represents the difference between the Company’s closing stock price as of August 31, 2019 of $272.09 and the exercise price, multiplied by the number of options exercisable as of that date.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 average remaining contractual life of stock options exercisable at August 31, 2019 and 2018 was 5.3 years and 5.6 years, respectively. The total pre-tax intrinsic value of stock options exercised during fiscal 2019, 2018 and 2017 was $73.0 million, $50.1 million and $38.0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Equity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Performance-based equity awards, whether in the form of stock options or restricted stock, require management to make assumptions regarding the likelihood of achieving Company performance targets. The number of performance-based awards that vest will be predicated on the Company achieving performance levels during the measurement period subsequent to the date of grant. Dependent on the financial performance levels attained by FactSet, a percentage of the performance-based awards will vest to the grantees. However, there is no current guarantee that such awards will vest in whole or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June 2017 </w:t>
      </w:r>
      <w:r>
        <w:rPr>
          <w:rFonts w:ascii="Arial" w:cs="Arial" w:eastAsia="Arial" w:hAnsi="Arial"/>
          <w:sz w:val="18"/>
          <w:szCs w:val="18"/>
          <w:i w:val="1"/>
          <w:iCs w:val="1"/>
          <w:color w:val="auto"/>
        </w:rPr>
        <w:t>Performance-based Option Grant Review</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BISAM, FactSet granted 206,417 performance-based stock options in June 2017. These performance-based options were scheduled to vest 40% on the second anniversary date of the grant and 20% on each subsequent anniversary date, if certain BISAM revenue and operating income targets were achieved by March 31, 2019. In the third quarter of fiscal 2019, it was determined that the performance criteria were not achieved by March 31, 2019, and, as such, the options were forfeited, and no stock-based compensation expense was recorded for this performance-based option grant for fiscal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and Stock Unit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Option Plan plans permit the issuance of restricted stock and restricted stock units. Restricted stock awards are subject to continued employment over a specified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Stock Unit Awards Activity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fiscal years 2019, 2018 and 2017, FactSet granted 73,047, 3,497 and 62,400 restricted stock awards to employees of the Company, respectively. These awards have a weighted average grant date fair value of $239.03, $189.28 and $158.26 for fiscal years 2019, 2018 and 2017, respectively.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August 31, 2019, a total of 123,794 shares of restricted stock and restricted stock units were unvested and outstanding, which results in unamortized stock-based compensation of $21.8 million to be recognized as stock-based compensation expense over the remaining vesting period of 3.1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Weighted Average Grant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20" w:type="dxa"/>
            <w:vAlign w:val="bottom"/>
          </w:tcPr>
          <w:p>
            <w:pPr>
              <w:jc w:val="center"/>
              <w:ind w:left="310"/>
              <w:spacing w:after="0"/>
              <w:rPr>
                <w:sz w:val="20"/>
                <w:szCs w:val="20"/>
                <w:color w:val="auto"/>
              </w:rPr>
            </w:pPr>
            <w:r>
              <w:rPr>
                <w:rFonts w:ascii="Arial" w:cs="Arial" w:eastAsia="Arial" w:hAnsi="Arial"/>
                <w:sz w:val="18"/>
                <w:szCs w:val="18"/>
                <w:color w:val="auto"/>
                <w:w w:val="90"/>
              </w:rPr>
              <w:t>Number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Date Fair Value Per</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90"/>
              </w:rPr>
              <w:t>Outstanding</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Award</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2016</w:t>
            </w:r>
          </w:p>
        </w:tc>
        <w:tc>
          <w:tcPr>
            <w:tcW w:w="1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Granted (restricted stock and stock units)</w:t>
            </w:r>
          </w:p>
        </w:tc>
        <w:tc>
          <w:tcPr>
            <w:tcW w:w="1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158.26</w:t>
            </w: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Vested</w:t>
            </w:r>
            <w:r>
              <w:rPr>
                <w:rFonts w:ascii="Arial" w:cs="Arial" w:eastAsia="Arial" w:hAnsi="Arial"/>
                <w:sz w:val="29"/>
                <w:szCs w:val="29"/>
                <w:color w:val="auto"/>
                <w:vertAlign w:val="superscript"/>
              </w:rPr>
              <w:t>(1)</w:t>
            </w:r>
          </w:p>
        </w:tc>
        <w:tc>
          <w:tcPr>
            <w:tcW w:w="14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123.28</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130.32</w:t>
            </w: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1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138.62</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Granted (restricted stock and stock units)</w:t>
            </w:r>
          </w:p>
        </w:tc>
        <w:tc>
          <w:tcPr>
            <w:tcW w:w="14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189.28</w:t>
            </w: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Vested</w:t>
            </w:r>
            <w:r>
              <w:rPr>
                <w:rFonts w:ascii="Arial" w:cs="Arial" w:eastAsia="Arial" w:hAnsi="Arial"/>
                <w:sz w:val="29"/>
                <w:szCs w:val="29"/>
                <w:color w:val="auto"/>
                <w:vertAlign w:val="superscript"/>
              </w:rPr>
              <w:t>(2)</w:t>
            </w:r>
          </w:p>
        </w:tc>
        <w:tc>
          <w:tcPr>
            <w:tcW w:w="14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155.95</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139.34</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Granted (restricted stock and stock units)</w:t>
            </w:r>
          </w:p>
        </w:tc>
        <w:tc>
          <w:tcPr>
            <w:tcW w:w="1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239.03</w:t>
            </w: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Vested</w:t>
            </w:r>
            <w:r>
              <w:rPr>
                <w:rFonts w:ascii="Arial" w:cs="Arial" w:eastAsia="Arial" w:hAnsi="Arial"/>
                <w:sz w:val="29"/>
                <w:szCs w:val="29"/>
                <w:color w:val="auto"/>
                <w:vertAlign w:val="superscript"/>
              </w:rPr>
              <w:t>(3)</w:t>
            </w:r>
          </w:p>
        </w:tc>
        <w:tc>
          <w:tcPr>
            <w:tcW w:w="14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Canceled/forfeited</w:t>
            </w:r>
          </w:p>
        </w:tc>
        <w:tc>
          <w:tcPr>
            <w:tcW w:w="1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181.32</w:t>
            </w: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1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205.47</w:t>
            </w:r>
          </w:p>
        </w:tc>
      </w:tr>
    </w:tbl>
    <w:p>
      <w:pPr>
        <w:spacing w:after="0" w:line="202" w:lineRule="exact"/>
        <w:rPr>
          <w:sz w:val="20"/>
          <w:szCs w:val="20"/>
          <w:color w:val="auto"/>
        </w:rPr>
      </w:pPr>
    </w:p>
    <w:p>
      <w:pPr>
        <w:jc w:val="both"/>
        <w:ind w:left="660" w:hanging="323"/>
        <w:spacing w:after="0" w:line="302" w:lineRule="auto"/>
        <w:tabs>
          <w:tab w:leader="none" w:pos="640" w:val="left"/>
        </w:tabs>
        <w:rPr>
          <w:sz w:val="20"/>
          <w:szCs w:val="20"/>
          <w:color w:val="auto"/>
        </w:rPr>
      </w:pPr>
      <w:r>
        <w:rPr>
          <w:rFonts w:ascii="Arial" w:cs="Arial" w:eastAsia="Arial" w:hAnsi="Arial"/>
          <w:sz w:val="30"/>
          <w:szCs w:val="30"/>
          <w:i w:val="1"/>
          <w:iCs w:val="1"/>
          <w:color w:val="auto"/>
          <w:vertAlign w:val="superscript"/>
        </w:rPr>
        <w:t>(</w:t>
      </w:r>
      <w:r>
        <w:rPr>
          <w:rFonts w:ascii="Arial" w:cs="Arial" w:eastAsia="Arial" w:hAnsi="Arial"/>
          <w:sz w:val="30"/>
          <w:szCs w:val="30"/>
          <w:color w:val="auto"/>
          <w:vertAlign w:val="superscript"/>
        </w:rPr>
        <w:t>1</w:t>
      </w:r>
      <w:r>
        <w:rPr>
          <w:rFonts w:ascii="Arial" w:cs="Arial" w:eastAsia="Arial" w:hAnsi="Arial"/>
          <w:sz w:val="30"/>
          <w:szCs w:val="30"/>
          <w:i w:val="1"/>
          <w:iCs w:val="1"/>
          <w:color w:val="auto"/>
          <w:vertAlign w:val="superscript"/>
        </w:rPr>
        <w:t>)</w:t>
      </w:r>
      <w:r>
        <w:rPr>
          <w:sz w:val="20"/>
          <w:szCs w:val="20"/>
          <w:color w:val="auto"/>
        </w:rPr>
        <w:tab/>
      </w:r>
      <w:r>
        <w:rPr>
          <w:rFonts w:ascii="Arial" w:cs="Arial" w:eastAsia="Arial" w:hAnsi="Arial"/>
          <w:sz w:val="16"/>
          <w:szCs w:val="16"/>
          <w:i w:val="1"/>
          <w:iCs w:val="1"/>
          <w:color w:val="auto"/>
        </w:rPr>
        <w:t xml:space="preserve">The 132,194 restricted stock awards that vested during fiscal </w:t>
      </w:r>
      <w:r>
        <w:rPr>
          <w:rFonts w:ascii="Arial" w:cs="Arial" w:eastAsia="Arial" w:hAnsi="Arial"/>
          <w:sz w:val="16"/>
          <w:szCs w:val="16"/>
          <w:color w:val="auto"/>
        </w:rPr>
        <w:t>2017</w:t>
      </w:r>
      <w:r>
        <w:rPr>
          <w:rFonts w:ascii="Arial" w:cs="Arial" w:eastAsia="Arial" w:hAnsi="Arial"/>
          <w:sz w:val="16"/>
          <w:szCs w:val="16"/>
          <w:i w:val="1"/>
          <w:iCs w:val="1"/>
          <w:color w:val="auto"/>
        </w:rPr>
        <w:t xml:space="preserve"> were comprised of: 73,522 of awards relating to restricted stock granted on </w:t>
      </w:r>
      <w:r>
        <w:rPr>
          <w:rFonts w:ascii="Arial" w:cs="Arial" w:eastAsia="Arial" w:hAnsi="Arial"/>
          <w:sz w:val="16"/>
          <w:szCs w:val="16"/>
          <w:color w:val="auto"/>
        </w:rPr>
        <w:t xml:space="preserve">November 1, 2013, </w:t>
      </w:r>
      <w:r>
        <w:rPr>
          <w:rFonts w:ascii="Arial" w:cs="Arial" w:eastAsia="Arial" w:hAnsi="Arial"/>
          <w:sz w:val="16"/>
          <w:szCs w:val="16"/>
          <w:i w:val="1"/>
          <w:iCs w:val="1"/>
          <w:color w:val="auto"/>
        </w:rPr>
        <w:t>which cliff vested 60% after</w:t>
      </w:r>
      <w:r>
        <w:rPr>
          <w:rFonts w:ascii="Arial" w:cs="Arial" w:eastAsia="Arial" w:hAnsi="Arial"/>
          <w:sz w:val="16"/>
          <w:szCs w:val="16"/>
          <w:color w:val="auto"/>
        </w:rPr>
        <w:t xml:space="preserve"> three </w:t>
      </w:r>
      <w:r>
        <w:rPr>
          <w:rFonts w:ascii="Arial" w:cs="Arial" w:eastAsia="Arial" w:hAnsi="Arial"/>
          <w:sz w:val="16"/>
          <w:szCs w:val="16"/>
          <w:i w:val="1"/>
          <w:iCs w:val="1"/>
          <w:color w:val="auto"/>
        </w:rPr>
        <w:t>years, 17,328 of awards relating to restricted stock granted on</w:t>
      </w:r>
      <w:r>
        <w:rPr>
          <w:rFonts w:ascii="Arial" w:cs="Arial" w:eastAsia="Arial" w:hAnsi="Arial"/>
          <w:sz w:val="16"/>
          <w:szCs w:val="16"/>
          <w:color w:val="auto"/>
        </w:rPr>
        <w:t xml:space="preserve"> October 16, 2015, </w:t>
      </w:r>
      <w:r>
        <w:rPr>
          <w:rFonts w:ascii="Arial" w:cs="Arial" w:eastAsia="Arial" w:hAnsi="Arial"/>
          <w:sz w:val="16"/>
          <w:szCs w:val="16"/>
          <w:i w:val="1"/>
          <w:iCs w:val="1"/>
          <w:color w:val="auto"/>
        </w:rPr>
        <w:t>which vested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 annually upon the anniversary date of the grant and 30,162 of awards relating to restricted stock granted on </w:t>
      </w:r>
      <w:r>
        <w:rPr>
          <w:rFonts w:ascii="Arial" w:cs="Arial" w:eastAsia="Arial" w:hAnsi="Arial"/>
          <w:sz w:val="16"/>
          <w:szCs w:val="16"/>
          <w:color w:val="auto"/>
        </w:rPr>
        <w:t>October 16, 2015,</w:t>
      </w:r>
      <w:r>
        <w:rPr>
          <w:rFonts w:ascii="Arial" w:cs="Arial" w:eastAsia="Arial" w:hAnsi="Arial"/>
          <w:sz w:val="16"/>
          <w:szCs w:val="16"/>
          <w:i w:val="1"/>
          <w:iCs w:val="1"/>
          <w:color w:val="auto"/>
        </w:rPr>
        <w:t xml:space="preserve"> which were modified to accelerate vest 100% in conjunction with employee severance. Additionally, 11,182 awards vested related to other grants.</w:t>
      </w:r>
    </w:p>
    <w:p>
      <w:pPr>
        <w:spacing w:after="0" w:line="154" w:lineRule="exact"/>
        <w:rPr>
          <w:sz w:val="20"/>
          <w:szCs w:val="20"/>
          <w:color w:val="auto"/>
        </w:rPr>
      </w:pPr>
    </w:p>
    <w:p>
      <w:pPr>
        <w:jc w:val="both"/>
        <w:ind w:left="660" w:hanging="323"/>
        <w:spacing w:after="0" w:line="264" w:lineRule="auto"/>
        <w:tabs>
          <w:tab w:leader="none" w:pos="640" w:val="left"/>
        </w:tabs>
        <w:rPr>
          <w:sz w:val="20"/>
          <w:szCs w:val="20"/>
          <w:color w:val="auto"/>
        </w:rPr>
      </w:pPr>
      <w:r>
        <w:rPr>
          <w:rFonts w:ascii="Arial" w:cs="Arial" w:eastAsia="Arial" w:hAnsi="Arial"/>
          <w:sz w:val="30"/>
          <w:szCs w:val="30"/>
          <w:i w:val="1"/>
          <w:iCs w:val="1"/>
          <w:color w:val="auto"/>
          <w:vertAlign w:val="superscript"/>
        </w:rPr>
        <w:t>(</w:t>
      </w:r>
      <w:r>
        <w:rPr>
          <w:rFonts w:ascii="Arial" w:cs="Arial" w:eastAsia="Arial" w:hAnsi="Arial"/>
          <w:sz w:val="30"/>
          <w:szCs w:val="30"/>
          <w:color w:val="auto"/>
          <w:vertAlign w:val="superscript"/>
        </w:rPr>
        <w:t>2</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ab/>
        <w:t xml:space="preserve">The 26,599 restricted stock awards that vested during fiscal </w:t>
      </w:r>
      <w:r>
        <w:rPr>
          <w:rFonts w:ascii="Arial" w:cs="Arial" w:eastAsia="Arial" w:hAnsi="Arial"/>
          <w:sz w:val="18"/>
          <w:szCs w:val="18"/>
          <w:color w:val="auto"/>
        </w:rPr>
        <w:t>2018</w:t>
      </w:r>
      <w:r>
        <w:rPr>
          <w:rFonts w:ascii="Arial" w:cs="Arial" w:eastAsia="Arial" w:hAnsi="Arial"/>
          <w:sz w:val="18"/>
          <w:szCs w:val="18"/>
          <w:i w:val="1"/>
          <w:iCs w:val="1"/>
          <w:color w:val="auto"/>
        </w:rPr>
        <w:t xml:space="preserve"> were comprised of: 9,765 of awards relating to restricted stock granted on </w:t>
      </w:r>
      <w:r>
        <w:rPr>
          <w:rFonts w:ascii="Arial" w:cs="Arial" w:eastAsia="Arial" w:hAnsi="Arial"/>
          <w:sz w:val="18"/>
          <w:szCs w:val="18"/>
          <w:color w:val="auto"/>
        </w:rPr>
        <w:t>October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16, 2015 </w:t>
      </w:r>
      <w:r>
        <w:rPr>
          <w:rFonts w:ascii="Arial" w:cs="Arial" w:eastAsia="Arial" w:hAnsi="Arial"/>
          <w:sz w:val="18"/>
          <w:szCs w:val="18"/>
          <w:i w:val="1"/>
          <w:iCs w:val="1"/>
          <w:color w:val="auto"/>
        </w:rPr>
        <w:t>and 8,600 of awards relating to restricted stock granted on</w:t>
      </w:r>
      <w:r>
        <w:rPr>
          <w:rFonts w:ascii="Arial" w:cs="Arial" w:eastAsia="Arial" w:hAnsi="Arial"/>
          <w:sz w:val="18"/>
          <w:szCs w:val="18"/>
          <w:color w:val="auto"/>
        </w:rPr>
        <w:t xml:space="preserve"> June 30, 2017 </w:t>
      </w:r>
      <w:r>
        <w:rPr>
          <w:rFonts w:ascii="Arial" w:cs="Arial" w:eastAsia="Arial" w:hAnsi="Arial"/>
          <w:sz w:val="18"/>
          <w:szCs w:val="18"/>
          <w:i w:val="1"/>
          <w:iCs w:val="1"/>
          <w:color w:val="auto"/>
        </w:rPr>
        <w:t>which vest at a rate of 20% annually upon the anniversary date</w:t>
      </w:r>
      <w:r>
        <w:rPr>
          <w:rFonts w:ascii="Arial" w:cs="Arial" w:eastAsia="Arial" w:hAnsi="Arial"/>
          <w:sz w:val="18"/>
          <w:szCs w:val="18"/>
          <w:color w:val="auto"/>
        </w:rPr>
        <w:t xml:space="preserve"> </w:t>
      </w:r>
      <w:r>
        <w:rPr>
          <w:rFonts w:ascii="Arial" w:cs="Arial" w:eastAsia="Arial" w:hAnsi="Arial"/>
          <w:sz w:val="18"/>
          <w:szCs w:val="18"/>
          <w:i w:val="1"/>
          <w:iCs w:val="1"/>
          <w:color w:val="auto"/>
        </w:rPr>
        <w:t>of the grant, respectively. Additionally, 8,234 awards vested related to other grants.</w:t>
      </w:r>
    </w:p>
    <w:p>
      <w:pPr>
        <w:spacing w:after="0" w:line="181" w:lineRule="exact"/>
        <w:rPr>
          <w:sz w:val="20"/>
          <w:szCs w:val="20"/>
          <w:color w:val="auto"/>
        </w:rPr>
      </w:pPr>
    </w:p>
    <w:p>
      <w:pPr>
        <w:jc w:val="both"/>
        <w:ind w:left="660" w:hanging="323"/>
        <w:spacing w:after="0" w:line="276" w:lineRule="auto"/>
        <w:tabs>
          <w:tab w:leader="none" w:pos="640" w:val="left"/>
        </w:tabs>
        <w:rPr>
          <w:sz w:val="20"/>
          <w:szCs w:val="20"/>
          <w:color w:val="auto"/>
        </w:rPr>
      </w:pPr>
      <w:r>
        <w:rPr>
          <w:rFonts w:ascii="Arial" w:cs="Arial" w:eastAsia="Arial" w:hAnsi="Arial"/>
          <w:sz w:val="30"/>
          <w:szCs w:val="30"/>
          <w:i w:val="1"/>
          <w:iCs w:val="1"/>
          <w:color w:val="auto"/>
          <w:vertAlign w:val="superscript"/>
        </w:rPr>
        <w:t>(</w:t>
      </w:r>
      <w:r>
        <w:rPr>
          <w:rFonts w:ascii="Arial" w:cs="Arial" w:eastAsia="Arial" w:hAnsi="Arial"/>
          <w:sz w:val="30"/>
          <w:szCs w:val="30"/>
          <w:color w:val="auto"/>
          <w:vertAlign w:val="superscript"/>
        </w:rPr>
        <w:t>3</w:t>
      </w:r>
      <w:r>
        <w:rPr>
          <w:rFonts w:ascii="Arial" w:cs="Arial" w:eastAsia="Arial" w:hAnsi="Arial"/>
          <w:sz w:val="30"/>
          <w:szCs w:val="30"/>
          <w:i w:val="1"/>
          <w:iCs w:val="1"/>
          <w:color w:val="auto"/>
          <w:vertAlign w:val="superscript"/>
        </w:rPr>
        <w:t>)</w:t>
      </w:r>
      <w:r>
        <w:rPr>
          <w:sz w:val="20"/>
          <w:szCs w:val="20"/>
          <w:color w:val="auto"/>
        </w:rPr>
        <w:tab/>
      </w:r>
      <w:r>
        <w:rPr>
          <w:rFonts w:ascii="Arial" w:cs="Arial" w:eastAsia="Arial" w:hAnsi="Arial"/>
          <w:sz w:val="17"/>
          <w:szCs w:val="17"/>
          <w:i w:val="1"/>
          <w:iCs w:val="1"/>
          <w:color w:val="auto"/>
        </w:rPr>
        <w:t xml:space="preserve">The 85,401 restricted stock awards that vested during fiscal </w:t>
      </w:r>
      <w:r>
        <w:rPr>
          <w:rFonts w:ascii="Arial" w:cs="Arial" w:eastAsia="Arial" w:hAnsi="Arial"/>
          <w:sz w:val="17"/>
          <w:szCs w:val="17"/>
          <w:color w:val="auto"/>
        </w:rPr>
        <w:t>2019</w:t>
      </w:r>
      <w:r>
        <w:rPr>
          <w:rFonts w:ascii="Arial" w:cs="Arial" w:eastAsia="Arial" w:hAnsi="Arial"/>
          <w:sz w:val="17"/>
          <w:szCs w:val="17"/>
          <w:i w:val="1"/>
          <w:iCs w:val="1"/>
          <w:color w:val="auto"/>
        </w:rPr>
        <w:t xml:space="preserve"> were comprised of: 42,276 of awards relating to restricted stock granted on </w:t>
      </w:r>
      <w:r>
        <w:rPr>
          <w:rFonts w:ascii="Arial" w:cs="Arial" w:eastAsia="Arial" w:hAnsi="Arial"/>
          <w:sz w:val="17"/>
          <w:szCs w:val="17"/>
          <w:color w:val="auto"/>
        </w:rPr>
        <w:t xml:space="preserve">November 1,2013 </w:t>
      </w:r>
      <w:r>
        <w:rPr>
          <w:rFonts w:ascii="Arial" w:cs="Arial" w:eastAsia="Arial" w:hAnsi="Arial"/>
          <w:sz w:val="17"/>
          <w:szCs w:val="17"/>
          <w:i w:val="1"/>
          <w:iCs w:val="1"/>
          <w:color w:val="auto"/>
        </w:rPr>
        <w:t>and 9,451 of awards relating to restricted stock granted on</w:t>
      </w:r>
      <w:r>
        <w:rPr>
          <w:rFonts w:ascii="Arial" w:cs="Arial" w:eastAsia="Arial" w:hAnsi="Arial"/>
          <w:sz w:val="17"/>
          <w:szCs w:val="17"/>
          <w:color w:val="auto"/>
        </w:rPr>
        <w:t xml:space="preserve"> October 16, 2015, </w:t>
      </w:r>
      <w:r>
        <w:rPr>
          <w:rFonts w:ascii="Arial" w:cs="Arial" w:eastAsia="Arial" w:hAnsi="Arial"/>
          <w:sz w:val="17"/>
          <w:szCs w:val="17"/>
          <w:i w:val="1"/>
          <w:iCs w:val="1"/>
          <w:color w:val="auto"/>
        </w:rPr>
        <w:t>which vest at a rate of 20% annually upon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anniversary date of the grant, respectively, 18,691 of awards relating to restricted stock granted on </w:t>
      </w:r>
      <w:r>
        <w:rPr>
          <w:rFonts w:ascii="Arial" w:cs="Arial" w:eastAsia="Arial" w:hAnsi="Arial"/>
          <w:sz w:val="17"/>
          <w:szCs w:val="17"/>
          <w:color w:val="auto"/>
        </w:rPr>
        <w:t>February 9, 2015,</w:t>
      </w:r>
      <w:r>
        <w:rPr>
          <w:rFonts w:ascii="Arial" w:cs="Arial" w:eastAsia="Arial" w:hAnsi="Arial"/>
          <w:sz w:val="17"/>
          <w:szCs w:val="17"/>
          <w:i w:val="1"/>
          <w:iCs w:val="1"/>
          <w:color w:val="auto"/>
        </w:rPr>
        <w:t xml:space="preserve"> which vest 100% upon the </w:t>
      </w:r>
      <w:r>
        <w:rPr>
          <w:rFonts w:ascii="Arial" w:cs="Arial" w:eastAsia="Arial" w:hAnsi="Arial"/>
          <w:sz w:val="17"/>
          <w:szCs w:val="17"/>
          <w:color w:val="auto"/>
        </w:rPr>
        <w:t>four</w:t>
      </w:r>
      <w:r>
        <w:rPr>
          <w:rFonts w:ascii="Arial" w:cs="Arial" w:eastAsia="Arial" w:hAnsi="Arial"/>
          <w:sz w:val="17"/>
          <w:szCs w:val="17"/>
          <w:i w:val="1"/>
          <w:iCs w:val="1"/>
          <w:color w:val="auto"/>
        </w:rPr>
        <w:t xml:space="preserve"> year anniversary date of the grant, 8,924 of awards relating to restricted stock granted on </w:t>
      </w:r>
      <w:r>
        <w:rPr>
          <w:rFonts w:ascii="Arial" w:cs="Arial" w:eastAsia="Arial" w:hAnsi="Arial"/>
          <w:sz w:val="17"/>
          <w:szCs w:val="17"/>
          <w:color w:val="auto"/>
        </w:rPr>
        <w:t>June 30, 2017,</w:t>
      </w:r>
      <w:r>
        <w:rPr>
          <w:rFonts w:ascii="Arial" w:cs="Arial" w:eastAsia="Arial" w:hAnsi="Arial"/>
          <w:sz w:val="17"/>
          <w:szCs w:val="17"/>
          <w:i w:val="1"/>
          <w:iCs w:val="1"/>
          <w:color w:val="auto"/>
        </w:rPr>
        <w:t xml:space="preserve"> which vest 60% after </w:t>
      </w:r>
      <w:r>
        <w:rPr>
          <w:rFonts w:ascii="Arial" w:cs="Arial" w:eastAsia="Arial" w:hAnsi="Arial"/>
          <w:sz w:val="17"/>
          <w:szCs w:val="17"/>
          <w:color w:val="auto"/>
        </w:rPr>
        <w:t>three</w:t>
      </w:r>
      <w:r>
        <w:rPr>
          <w:rFonts w:ascii="Arial" w:cs="Arial" w:eastAsia="Arial" w:hAnsi="Arial"/>
          <w:sz w:val="17"/>
          <w:szCs w:val="17"/>
          <w:i w:val="1"/>
          <w:iCs w:val="1"/>
          <w:color w:val="auto"/>
        </w:rPr>
        <w:t xml:space="preserve"> years and 40% after </w:t>
      </w:r>
      <w:r>
        <w:rPr>
          <w:rFonts w:ascii="Arial" w:cs="Arial" w:eastAsia="Arial" w:hAnsi="Arial"/>
          <w:sz w:val="17"/>
          <w:szCs w:val="17"/>
          <w:color w:val="auto"/>
        </w:rPr>
        <w:t>five</w:t>
      </w:r>
      <w:r>
        <w:rPr>
          <w:rFonts w:ascii="Arial" w:cs="Arial" w:eastAsia="Arial" w:hAnsi="Arial"/>
          <w:sz w:val="17"/>
          <w:szCs w:val="17"/>
          <w:i w:val="1"/>
          <w:iCs w:val="1"/>
          <w:color w:val="auto"/>
        </w:rPr>
        <w:t xml:space="preserve"> years. Additionally, there were 6,059 awards that vested related to other grants.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6760" w:type="dxa"/>
            <w:vAlign w:val="bottom"/>
            <w:gridSpan w:val="3"/>
          </w:tcPr>
          <w:p>
            <w:pPr>
              <w:spacing w:after="0"/>
              <w:rPr>
                <w:sz w:val="20"/>
                <w:szCs w:val="20"/>
                <w:color w:val="auto"/>
              </w:rPr>
            </w:pPr>
            <w:r>
              <w:rPr>
                <w:rFonts w:ascii="Arial" w:cs="Arial" w:eastAsia="Arial" w:hAnsi="Arial"/>
                <w:sz w:val="18"/>
                <w:szCs w:val="18"/>
                <w:color w:val="auto"/>
              </w:rPr>
              <w:t>Share-based Awards Available for Grant</w:t>
            </w:r>
          </w:p>
        </w:tc>
        <w:tc>
          <w:tcPr>
            <w:tcW w:w="2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gridSpan w:val="3"/>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86"/>
              </w:rPr>
              <w:t>Share-based Awards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92"/>
              </w:rPr>
              <w:t>Available for Grant under</w:t>
            </w: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Share-based Awards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87"/>
              </w:rPr>
              <w:t>the</w:t>
            </w: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Available for Grant under the</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92"/>
              </w:rPr>
              <w:t>Employee Stock Option</w:t>
            </w:r>
          </w:p>
        </w:tc>
        <w:tc>
          <w:tcPr>
            <w:tcW w:w="24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Non-Employee Stock Option</w:t>
            </w:r>
          </w:p>
        </w:tc>
      </w:tr>
      <w:tr>
        <w:trPr>
          <w:trHeight w:val="230"/>
        </w:trPr>
        <w:tc>
          <w:tcPr>
            <w:tcW w:w="67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240" w:type="dxa"/>
            <w:vAlign w:val="bottom"/>
          </w:tcPr>
          <w:p>
            <w:pPr>
              <w:jc w:val="center"/>
              <w:ind w:right="70"/>
              <w:spacing w:after="0"/>
              <w:rPr>
                <w:sz w:val="20"/>
                <w:szCs w:val="20"/>
                <w:color w:val="auto"/>
              </w:rPr>
            </w:pPr>
            <w:r>
              <w:rPr>
                <w:rFonts w:ascii="Arial" w:cs="Arial" w:eastAsia="Arial" w:hAnsi="Arial"/>
                <w:sz w:val="18"/>
                <w:szCs w:val="18"/>
                <w:color w:val="auto"/>
                <w:w w:val="88"/>
              </w:rPr>
              <w:t>Plan</w:t>
            </w: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Plan</w:t>
            </w:r>
          </w:p>
        </w:tc>
      </w:tr>
      <w:tr>
        <w:trPr>
          <w:trHeight w:val="210"/>
        </w:trPr>
        <w:tc>
          <w:tcPr>
            <w:tcW w:w="20" w:type="dxa"/>
            <w:vAlign w:val="bottom"/>
          </w:tcPr>
          <w:p>
            <w:pPr>
              <w:spacing w:after="0"/>
              <w:rPr>
                <w:sz w:val="18"/>
                <w:szCs w:val="18"/>
                <w:color w:val="auto"/>
              </w:rPr>
            </w:pPr>
          </w:p>
        </w:tc>
        <w:tc>
          <w:tcPr>
            <w:tcW w:w="6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August 31, 2016</w:t>
            </w:r>
          </w:p>
        </w:tc>
        <w:tc>
          <w:tcPr>
            <w:tcW w:w="2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1,491</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Granted – non performance-based options</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 – performance-based options</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Granted – non-employee Directors grant</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57"/>
        </w:trPr>
        <w:tc>
          <w:tcPr>
            <w:tcW w:w="20" w:type="dxa"/>
            <w:vAlign w:val="bottom"/>
          </w:tcPr>
          <w:p>
            <w:pPr>
              <w:spacing w:after="0"/>
              <w:rPr>
                <w:sz w:val="22"/>
                <w:szCs w:val="22"/>
                <w:color w:val="auto"/>
              </w:rPr>
            </w:pPr>
          </w:p>
        </w:tc>
        <w:tc>
          <w:tcPr>
            <w:tcW w:w="67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4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566</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897</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Increase in the number of shares available for issuance</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5,750</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 – non performance-based options</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Granted – performance-based options</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 – non-employee Directors grant</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57"/>
        </w:trPr>
        <w:tc>
          <w:tcPr>
            <w:tcW w:w="20" w:type="dxa"/>
            <w:vAlign w:val="bottom"/>
          </w:tcPr>
          <w:p>
            <w:pPr>
              <w:spacing w:after="0"/>
              <w:rPr>
                <w:sz w:val="22"/>
                <w:szCs w:val="22"/>
                <w:color w:val="auto"/>
              </w:rPr>
            </w:pPr>
          </w:p>
        </w:tc>
        <w:tc>
          <w:tcPr>
            <w:tcW w:w="67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Balance at August 31, 2018</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6,298</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 – non performance-based options</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57"/>
        </w:trPr>
        <w:tc>
          <w:tcPr>
            <w:tcW w:w="20" w:type="dxa"/>
            <w:vAlign w:val="bottom"/>
          </w:tcPr>
          <w:p>
            <w:pPr>
              <w:spacing w:after="0"/>
              <w:rPr>
                <w:sz w:val="22"/>
                <w:szCs w:val="22"/>
                <w:color w:val="auto"/>
              </w:rPr>
            </w:pPr>
          </w:p>
        </w:tc>
        <w:tc>
          <w:tcPr>
            <w:tcW w:w="67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Balance at August 31, 2019</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6,067</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418"/>
        </w:trPr>
        <w:tc>
          <w:tcPr>
            <w:tcW w:w="580" w:type="dxa"/>
            <w:vAlign w:val="bottom"/>
            <w:gridSpan w:val="2"/>
          </w:tcPr>
          <w:p>
            <w:pPr>
              <w:jc w:val="right"/>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1</w:t>
            </w:r>
            <w:r>
              <w:rPr>
                <w:rFonts w:ascii="Arial" w:cs="Arial" w:eastAsia="Arial" w:hAnsi="Arial"/>
                <w:sz w:val="15"/>
                <w:szCs w:val="15"/>
                <w:i w:val="1"/>
                <w:iCs w:val="1"/>
                <w:color w:val="auto"/>
              </w:rPr>
              <w:t>)</w:t>
            </w:r>
          </w:p>
        </w:tc>
        <w:tc>
          <w:tcPr>
            <w:tcW w:w="8420" w:type="dxa"/>
            <w:vAlign w:val="bottom"/>
            <w:gridSpan w:val="2"/>
          </w:tcPr>
          <w:p>
            <w:pPr>
              <w:ind w:left="80"/>
              <w:spacing w:after="0"/>
              <w:rPr>
                <w:sz w:val="20"/>
                <w:szCs w:val="20"/>
                <w:color w:val="auto"/>
              </w:rPr>
            </w:pPr>
            <w:r>
              <w:rPr>
                <w:rFonts w:ascii="Arial" w:cs="Arial" w:eastAsia="Arial" w:hAnsi="Arial"/>
                <w:sz w:val="18"/>
                <w:szCs w:val="18"/>
                <w:i w:val="1"/>
                <w:iCs w:val="1"/>
                <w:color w:val="auto"/>
                <w:w w:val="98"/>
              </w:rPr>
              <w:t>Each restricted stock award granted is equivalent to 2.5 shares granted under the Company’s Option Plan.</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580" w:type="dxa"/>
            <w:vAlign w:val="bottom"/>
            <w:gridSpan w:val="2"/>
          </w:tcPr>
          <w:p>
            <w:pPr>
              <w:jc w:val="right"/>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2</w:t>
            </w:r>
            <w:r>
              <w:rPr>
                <w:rFonts w:ascii="Arial" w:cs="Arial" w:eastAsia="Arial" w:hAnsi="Arial"/>
                <w:sz w:val="15"/>
                <w:szCs w:val="15"/>
                <w:i w:val="1"/>
                <w:iCs w:val="1"/>
                <w:color w:val="auto"/>
              </w:rPr>
              <w:t>)</w:t>
            </w:r>
          </w:p>
        </w:tc>
        <w:tc>
          <w:tcPr>
            <w:tcW w:w="10840" w:type="dxa"/>
            <w:vAlign w:val="bottom"/>
            <w:gridSpan w:val="4"/>
          </w:tcPr>
          <w:p>
            <w:pPr>
              <w:ind w:left="80"/>
              <w:spacing w:after="0"/>
              <w:rPr>
                <w:sz w:val="20"/>
                <w:szCs w:val="20"/>
                <w:color w:val="auto"/>
              </w:rPr>
            </w:pPr>
            <w:r>
              <w:rPr>
                <w:rFonts w:ascii="Arial" w:cs="Arial" w:eastAsia="Arial" w:hAnsi="Arial"/>
                <w:sz w:val="18"/>
                <w:szCs w:val="18"/>
                <w:i w:val="1"/>
                <w:iCs w:val="1"/>
                <w:color w:val="auto"/>
                <w:w w:val="93"/>
              </w:rPr>
              <w:t>Under the Company’s Option Plan, for each restricted stock award canceled/forfeited, an equivalent of 2.5 shares is added back to the available</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80" w:type="dxa"/>
            <w:vAlign w:val="bottom"/>
          </w:tcPr>
          <w:p>
            <w:pPr>
              <w:ind w:left="80"/>
              <w:spacing w:after="0"/>
              <w:rPr>
                <w:sz w:val="20"/>
                <w:szCs w:val="20"/>
                <w:color w:val="auto"/>
              </w:rPr>
            </w:pPr>
            <w:r>
              <w:rPr>
                <w:rFonts w:ascii="Arial" w:cs="Arial" w:eastAsia="Arial" w:hAnsi="Arial"/>
                <w:sz w:val="18"/>
                <w:szCs w:val="18"/>
                <w:i w:val="1"/>
                <w:iCs w:val="1"/>
                <w:color w:val="auto"/>
              </w:rPr>
              <w:t>share-based awards balance.</w:t>
            </w:r>
          </w:p>
        </w:tc>
        <w:tc>
          <w:tcPr>
            <w:tcW w:w="2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either the first day or the last day of each three-month offering period. Employee purchases may not exceed 10% of their gross compensation and a $25,000 contribution limit during an offering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employees purchased 48,532 shares at a weighted average price of $205.64 as compared to 64,230 shares at a weighted average price of $160.34 for fiscal 2018. At August 31, 2019, the ESPP had 220,410 shares reserved for future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established its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five-year graduated vesting schedule. All full-time, U.S. employees are eligible for the matching contribution by the Company. The Company contributed $10.9 million, $11.6 million, and $10.1 million in matching contributions to employee 401(k) accounts during fiscal 2019, 2018 and 2017,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16. STOCK-BASED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recognized total stock-based compensation expense of $32.4 million, $31.5 million and $34.2 million in fiscal 2019, 2018 and 2017, respectively. As of August 31, 2019, $80.4 million of total unrecognized compensation expense related to non-vested awards is expected to be recognized over a weighted average period of 3.0 years. There was no stock-based compensation capitalized as of August 31, 2019 and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Option Fair Value Determinations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binomial model is affected by the Company’s stock price, as well as, assumptions regarding several variables, which include, but are not limited to the Company’s expected stock price volatility over the term of the awards, interest rates, option forfeitures and employee stock option exercise behaviors, to determine the grant date stock option award fair value.</w:t>
      </w:r>
    </w:p>
    <w:p>
      <w:pPr>
        <w:spacing w:after="0" w:line="196" w:lineRule="exact"/>
        <w:rPr>
          <w:sz w:val="20"/>
          <w:szCs w:val="20"/>
          <w:color w:val="auto"/>
        </w:rPr>
      </w:pPr>
    </w:p>
    <w:p>
      <w:pPr>
        <w:ind w:left="920" w:hanging="776"/>
        <w:spacing w:after="0" w:line="282" w:lineRule="auto"/>
        <w:rPr>
          <w:sz w:val="20"/>
          <w:szCs w:val="20"/>
          <w:color w:val="auto"/>
        </w:rPr>
      </w:pPr>
      <w:r>
        <w:rPr>
          <w:rFonts w:ascii="Arial" w:cs="Arial" w:eastAsia="Arial" w:hAnsi="Arial"/>
          <w:sz w:val="18"/>
          <w:szCs w:val="18"/>
          <w:b w:val="1"/>
          <w:bCs w:val="1"/>
          <w:color w:val="auto"/>
        </w:rPr>
        <w:t xml:space="preserve">Q1 2019 </w:t>
      </w:r>
      <w:r>
        <w:rPr>
          <w:rFonts w:ascii="Arial" w:cs="Arial" w:eastAsia="Arial" w:hAnsi="Arial"/>
          <w:sz w:val="18"/>
          <w:szCs w:val="18"/>
          <w:color w:val="auto"/>
        </w:rPr>
        <w:t>454,598 non-performance-based employee stock options were granted at a weighted average exercise price of $221.93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$56.77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63" w:name="page64"/>
    <w:bookmarkEnd w:id="63"/>
    <w:p>
      <w:pPr>
        <w:ind w:left="780" w:right="20" w:hanging="776"/>
        <w:spacing w:after="0" w:line="261" w:lineRule="auto"/>
        <w:rPr>
          <w:sz w:val="20"/>
          <w:szCs w:val="20"/>
          <w:color w:val="auto"/>
        </w:rPr>
      </w:pPr>
      <w:r>
        <w:rPr>
          <w:rFonts w:ascii="Arial" w:cs="Arial" w:eastAsia="Arial" w:hAnsi="Arial"/>
          <w:sz w:val="18"/>
          <w:szCs w:val="18"/>
          <w:b w:val="1"/>
          <w:bCs w:val="1"/>
          <w:color w:val="auto"/>
        </w:rPr>
        <w:t xml:space="preserve">Q2 2019 </w:t>
      </w:r>
      <w:r>
        <w:rPr>
          <w:rFonts w:ascii="Arial" w:cs="Arial" w:eastAsia="Arial" w:hAnsi="Arial"/>
          <w:sz w:val="18"/>
          <w:szCs w:val="18"/>
          <w:color w:val="auto"/>
        </w:rPr>
        <w:t>6,115 non-performance-based employee stock options were granted at a weighted average exercise price of $207.84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$53.18 per share.</w:t>
      </w:r>
    </w:p>
    <w:p>
      <w:pPr>
        <w:ind w:left="780" w:hanging="776"/>
        <w:spacing w:after="0" w:line="250" w:lineRule="auto"/>
        <w:rPr>
          <w:sz w:val="20"/>
          <w:szCs w:val="20"/>
          <w:color w:val="auto"/>
        </w:rPr>
      </w:pPr>
      <w:r>
        <w:rPr>
          <w:rFonts w:ascii="Arial" w:cs="Arial" w:eastAsia="Arial" w:hAnsi="Arial"/>
          <w:sz w:val="18"/>
          <w:szCs w:val="18"/>
          <w:b w:val="1"/>
          <w:bCs w:val="1"/>
          <w:color w:val="auto"/>
        </w:rPr>
        <w:t xml:space="preserve">Q3 2019 </w:t>
      </w:r>
      <w:r>
        <w:rPr>
          <w:rFonts w:ascii="Arial" w:cs="Arial" w:eastAsia="Arial" w:hAnsi="Arial"/>
          <w:sz w:val="18"/>
          <w:szCs w:val="18"/>
          <w:color w:val="auto"/>
        </w:rPr>
        <w:t>2,320 non-performance-based employee stock options were granted at a weighted average exercise price of $267.02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$68.33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-273050</wp:posOffset>
            </wp:positionV>
            <wp:extent cx="72466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780" w:right="20" w:hanging="776"/>
        <w:spacing w:after="0" w:line="250" w:lineRule="auto"/>
        <w:rPr>
          <w:sz w:val="20"/>
          <w:szCs w:val="20"/>
          <w:color w:val="auto"/>
        </w:rPr>
      </w:pPr>
      <w:r>
        <w:rPr>
          <w:rFonts w:ascii="Arial" w:cs="Arial" w:eastAsia="Arial" w:hAnsi="Arial"/>
          <w:sz w:val="18"/>
          <w:szCs w:val="18"/>
          <w:b w:val="1"/>
          <w:bCs w:val="1"/>
          <w:color w:val="auto"/>
        </w:rPr>
        <w:t xml:space="preserve">Q4 2019 </w:t>
      </w:r>
      <w:r>
        <w:rPr>
          <w:rFonts w:ascii="Arial" w:cs="Arial" w:eastAsia="Arial" w:hAnsi="Arial"/>
          <w:sz w:val="18"/>
          <w:szCs w:val="18"/>
          <w:color w:val="auto"/>
        </w:rPr>
        <w:t>18,530 non-performance-based employee stock options were granted at a weighted average exercise price of $283.96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$65.60 per share.</w:t>
      </w:r>
    </w:p>
    <w:p>
      <w:pPr>
        <w:spacing w:after="0" w:line="1" w:lineRule="exact"/>
        <w:rPr>
          <w:sz w:val="20"/>
          <w:szCs w:val="20"/>
          <w:color w:val="auto"/>
        </w:rPr>
      </w:pPr>
    </w:p>
    <w:p>
      <w:pPr>
        <w:ind w:left="780" w:hanging="776"/>
        <w:spacing w:after="0" w:line="258" w:lineRule="auto"/>
        <w:rPr>
          <w:sz w:val="20"/>
          <w:szCs w:val="20"/>
          <w:color w:val="auto"/>
        </w:rPr>
      </w:pPr>
      <w:r>
        <w:rPr>
          <w:rFonts w:ascii="Arial" w:cs="Arial" w:eastAsia="Arial" w:hAnsi="Arial"/>
          <w:sz w:val="18"/>
          <w:szCs w:val="18"/>
          <w:b w:val="1"/>
          <w:bCs w:val="1"/>
          <w:color w:val="auto"/>
        </w:rPr>
        <w:t xml:space="preserve">Q1 2018 </w:t>
      </w:r>
      <w:r>
        <w:rPr>
          <w:rFonts w:ascii="Arial" w:cs="Arial" w:eastAsia="Arial" w:hAnsi="Arial"/>
          <w:sz w:val="18"/>
          <w:szCs w:val="18"/>
          <w:color w:val="auto"/>
        </w:rPr>
        <w:t>553,942 non-performance-based employee stock options were granted at a weighted average exercise price of $189.98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$48.27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-281940</wp:posOffset>
            </wp:positionV>
            <wp:extent cx="7246620"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780" w:hanging="776"/>
        <w:spacing w:after="0" w:line="250" w:lineRule="auto"/>
        <w:rPr>
          <w:sz w:val="20"/>
          <w:szCs w:val="20"/>
          <w:color w:val="auto"/>
        </w:rPr>
      </w:pPr>
      <w:r>
        <w:rPr>
          <w:rFonts w:ascii="Arial" w:cs="Arial" w:eastAsia="Arial" w:hAnsi="Arial"/>
          <w:sz w:val="18"/>
          <w:szCs w:val="18"/>
          <w:b w:val="1"/>
          <w:bCs w:val="1"/>
          <w:color w:val="auto"/>
        </w:rPr>
        <w:t xml:space="preserve">Q2 2018 </w:t>
      </w:r>
      <w:r>
        <w:rPr>
          <w:rFonts w:ascii="Arial" w:cs="Arial" w:eastAsia="Arial" w:hAnsi="Arial"/>
          <w:sz w:val="18"/>
          <w:szCs w:val="18"/>
          <w:color w:val="auto"/>
        </w:rPr>
        <w:t>15,363 non-performance-based employee stock options were granted at a weighted average exercise price of $192.11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$48.82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Q3 2018  </w:t>
      </w:r>
      <w:r>
        <w:rPr>
          <w:rFonts w:ascii="Arial" w:cs="Arial" w:eastAsia="Arial" w:hAnsi="Arial"/>
          <w:sz w:val="18"/>
          <w:szCs w:val="18"/>
          <w:color w:val="auto"/>
        </w:rPr>
        <w:t>There were no employee stock options granted during the three months ended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-130810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80" w:right="20" w:hanging="776"/>
        <w:spacing w:after="0" w:line="250" w:lineRule="auto"/>
        <w:rPr>
          <w:sz w:val="20"/>
          <w:szCs w:val="20"/>
          <w:color w:val="auto"/>
        </w:rPr>
      </w:pPr>
      <w:r>
        <w:rPr>
          <w:rFonts w:ascii="Arial" w:cs="Arial" w:eastAsia="Arial" w:hAnsi="Arial"/>
          <w:sz w:val="18"/>
          <w:szCs w:val="18"/>
          <w:b w:val="1"/>
          <w:bCs w:val="1"/>
          <w:color w:val="auto"/>
        </w:rPr>
        <w:t xml:space="preserve">Q4 2018 </w:t>
      </w:r>
      <w:r>
        <w:rPr>
          <w:rFonts w:ascii="Arial" w:cs="Arial" w:eastAsia="Arial" w:hAnsi="Arial"/>
          <w:sz w:val="18"/>
          <w:szCs w:val="18"/>
          <w:color w:val="auto"/>
        </w:rPr>
        <w:t>5,848 non-performance-based employee stock options and 16,512 performance-based employee stock options were both granted at a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exercise price of $200.20 with a weighted average estimated fair value of $50.87 per share.</w:t>
      </w:r>
    </w:p>
    <w:p>
      <w:pPr>
        <w:spacing w:after="0" w:line="1" w:lineRule="exact"/>
        <w:rPr>
          <w:sz w:val="20"/>
          <w:szCs w:val="20"/>
          <w:color w:val="auto"/>
        </w:rPr>
      </w:pPr>
    </w:p>
    <w:p>
      <w:pPr>
        <w:ind w:left="780" w:hanging="776"/>
        <w:spacing w:after="0" w:line="258" w:lineRule="auto"/>
        <w:rPr>
          <w:sz w:val="20"/>
          <w:szCs w:val="20"/>
          <w:color w:val="auto"/>
        </w:rPr>
      </w:pPr>
      <w:r>
        <w:rPr>
          <w:rFonts w:ascii="Arial" w:cs="Arial" w:eastAsia="Arial" w:hAnsi="Arial"/>
          <w:sz w:val="18"/>
          <w:szCs w:val="18"/>
          <w:b w:val="1"/>
          <w:bCs w:val="1"/>
          <w:color w:val="auto"/>
        </w:rPr>
        <w:t xml:space="preserve">Q1 2017 </w:t>
      </w:r>
      <w:r>
        <w:rPr>
          <w:rFonts w:ascii="Arial" w:cs="Arial" w:eastAsia="Arial" w:hAnsi="Arial"/>
          <w:sz w:val="18"/>
          <w:szCs w:val="18"/>
          <w:color w:val="auto"/>
        </w:rPr>
        <w:t>671,263 non performance-based employee stock options and 22,460 performance-based employee stock options were both granted at a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exercise price of $152.51 with a weighted average estimated fair value of $39.60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-281940</wp:posOffset>
            </wp:positionV>
            <wp:extent cx="7246620"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780" w:hanging="776"/>
        <w:spacing w:after="0" w:line="250" w:lineRule="auto"/>
        <w:rPr>
          <w:sz w:val="20"/>
          <w:szCs w:val="20"/>
          <w:color w:val="auto"/>
        </w:rPr>
      </w:pPr>
      <w:r>
        <w:rPr>
          <w:rFonts w:ascii="Arial" w:cs="Arial" w:eastAsia="Arial" w:hAnsi="Arial"/>
          <w:sz w:val="18"/>
          <w:szCs w:val="18"/>
          <w:b w:val="1"/>
          <w:bCs w:val="1"/>
          <w:color w:val="auto"/>
        </w:rPr>
        <w:t xml:space="preserve">Q2 2017 </w:t>
      </w:r>
      <w:r>
        <w:rPr>
          <w:rFonts w:ascii="Arial" w:cs="Arial" w:eastAsia="Arial" w:hAnsi="Arial"/>
          <w:sz w:val="18"/>
          <w:szCs w:val="18"/>
          <w:color w:val="auto"/>
        </w:rPr>
        <w:t>61,744 performance-based employee stock options were granted at a weighted average exercise price of $169.16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$43.81 per share.</w:t>
      </w:r>
    </w:p>
    <w:p>
      <w:pPr>
        <w:spacing w:after="0" w:line="1" w:lineRule="exact"/>
        <w:rPr>
          <w:sz w:val="20"/>
          <w:szCs w:val="20"/>
          <w:color w:val="auto"/>
        </w:rPr>
      </w:pPr>
    </w:p>
    <w:p>
      <w:pPr>
        <w:ind w:left="780" w:hanging="776"/>
        <w:spacing w:after="0" w:line="250" w:lineRule="auto"/>
        <w:rPr>
          <w:sz w:val="20"/>
          <w:szCs w:val="20"/>
          <w:color w:val="auto"/>
        </w:rPr>
      </w:pPr>
      <w:r>
        <w:rPr>
          <w:rFonts w:ascii="Arial" w:cs="Arial" w:eastAsia="Arial" w:hAnsi="Arial"/>
          <w:sz w:val="18"/>
          <w:szCs w:val="18"/>
          <w:b w:val="1"/>
          <w:bCs w:val="1"/>
          <w:color w:val="auto"/>
        </w:rPr>
        <w:t xml:space="preserve">Q3 2017 </w:t>
      </w:r>
      <w:r>
        <w:rPr>
          <w:rFonts w:ascii="Arial" w:cs="Arial" w:eastAsia="Arial" w:hAnsi="Arial"/>
          <w:sz w:val="18"/>
          <w:szCs w:val="18"/>
          <w:color w:val="auto"/>
        </w:rPr>
        <w:t>11,604 non performance-based employee stock options were granted at a weighted average exercise price of $163.05 and a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of $42.23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-273050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780" w:hanging="776"/>
        <w:spacing w:after="0" w:line="261" w:lineRule="auto"/>
        <w:rPr>
          <w:sz w:val="20"/>
          <w:szCs w:val="20"/>
          <w:color w:val="auto"/>
        </w:rPr>
      </w:pPr>
      <w:r>
        <w:rPr>
          <w:rFonts w:ascii="Arial" w:cs="Arial" w:eastAsia="Arial" w:hAnsi="Arial"/>
          <w:sz w:val="18"/>
          <w:szCs w:val="18"/>
          <w:b w:val="1"/>
          <w:bCs w:val="1"/>
          <w:color w:val="auto"/>
        </w:rPr>
        <w:t xml:space="preserve">Q4 2017 </w:t>
      </w:r>
      <w:r>
        <w:rPr>
          <w:rFonts w:ascii="Arial" w:cs="Arial" w:eastAsia="Arial" w:hAnsi="Arial"/>
          <w:sz w:val="18"/>
          <w:szCs w:val="18"/>
          <w:color w:val="auto"/>
        </w:rPr>
        <w:t>29,650 non performance-based employee stock options and 206,417 performance-based employee stock options were granted at a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exercise price of $165.75 and a weighted average estimated fair value of $42.93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80" w:top="121"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during fiscal 2019, 2018 and 2017 was determined using the binomial model with the following weighted average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2019</w:t>
            </w: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2017</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2.09%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life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7.1</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r>
              <w:rPr>
                <w:rFonts w:ascii="Arial" w:cs="Arial" w:eastAsia="Arial" w:hAnsi="Arial"/>
                <w:sz w:val="18"/>
                <w:szCs w:val="18"/>
                <w:color w:val="auto"/>
              </w:rPr>
              <w:t>7.4</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1.18%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$57.12</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$48.39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$40.68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7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$224.35</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$190.42</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$156.77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 Stock Option Fair Value Determinations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August 31, 2019, shares available for future grant under the Director Plan was 263,956. The expiration date of the Director Plan is December 19,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new non-employee Director stock option grants. The Black-Scholes model is affected by the Company’s stock price, as well as, assumptions regarding several variables, which include, but are not limited to, the Company’s expected stock price volatility over the term of the awards, interest rates, option forfeitures and employee stock option exercise behaviors, to determine the grant date stock-based payment award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15, 2019, FactSet granted 20,576 stock options to the Company’s non-employee Directors. These options have a weighted average estimated fair value of $42.77 per share, using the Black-Scholes option-pricing model with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life (years)</w:t>
            </w:r>
          </w:p>
        </w:tc>
        <w:tc>
          <w:tcPr>
            <w:tcW w:w="78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78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453"/>
        </w:trPr>
        <w:tc>
          <w:tcPr>
            <w:tcW w:w="3600" w:type="dxa"/>
            <w:vAlign w:val="bottom"/>
            <w:tcBorders>
              <w:top w:val="single" w:sz="8" w:color="auto"/>
            </w:tcBorders>
          </w:tcPr>
          <w:p>
            <w:pPr>
              <w:spacing w:after="0"/>
              <w:rPr>
                <w:sz w:val="24"/>
                <w:szCs w:val="24"/>
                <w:color w:val="auto"/>
              </w:rPr>
            </w:pPr>
          </w:p>
        </w:tc>
        <w:tc>
          <w:tcPr>
            <w:tcW w:w="7620" w:type="dxa"/>
            <w:vAlign w:val="bottom"/>
            <w:tcBorders>
              <w:top w:val="single" w:sz="8" w:color="auto"/>
            </w:tcBorders>
          </w:tcPr>
          <w:p>
            <w:pPr>
              <w:jc w:val="right"/>
              <w:ind w:right="533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7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Fiscal 2018</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12, 2018, FactSet granted 18,963 stock options to the Company’s non-employee Directors. These options have a weighted average estimated fair value of $38.76 per share, using the Black-Scholes option-pricing model with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40" w:type="dxa"/>
            <w:vAlign w:val="bottom"/>
            <w:shd w:val="clear" w:color="auto" w:fill="000000"/>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life (years)</w:t>
            </w:r>
          </w:p>
        </w:tc>
        <w:tc>
          <w:tcPr>
            <w:tcW w:w="51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0"/>
        </w:trPr>
        <w:tc>
          <w:tcPr>
            <w:tcW w:w="6240" w:type="dxa"/>
            <w:vAlign w:val="bottom"/>
            <w:shd w:val="clear" w:color="auto" w:fill="000000"/>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2017, FactSet granted 23,846 stock options to the Company’s non-employee Directors, including one-time new director grants of 2,104 for both Malcolm Frank and Sheila B. Jordan, who were elected to FactSet’s Board of Directors on December 20, 2016. All the options granted on January 13, 2017, have a weighted average estimated fair value of $35.65 per share, using the Black-Scholes option-pricing model with the following weighted average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5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Fair Value Determinations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The expense associated with restricted stock awards is amortized over the vesting period. During fiscal 2019, there were 73,047 restricted stock awards granted with a weighted average grant date fair value of $239.03 compared to 3,497 restricted stock awards granted with a weighted average grant date fair value of $189.28 in fiscal 2018.</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Q1 2019  </w:t>
      </w:r>
      <w:r>
        <w:rPr>
          <w:rFonts w:ascii="Arial" w:cs="Arial" w:eastAsia="Arial" w:hAnsi="Arial"/>
          <w:sz w:val="18"/>
          <w:szCs w:val="18"/>
          <w:color w:val="auto"/>
        </w:rPr>
        <w:t>41,102 shares of restricted stock were granted at a weighted average estimated fair value of $212.66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Q2 2019  </w:t>
      </w:r>
      <w:r>
        <w:rPr>
          <w:rFonts w:ascii="Arial" w:cs="Arial" w:eastAsia="Arial" w:hAnsi="Arial"/>
          <w:sz w:val="18"/>
          <w:szCs w:val="18"/>
          <w:color w:val="auto"/>
        </w:rPr>
        <w:t>51 shares of restricted stock were granted at a weighted average estimated fair value of $210.67 per share.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Q3 2019  </w:t>
      </w:r>
      <w:r>
        <w:rPr>
          <w:rFonts w:ascii="Arial" w:cs="Arial" w:eastAsia="Arial" w:hAnsi="Arial"/>
          <w:sz w:val="18"/>
          <w:szCs w:val="18"/>
          <w:color w:val="auto"/>
        </w:rPr>
        <w:t>265 shares of restricted stock were granted at a weighted average estimated fair value of $255.95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 xml:space="preserve">Q4 2019  </w:t>
      </w:r>
      <w:r>
        <w:rPr>
          <w:rFonts w:ascii="Arial" w:cs="Arial" w:eastAsia="Arial" w:hAnsi="Arial"/>
          <w:sz w:val="18"/>
          <w:szCs w:val="18"/>
          <w:color w:val="auto"/>
        </w:rPr>
        <w:t>31,629 shares of restricted stock were granted at a weighted average estimated fair value of $273.19 per share.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Q1 2018  </w:t>
      </w:r>
      <w:r>
        <w:rPr>
          <w:rFonts w:ascii="Arial" w:cs="Arial" w:eastAsia="Arial" w:hAnsi="Arial"/>
          <w:sz w:val="18"/>
          <w:szCs w:val="18"/>
          <w:color w:val="auto"/>
        </w:rPr>
        <w:t>961 shares of restricted stock were granted at a weighted average estimated fair value of $182.17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Q2 2018  </w:t>
      </w:r>
      <w:r>
        <w:rPr>
          <w:rFonts w:ascii="Arial" w:cs="Arial" w:eastAsia="Arial" w:hAnsi="Arial"/>
          <w:sz w:val="18"/>
          <w:szCs w:val="18"/>
          <w:color w:val="auto"/>
        </w:rPr>
        <w:t>No restricted stock granted.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Q3 2018  </w:t>
      </w:r>
      <w:r>
        <w:rPr>
          <w:rFonts w:ascii="Arial" w:cs="Arial" w:eastAsia="Arial" w:hAnsi="Arial"/>
          <w:sz w:val="18"/>
          <w:szCs w:val="18"/>
          <w:color w:val="auto"/>
        </w:rPr>
        <w:t>No restricted stock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 xml:space="preserve">Q4 2018  </w:t>
      </w:r>
      <w:r>
        <w:rPr>
          <w:rFonts w:ascii="Arial" w:cs="Arial" w:eastAsia="Arial" w:hAnsi="Arial"/>
          <w:sz w:val="18"/>
          <w:szCs w:val="18"/>
          <w:color w:val="auto"/>
        </w:rPr>
        <w:t>2,536 shares of restricted stock were granted at a weighted average estimated fair value of $191.97 per share.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Q1 2017  </w:t>
      </w:r>
      <w:r>
        <w:rPr>
          <w:rFonts w:ascii="Arial" w:cs="Arial" w:eastAsia="Arial" w:hAnsi="Arial"/>
          <w:sz w:val="18"/>
          <w:szCs w:val="18"/>
          <w:color w:val="auto"/>
        </w:rPr>
        <w:t>5,084 shares of restricted stock were granted at a weighted average estimated fair value of $151.63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Q2 2017  </w:t>
      </w:r>
      <w:r>
        <w:rPr>
          <w:rFonts w:ascii="Arial" w:cs="Arial" w:eastAsia="Arial" w:hAnsi="Arial"/>
          <w:sz w:val="18"/>
          <w:szCs w:val="18"/>
          <w:color w:val="auto"/>
        </w:rPr>
        <w:t>7,843 shares of restricted stock were granted at a weighted average estimated fair value of $161.31 per share.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Q3 2017  </w:t>
      </w:r>
      <w:r>
        <w:rPr>
          <w:rFonts w:ascii="Arial" w:cs="Arial" w:eastAsia="Arial" w:hAnsi="Arial"/>
          <w:sz w:val="18"/>
          <w:szCs w:val="18"/>
          <w:color w:val="auto"/>
        </w:rPr>
        <w:t>No restricted stock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 xml:space="preserve">Q4 2017  </w:t>
      </w:r>
      <w:r>
        <w:rPr>
          <w:rFonts w:ascii="Arial" w:cs="Arial" w:eastAsia="Arial" w:hAnsi="Arial"/>
          <w:sz w:val="18"/>
          <w:szCs w:val="18"/>
          <w:color w:val="auto"/>
        </w:rPr>
        <w:t>49,473 shares of restricted stock were granted at a weighted average estimated fair value of $158.46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Fair Value Determinations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2019, employees purchased 48,532 shares at a weighted average price of $205.64 compared to 64,230 shares at a weighted average price of $160.34 in fiscal 2018 and 75,372 shares at a weighted average price of $136.34 in fiscal 2017. Stock-based compensation expense recorded during fiscal 2019, 2018 and 2017 relating to the employee stock purchase plan was $2.0 million, $1.6 million and $2.1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8"/>
          <w:szCs w:val="18"/>
          <w:color w:val="auto"/>
        </w:rPr>
        <w:t>The Company uses the Black-Scholes model to calculate the estimated fair value for the employee stock purchase plan. The weighted average estimated fair value of employee stock purchase plan grants during fiscal years 2019, 2018 and 2017, was $41.06, $31.83 and $28.16 per share, respectively, with the following weighted average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2018</w:t>
            </w: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2.33%</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Expected life (months)</w:t>
            </w: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10.89%</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1.12%</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 w:type="dxa"/>
            <w:vAlign w:val="bottom"/>
            <w:shd w:val="clear" w:color="auto" w:fill="000000"/>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Accuracy of Fair Value Estimates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several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17.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Years ended August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operations</w:t>
            </w:r>
          </w:p>
        </w:tc>
        <w:tc>
          <w:tcPr>
            <w:tcW w:w="21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288,860</w:t>
            </w:r>
          </w:p>
        </w:tc>
        <w:tc>
          <w:tcPr>
            <w:tcW w:w="5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199,654</w:t>
            </w:r>
          </w:p>
        </w:tc>
        <w:tc>
          <w:tcPr>
            <w:tcW w:w="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218,650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Non-U.S. operations</w:t>
            </w: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Income before income taxes</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421,965</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351,838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55,824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65,778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Non-U.S. operations</w:t>
            </w: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i w:val="1"/>
                <w:iCs w:val="1"/>
                <w:color w:val="auto"/>
              </w:rPr>
              <w:t>Total provision for income taxes</w:t>
            </w:r>
          </w:p>
        </w:tc>
        <w:tc>
          <w:tcPr>
            <w:tcW w:w="2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69,175</w:t>
            </w:r>
          </w:p>
        </w:tc>
        <w:tc>
          <w:tcPr>
            <w:tcW w:w="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84,753</w:t>
            </w:r>
          </w:p>
        </w:tc>
        <w:tc>
          <w:tcPr>
            <w:tcW w:w="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86,053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tcPr>
          <w:p>
            <w:pPr>
              <w:ind w:left="640"/>
              <w:spacing w:after="0"/>
              <w:rPr>
                <w:sz w:val="20"/>
                <w:szCs w:val="20"/>
                <w:color w:val="auto"/>
              </w:rPr>
            </w:pPr>
            <w:r>
              <w:rPr>
                <w:rFonts w:ascii="Arial" w:cs="Arial" w:eastAsia="Arial" w:hAnsi="Arial"/>
                <w:sz w:val="18"/>
                <w:szCs w:val="18"/>
                <w:color w:val="auto"/>
              </w:rPr>
              <w:t>Effective tax rate</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 components of the provision for income taxes consist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Years ended August 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35,688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58,835</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 and local</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Non-U.S.</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17,376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22,669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86,663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1,813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2,079</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 and local</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Non-U.S.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(3,874)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w:t>
            </w:r>
          </w:p>
        </w:tc>
        <w:tc>
          <w:tcPr>
            <w:tcW w:w="5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320"/>
              <w:spacing w:after="0"/>
              <w:rPr>
                <w:sz w:val="20"/>
                <w:szCs w:val="20"/>
                <w:color w:val="auto"/>
              </w:rPr>
            </w:pPr>
            <w:r>
              <w:rPr>
                <w:rFonts w:ascii="Arial" w:cs="Arial" w:eastAsia="Arial" w:hAnsi="Arial"/>
                <w:sz w:val="18"/>
                <w:szCs w:val="18"/>
                <w:i w:val="1"/>
                <w:iCs w:val="1"/>
                <w:color w:val="auto"/>
              </w:rPr>
              <w:t>Total provision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69,175</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84,753</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86,053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statutory federal income tax rate to income before income taxes as a result of the following factors: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00" w:type="dxa"/>
            <w:vAlign w:val="bottom"/>
            <w:gridSpan w:val="5"/>
          </w:tcPr>
          <w:p>
            <w:pPr>
              <w:ind w:left="120"/>
              <w:spacing w:after="0"/>
              <w:rPr>
                <w:sz w:val="20"/>
                <w:szCs w:val="20"/>
                <w:color w:val="auto"/>
              </w:rPr>
            </w:pPr>
            <w:r>
              <w:rPr>
                <w:rFonts w:ascii="Arial" w:cs="Arial" w:eastAsia="Arial" w:hAnsi="Arial"/>
                <w:sz w:val="18"/>
                <w:szCs w:val="18"/>
                <w:color w:val="auto"/>
              </w:rPr>
              <w:t>Years ended August 31,</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(expressed as a percentage of income before income taxes)</w:t>
            </w:r>
          </w:p>
        </w:tc>
        <w:tc>
          <w:tcPr>
            <w:tcW w:w="2700" w:type="dxa"/>
            <w:vAlign w:val="bottom"/>
            <w:gridSpan w:val="2"/>
          </w:tcPr>
          <w:p>
            <w:pPr>
              <w:jc w:val="right"/>
              <w:ind w:right="33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U.S. Federal statutory tax rate</w:t>
            </w:r>
          </w:p>
        </w:tc>
        <w:tc>
          <w:tcPr>
            <w:tcW w:w="2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66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Increase (decrease) in taxes resulting from:</w:t>
            </w: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local taxes, net of U.S. federal income tax benefit</w:t>
            </w:r>
          </w:p>
        </w:tc>
        <w:tc>
          <w:tcPr>
            <w:tcW w:w="29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2"/>
          </w:tcPr>
          <w:p>
            <w:pPr>
              <w:ind w:left="320"/>
              <w:spacing w:after="0"/>
              <w:rPr>
                <w:sz w:val="20"/>
                <w:szCs w:val="20"/>
                <w:color w:val="auto"/>
              </w:rPr>
            </w:pPr>
            <w:r>
              <w:rPr>
                <w:rFonts w:ascii="Arial" w:cs="Arial" w:eastAsia="Arial" w:hAnsi="Arial"/>
                <w:sz w:val="18"/>
                <w:szCs w:val="18"/>
                <w:color w:val="auto"/>
              </w:rPr>
              <w:t>Foreign income at other than U.S. rates</w:t>
            </w:r>
          </w:p>
        </w:tc>
        <w:tc>
          <w:tcPr>
            <w:tcW w:w="2980" w:type="dxa"/>
            <w:vAlign w:val="bottom"/>
            <w:gridSpan w:val="3"/>
          </w:tcPr>
          <w:p>
            <w:pPr>
              <w:jc w:val="right"/>
              <w:ind w:right="13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 xml:space="preserve">(7.0)  </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Foreign derived intangible income deduction</w:t>
            </w:r>
          </w:p>
        </w:tc>
        <w:tc>
          <w:tcPr>
            <w:tcW w:w="29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Arial" w:cs="Arial" w:eastAsia="Arial" w:hAnsi="Arial"/>
                <w:sz w:val="18"/>
                <w:szCs w:val="18"/>
                <w:color w:val="auto"/>
              </w:rPr>
              <w:t>Domestic production activities deduction</w:t>
            </w:r>
          </w:p>
        </w:tc>
        <w:tc>
          <w:tcPr>
            <w:tcW w:w="1480" w:type="dxa"/>
            <w:vAlign w:val="bottom"/>
          </w:tcPr>
          <w:p>
            <w:pPr>
              <w:spacing w:after="0"/>
              <w:rPr>
                <w:sz w:val="18"/>
                <w:szCs w:val="18"/>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benefits from R&amp;D tax credits</w:t>
            </w:r>
          </w:p>
        </w:tc>
        <w:tc>
          <w:tcPr>
            <w:tcW w:w="29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Arial" w:cs="Arial" w:eastAsia="Arial" w:hAnsi="Arial"/>
                <w:sz w:val="18"/>
                <w:szCs w:val="18"/>
                <w:color w:val="auto"/>
              </w:rPr>
              <w:t>Income tax benefits from foreign tax credits</w:t>
            </w:r>
          </w:p>
        </w:tc>
        <w:tc>
          <w:tcPr>
            <w:tcW w:w="1480" w:type="dxa"/>
            <w:vAlign w:val="bottom"/>
          </w:tcPr>
          <w:p>
            <w:pPr>
              <w:spacing w:after="0"/>
              <w:rPr>
                <w:sz w:val="18"/>
                <w:szCs w:val="18"/>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Share-based payments</w:t>
            </w:r>
            <w:r>
              <w:rPr>
                <w:rFonts w:ascii="Arial" w:cs="Arial" w:eastAsia="Arial" w:hAnsi="Arial"/>
                <w:sz w:val="29"/>
                <w:szCs w:val="29"/>
                <w:color w:val="auto"/>
                <w:vertAlign w:val="superscript"/>
              </w:rPr>
              <w:t>(1)</w:t>
            </w:r>
          </w:p>
        </w:tc>
        <w:tc>
          <w:tcPr>
            <w:tcW w:w="29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2"/>
          </w:tcPr>
          <w:p>
            <w:pPr>
              <w:ind w:left="320"/>
              <w:spacing w:after="0"/>
              <w:rPr>
                <w:sz w:val="20"/>
                <w:szCs w:val="20"/>
                <w:color w:val="auto"/>
              </w:rPr>
            </w:pPr>
            <w:r>
              <w:rPr>
                <w:rFonts w:ascii="Arial" w:cs="Arial" w:eastAsia="Arial" w:hAnsi="Arial"/>
                <w:sz w:val="18"/>
                <w:szCs w:val="18"/>
                <w:color w:val="auto"/>
              </w:rPr>
              <w:t>One-time transition tax from TCJA</w:t>
            </w:r>
          </w:p>
        </w:tc>
        <w:tc>
          <w:tcPr>
            <w:tcW w:w="2980" w:type="dxa"/>
            <w:vAlign w:val="bottom"/>
            <w:gridSpan w:val="3"/>
          </w:tcPr>
          <w:p>
            <w:pPr>
              <w:jc w:val="right"/>
              <w:ind w:right="13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2"/>
          </w:tcPr>
          <w:p>
            <w:pPr>
              <w:ind w:left="480"/>
              <w:spacing w:after="0"/>
              <w:rPr>
                <w:sz w:val="20"/>
                <w:szCs w:val="20"/>
                <w:color w:val="auto"/>
              </w:rPr>
            </w:pPr>
            <w:r>
              <w:rPr>
                <w:rFonts w:ascii="Arial" w:cs="Arial" w:eastAsia="Arial" w:hAnsi="Arial"/>
                <w:sz w:val="18"/>
                <w:szCs w:val="18"/>
                <w:i w:val="1"/>
                <w:iCs w:val="1"/>
                <w:color w:val="auto"/>
              </w:rPr>
              <w:t>Effective tax rate</w:t>
            </w:r>
          </w:p>
        </w:tc>
        <w:tc>
          <w:tcPr>
            <w:tcW w:w="1480" w:type="dxa"/>
            <w:vAlign w:val="bottom"/>
          </w:tcPr>
          <w:p>
            <w:pPr>
              <w:spacing w:after="0"/>
              <w:rPr>
                <w:sz w:val="19"/>
                <w:szCs w:val="19"/>
                <w:color w:val="auto"/>
              </w:rPr>
            </w:pP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16.4%</w:t>
            </w:r>
          </w:p>
        </w:tc>
        <w:tc>
          <w:tcPr>
            <w:tcW w:w="1660" w:type="dxa"/>
            <w:vAlign w:val="bottom"/>
            <w:gridSpan w:val="3"/>
          </w:tcPr>
          <w:p>
            <w:pPr>
              <w:jc w:val="right"/>
              <w:ind w:right="205"/>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04"/>
        </w:trPr>
        <w:tc>
          <w:tcPr>
            <w:tcW w:w="580" w:type="dxa"/>
            <w:vAlign w:val="bottom"/>
            <w:gridSpan w:val="2"/>
          </w:tcPr>
          <w:p>
            <w:pPr>
              <w:ind w:left="3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1</w:t>
            </w:r>
            <w:r>
              <w:rPr>
                <w:rFonts w:ascii="Arial" w:cs="Arial" w:eastAsia="Arial" w:hAnsi="Arial"/>
                <w:sz w:val="15"/>
                <w:szCs w:val="15"/>
                <w:i w:val="1"/>
                <w:iCs w:val="1"/>
                <w:color w:val="auto"/>
              </w:rPr>
              <w:t>)</w:t>
            </w: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w w:val="92"/>
              </w:rPr>
              <w:t xml:space="preserve">During the </w:t>
            </w:r>
            <w:r>
              <w:rPr>
                <w:rFonts w:ascii="Arial" w:cs="Arial" w:eastAsia="Arial" w:hAnsi="Arial"/>
                <w:sz w:val="18"/>
                <w:szCs w:val="18"/>
                <w:color w:val="auto"/>
                <w:w w:val="92"/>
              </w:rPr>
              <w:t>first</w:t>
            </w:r>
            <w:r>
              <w:rPr>
                <w:rFonts w:ascii="Arial" w:cs="Arial" w:eastAsia="Arial" w:hAnsi="Arial"/>
                <w:sz w:val="18"/>
                <w:szCs w:val="18"/>
                <w:i w:val="1"/>
                <w:iCs w:val="1"/>
                <w:color w:val="auto"/>
                <w:w w:val="92"/>
              </w:rPr>
              <w:t xml:space="preserve"> quarter of fiscal </w:t>
            </w:r>
            <w:r>
              <w:rPr>
                <w:rFonts w:ascii="Arial" w:cs="Arial" w:eastAsia="Arial" w:hAnsi="Arial"/>
                <w:sz w:val="18"/>
                <w:szCs w:val="18"/>
                <w:color w:val="auto"/>
                <w:w w:val="92"/>
              </w:rPr>
              <w:t>2018,</w:t>
            </w:r>
            <w:r>
              <w:rPr>
                <w:rFonts w:ascii="Arial" w:cs="Arial" w:eastAsia="Arial" w:hAnsi="Arial"/>
                <w:sz w:val="18"/>
                <w:szCs w:val="18"/>
                <w:i w:val="1"/>
                <w:iCs w:val="1"/>
                <w:color w:val="auto"/>
                <w:w w:val="92"/>
              </w:rPr>
              <w:t xml:space="preserve"> FactSet adopted an accounting standard that requires all excess tax benefits or deficiencies related to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w w:val="90"/>
              </w:rPr>
              <w:t>based payments to be reported within the consolidated statement of income that were previously reported within equity. The adoption of this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gridSpan w:val="8"/>
          </w:tcPr>
          <w:p>
            <w:pPr>
              <w:ind w:left="80"/>
              <w:spacing w:after="0"/>
              <w:rPr>
                <w:sz w:val="20"/>
                <w:szCs w:val="20"/>
                <w:color w:val="auto"/>
              </w:rPr>
            </w:pPr>
            <w:r>
              <w:rPr>
                <w:rFonts w:ascii="Arial" w:cs="Arial" w:eastAsia="Arial" w:hAnsi="Arial"/>
                <w:sz w:val="18"/>
                <w:szCs w:val="18"/>
                <w:i w:val="1"/>
                <w:iCs w:val="1"/>
                <w:color w:val="auto"/>
                <w:w w:val="97"/>
              </w:rPr>
              <w:t xml:space="preserve">resulted in the recognition of $9.5 million of excess tax benefits to FactSet’s provision for income taxes during fiscal </w:t>
            </w:r>
            <w:r>
              <w:rPr>
                <w:rFonts w:ascii="Arial" w:cs="Arial" w:eastAsia="Arial" w:hAnsi="Arial"/>
                <w:sz w:val="18"/>
                <w:szCs w:val="18"/>
                <w:color w:val="auto"/>
                <w:w w:val="97"/>
              </w:rPr>
              <w:t>2018.</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ind w:left="3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2</w:t>
            </w:r>
            <w:r>
              <w:rPr>
                <w:rFonts w:ascii="Arial" w:cs="Arial" w:eastAsia="Arial" w:hAnsi="Arial"/>
                <w:sz w:val="15"/>
                <w:szCs w:val="15"/>
                <w:i w:val="1"/>
                <w:iCs w:val="1"/>
                <w:color w:val="auto"/>
              </w:rPr>
              <w:t>)</w:t>
            </w:r>
          </w:p>
        </w:tc>
        <w:tc>
          <w:tcPr>
            <w:tcW w:w="9540" w:type="dxa"/>
            <w:vAlign w:val="bottom"/>
            <w:gridSpan w:val="8"/>
          </w:tcPr>
          <w:p>
            <w:pPr>
              <w:ind w:left="80"/>
              <w:spacing w:after="0"/>
              <w:rPr>
                <w:sz w:val="20"/>
                <w:szCs w:val="20"/>
                <w:color w:val="auto"/>
              </w:rPr>
            </w:pPr>
            <w:r>
              <w:rPr>
                <w:rFonts w:ascii="Arial" w:cs="Arial" w:eastAsia="Arial" w:hAnsi="Arial"/>
                <w:sz w:val="18"/>
                <w:szCs w:val="18"/>
                <w:i w:val="1"/>
                <w:iCs w:val="1"/>
                <w:color w:val="auto"/>
                <w:w w:val="91"/>
              </w:rPr>
              <w:t xml:space="preserve">The enactment of the TCJA resulted in a </w:t>
            </w:r>
            <w:r>
              <w:rPr>
                <w:rFonts w:ascii="Arial" w:cs="Arial" w:eastAsia="Arial" w:hAnsi="Arial"/>
                <w:sz w:val="18"/>
                <w:szCs w:val="18"/>
                <w:color w:val="auto"/>
                <w:w w:val="91"/>
              </w:rPr>
              <w:t>one</w:t>
            </w:r>
            <w:r>
              <w:rPr>
                <w:rFonts w:ascii="Arial" w:cs="Arial" w:eastAsia="Arial" w:hAnsi="Arial"/>
                <w:sz w:val="18"/>
                <w:szCs w:val="18"/>
                <w:i w:val="1"/>
                <w:iCs w:val="1"/>
                <w:color w:val="auto"/>
                <w:w w:val="91"/>
              </w:rPr>
              <w:t xml:space="preserve">-time transition tax expense of $23.2 million during the </w:t>
            </w:r>
            <w:r>
              <w:rPr>
                <w:rFonts w:ascii="Arial" w:cs="Arial" w:eastAsia="Arial" w:hAnsi="Arial"/>
                <w:sz w:val="18"/>
                <w:szCs w:val="18"/>
                <w:color w:val="auto"/>
                <w:w w:val="91"/>
              </w:rPr>
              <w:t>second</w:t>
            </w:r>
            <w:r>
              <w:rPr>
                <w:rFonts w:ascii="Arial" w:cs="Arial" w:eastAsia="Arial" w:hAnsi="Arial"/>
                <w:sz w:val="18"/>
                <w:szCs w:val="18"/>
                <w:i w:val="1"/>
                <w:iCs w:val="1"/>
                <w:color w:val="auto"/>
                <w:w w:val="91"/>
              </w:rPr>
              <w:t xml:space="preserve"> quarter of fiscal </w:t>
            </w:r>
            <w:r>
              <w:rPr>
                <w:rFonts w:ascii="Arial" w:cs="Arial" w:eastAsia="Arial" w:hAnsi="Arial"/>
                <w:sz w:val="18"/>
                <w:szCs w:val="18"/>
                <w:color w:val="auto"/>
                <w:w w:val="91"/>
              </w:rPr>
              <w:t>2018.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0" w:type="dxa"/>
            <w:vAlign w:val="bottom"/>
            <w:gridSpan w:val="2"/>
          </w:tcPr>
          <w:p>
            <w:pPr>
              <w:ind w:left="3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3</w:t>
            </w:r>
            <w:r>
              <w:rPr>
                <w:rFonts w:ascii="Arial" w:cs="Arial" w:eastAsia="Arial" w:hAnsi="Arial"/>
                <w:sz w:val="15"/>
                <w:szCs w:val="15"/>
                <w:i w:val="1"/>
                <w:iCs w:val="1"/>
                <w:color w:val="auto"/>
              </w:rPr>
              <w:t>)</w:t>
            </w: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w w:val="92"/>
              </w:rPr>
              <w:t xml:space="preserve">Includes a 200 basis point benefit as a result of FactSet’s global realignment. Effective </w:t>
            </w:r>
            <w:r>
              <w:rPr>
                <w:rFonts w:ascii="Arial" w:cs="Arial" w:eastAsia="Arial" w:hAnsi="Arial"/>
                <w:sz w:val="18"/>
                <w:szCs w:val="18"/>
                <w:color w:val="auto"/>
                <w:w w:val="92"/>
              </w:rPr>
              <w:t>September 1, 2016,</w:t>
            </w:r>
            <w:r>
              <w:rPr>
                <w:rFonts w:ascii="Arial" w:cs="Arial" w:eastAsia="Arial" w:hAnsi="Arial"/>
                <w:sz w:val="18"/>
                <w:szCs w:val="18"/>
                <w:i w:val="1"/>
                <w:iCs w:val="1"/>
                <w:color w:val="auto"/>
                <w:w w:val="92"/>
              </w:rPr>
              <w:t xml:space="preserve"> FactSet realigned certain aspects of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w w:val="90"/>
              </w:rPr>
              <w:t>global operations from FactSet Research Systems Inc., its U.S. parent company, to FactSet UK Limited, a U.K. operating company, to better 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w w:val="96"/>
              </w:rPr>
              <w:t>the Company to serve its growing client base outside the U.S. This realignment allows the Company to further implement strategic corporate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40" w:type="dxa"/>
            <w:vAlign w:val="bottom"/>
            <w:gridSpan w:val="10"/>
          </w:tcPr>
          <w:p>
            <w:pPr>
              <w:ind w:left="80"/>
              <w:spacing w:after="0"/>
              <w:rPr>
                <w:sz w:val="20"/>
                <w:szCs w:val="20"/>
                <w:color w:val="auto"/>
              </w:rPr>
            </w:pPr>
            <w:r>
              <w:rPr>
                <w:rFonts w:ascii="Arial" w:cs="Arial" w:eastAsia="Arial" w:hAnsi="Arial"/>
                <w:sz w:val="18"/>
                <w:szCs w:val="18"/>
                <w:i w:val="1"/>
                <w:iCs w:val="1"/>
                <w:color w:val="auto"/>
              </w:rPr>
              <w:t>objectives and helps achieve operational and financial efficiencies, while complementing FactSet’s increasing global growth and reach.</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88</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The fiscal 2019 provision for income taxes was $69.2 million, a decrease of 18.4% from the same period a year ago. The decrease was primarily attributable to the enactment of the TCJA. The TCJA imposed a one-time transition tax expense, which resulted in a $23.2 million impact to the income tax provision for fiscal 2018, without a comparable impact in fiscal 2019. This transition tax impact was revised during fiscal 2019, resulting in a net benefit of $3.4 million upon finalizing the accounting for the tax effects of the TCJA. The TCJA also lowered the statutory U.S corporate income tax rate from 35% to 21%, effective January 1, 2018, which was fully applicable for fiscal 2019 compared to the lower tax rate being phased in for the prior year comparable period. The reduction in the U.S. corporate income tax rate required a remeasurement of FactSet's net U.S. deferred tax position, which resulted in a non-recurring tax charge of $2.2 million during fiscal 2018. The decrease in the income tax provision was partially offset by a $3.3 million income tax expense from finalizing prior years’ tax returns and other discrete items for fiscal 2019.</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changes in taxation of undistributed foreign earnings under the TCJA, FactSet will continue to analyze foreign subsidiary earnings, as well as global working capital requirements, and may repatriate earnings when the amounts are remitted substantially free of additional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that recorded within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At August 31,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Receivable reserve</w:t>
            </w:r>
          </w:p>
        </w:tc>
        <w:tc>
          <w:tcPr>
            <w:tcW w:w="19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(27,116)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(24,059)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tcPr>
          <w:p>
            <w:pPr>
              <w:ind w:left="800"/>
              <w:spacing w:after="0"/>
              <w:rPr>
                <w:sz w:val="20"/>
                <w:szCs w:val="20"/>
                <w:color w:val="auto"/>
              </w:rPr>
            </w:pPr>
            <w:r>
              <w:rPr>
                <w:rFonts w:ascii="Arial" w:cs="Arial" w:eastAsia="Arial" w:hAnsi="Arial"/>
                <w:sz w:val="18"/>
                <w:szCs w:val="18"/>
                <w:i w:val="1"/>
                <w:iCs w:val="1"/>
                <w:color w:val="auto"/>
              </w:rPr>
              <w:t>Total deferred tax assets</w:t>
            </w:r>
          </w:p>
        </w:tc>
        <w:tc>
          <w:tcPr>
            <w:tcW w:w="14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7,571</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r>
      <w:tr>
        <w:trPr>
          <w:trHeight w:val="418"/>
        </w:trPr>
        <w:tc>
          <w:tcPr>
            <w:tcW w:w="8660" w:type="dxa"/>
            <w:vAlign w:val="bottom"/>
            <w:gridSpan w:val="4"/>
          </w:tcPr>
          <w:p>
            <w:pPr>
              <w:spacing w:after="0"/>
              <w:rPr>
                <w:sz w:val="20"/>
                <w:szCs w:val="20"/>
                <w:color w:val="auto"/>
              </w:rPr>
            </w:pPr>
            <w:r>
              <w:rPr>
                <w:rFonts w:ascii="Arial" w:cs="Arial" w:eastAsia="Arial" w:hAnsi="Arial"/>
                <w:sz w:val="18"/>
                <w:szCs w:val="18"/>
                <w:color w:val="auto"/>
                <w:w w:val="91"/>
              </w:rPr>
              <w:t>The significant components of deferred tax liabilities recorded within the Consolidated Balance Sheets were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At August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19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(1,067)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800"/>
              <w:spacing w:after="0"/>
              <w:rPr>
                <w:sz w:val="20"/>
                <w:szCs w:val="20"/>
                <w:color w:val="auto"/>
              </w:rPr>
            </w:pPr>
            <w:r>
              <w:rPr>
                <w:rFonts w:ascii="Arial" w:cs="Arial" w:eastAsia="Arial" w:hAnsi="Arial"/>
                <w:sz w:val="18"/>
                <w:szCs w:val="18"/>
                <w:i w:val="1"/>
                <w:iCs w:val="1"/>
                <w:color w:val="auto"/>
              </w:rPr>
              <w:t>Total deferred tax liabilities</w:t>
            </w: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Positions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Applicable accounting guidance prescribes a comprehensive model for the financial statement recognition, measurement, classification and disclosure of uncertain tax positions that a company has taken or expects to take on a tax return. FactSet recognizes the financial effect of an income tax position only if it is more likely than not (greater than 50%) that the tax position will be sustained based on its technical merits of the tax position. Otherwise, no benefit or expense can be recognized in the consolidated financial statements. The tax benefits recognized are measured based on the largest benefit that has a greater than 50% likelihood of being realized upon effective settlement with a taxing authority. Additionally, FactSet accrues interest on all tax exposures for which reserves have been established consistent with jurisdictional tax laws.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of liabilities related to unrecognized tax benefits, including associated interest and penalties, requires significant estimates. There can be no assurance that the Company will accurately predict the audit outcomes, however, FactSet has no reason to believe that such audits will result in the payment of additional taxes and/or penalties that would have a material adverse effect on the Company’s results of operations or financial position, beyond current estimates. For this reason and due to ongoing audits by multiple tax authorities, FactSet will regularly engage in discussions and negotiations with tax authorities regarding tax matters in various jurisdictions. The Company adjusts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The Company does not currently anticipate that the total amounts of unrecognized tax benefits will significantly change within the next 12 months.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FactSet classifies the liability for unrecognized tax benefits as Taxes Payable (non-current) and to the extent that the Company anticipates payment of cash within one year, the benefit will be classified as Taxes Payable (current). Additionally, the Company accrues interest on all tax exposures for which reserves have been established consistent with jurisdictional tax laws. This interest is classified as income tax expense in the financial statements. As of August 31, 2019, FactSet had gross unrecognized tax benefits totaling $10.9 million, including $1.1 million of accrued interest, recorded as Taxes Payable (non-current) within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2016</w:t>
            </w:r>
          </w:p>
        </w:tc>
        <w:tc>
          <w:tcPr>
            <w:tcW w:w="31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Statute of limitations lapse</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2017</w:t>
            </w:r>
          </w:p>
        </w:tc>
        <w:tc>
          <w:tcPr>
            <w:tcW w:w="3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Statute of limitations lapse</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Reductions from settlements with Taxing Authorities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Unrecognized income tax benefits at August 31, 2018</w:t>
            </w:r>
          </w:p>
        </w:tc>
        <w:tc>
          <w:tcPr>
            <w:tcW w:w="3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Statute of limitations lapse</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Reductions from settlements with Taxing Authorities</w:t>
            </w:r>
          </w:p>
        </w:tc>
        <w:tc>
          <w:tcPr>
            <w:tcW w:w="26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2019</w:t>
            </w:r>
          </w:p>
        </w:tc>
        <w:tc>
          <w:tcPr>
            <w:tcW w:w="3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the Company’s tax filings are subject to audit by federal, state and foreign tax authorities. At August 31, 2019, the Company remained subject to examination in the following major tax jurisdictions for the tax years as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7760" w:type="dxa"/>
            <w:vAlign w:val="bottom"/>
            <w:gridSpan w:val="3"/>
          </w:tcPr>
          <w:p>
            <w:pPr>
              <w:jc w:val="center"/>
              <w:ind w:left="4810"/>
              <w:spacing w:after="0"/>
              <w:rPr>
                <w:sz w:val="20"/>
                <w:szCs w:val="20"/>
                <w:color w:val="auto"/>
              </w:rPr>
            </w:pPr>
            <w:r>
              <w:rPr>
                <w:rFonts w:ascii="Arial" w:cs="Arial" w:eastAsia="Arial" w:hAnsi="Arial"/>
                <w:sz w:val="18"/>
                <w:szCs w:val="18"/>
                <w:color w:val="auto"/>
                <w:w w:val="86"/>
              </w:rPr>
              <w:t>Open Tax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Federal</w:t>
            </w:r>
          </w:p>
        </w:tc>
        <w:tc>
          <w:tcPr>
            <w:tcW w:w="6000" w:type="dxa"/>
            <w:vAlign w:val="bottom"/>
          </w:tcPr>
          <w:p>
            <w:pPr>
              <w:jc w:val="right"/>
              <w:spacing w:after="0"/>
              <w:rPr>
                <w:sz w:val="20"/>
                <w:szCs w:val="20"/>
                <w:color w:val="auto"/>
              </w:rPr>
            </w:pPr>
            <w:r>
              <w:rPr>
                <w:rFonts w:ascii="Arial" w:cs="Arial" w:eastAsia="Arial" w:hAnsi="Arial"/>
                <w:sz w:val="18"/>
                <w:szCs w:val="18"/>
                <w:color w:val="auto"/>
              </w:rPr>
              <w:t>2016</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 (various)</w:t>
            </w:r>
          </w:p>
        </w:tc>
        <w:tc>
          <w:tcPr>
            <w:tcW w:w="6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1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United Kingdom</w:t>
            </w:r>
          </w:p>
        </w:tc>
        <w:tc>
          <w:tcPr>
            <w:tcW w:w="6000" w:type="dxa"/>
            <w:vAlign w:val="bottom"/>
          </w:tcPr>
          <w:p>
            <w:pPr>
              <w:jc w:val="right"/>
              <w:spacing w:after="0"/>
              <w:rPr>
                <w:sz w:val="20"/>
                <w:szCs w:val="20"/>
                <w:color w:val="auto"/>
              </w:rPr>
            </w:pPr>
            <w:r>
              <w:rPr>
                <w:rFonts w:ascii="Arial" w:cs="Arial" w:eastAsia="Arial" w:hAnsi="Arial"/>
                <w:sz w:val="18"/>
                <w:szCs w:val="18"/>
                <w:color w:val="auto"/>
              </w:rPr>
              <w:t>2017</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6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1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Germany</w:t>
            </w:r>
          </w:p>
        </w:tc>
        <w:tc>
          <w:tcPr>
            <w:tcW w:w="6000" w:type="dxa"/>
            <w:vAlign w:val="bottom"/>
          </w:tcPr>
          <w:p>
            <w:pPr>
              <w:jc w:val="right"/>
              <w:spacing w:after="0"/>
              <w:rPr>
                <w:sz w:val="20"/>
                <w:szCs w:val="20"/>
                <w:color w:val="auto"/>
              </w:rPr>
            </w:pPr>
            <w:r>
              <w:rPr>
                <w:rFonts w:ascii="Arial" w:cs="Arial" w:eastAsia="Arial" w:hAnsi="Arial"/>
                <w:sz w:val="18"/>
                <w:szCs w:val="18"/>
                <w:color w:val="auto"/>
              </w:rPr>
              <w:t>2016</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00" w:type="dxa"/>
            <w:vAlign w:val="bottom"/>
          </w:tcPr>
          <w:p>
            <w:pPr>
              <w:jc w:val="right"/>
              <w:ind w:right="377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4"/>
          </w:tcPr>
          <w:p>
            <w:pPr>
              <w:spacing w:after="0"/>
              <w:rPr>
                <w:sz w:val="20"/>
                <w:szCs w:val="20"/>
                <w:color w:val="auto"/>
              </w:rPr>
            </w:pPr>
            <w:r>
              <w:rPr>
                <w:rFonts w:ascii="Arial" w:cs="Arial" w:eastAsia="Arial" w:hAnsi="Arial"/>
                <w:sz w:val="18"/>
                <w:szCs w:val="18"/>
                <w:color w:val="auto"/>
              </w:rPr>
              <w:t>18. DEBT</w:t>
            </w: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40" w:type="dxa"/>
            <w:vAlign w:val="bottom"/>
            <w:gridSpan w:val="4"/>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At August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4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(maturity date of March 29, 2024)</w:t>
            </w: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575,000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77"/>
        </w:trPr>
        <w:tc>
          <w:tcPr>
            <w:tcW w:w="400" w:type="dxa"/>
            <w:vAlign w:val="bottom"/>
            <w:gridSpan w:val="2"/>
          </w:tcPr>
          <w:p>
            <w:pPr>
              <w:spacing w:after="0"/>
              <w:rPr>
                <w:sz w:val="20"/>
                <w:szCs w:val="20"/>
                <w:color w:val="auto"/>
              </w:rPr>
            </w:pPr>
            <w:r>
              <w:rPr>
                <w:rFonts w:ascii="Arial" w:cs="Arial" w:eastAsia="Arial" w:hAnsi="Arial"/>
                <w:sz w:val="18"/>
                <w:szCs w:val="18"/>
                <w:color w:val="auto"/>
                <w:w w:val="94"/>
              </w:rPr>
              <w:t>2019</w:t>
            </w:r>
          </w:p>
        </w:tc>
        <w:tc>
          <w:tcPr>
            <w:tcW w:w="6040" w:type="dxa"/>
            <w:vAlign w:val="bottom"/>
            <w:gridSpan w:val="2"/>
          </w:tcPr>
          <w:p>
            <w:pPr>
              <w:ind w:left="20"/>
              <w:spacing w:after="0"/>
              <w:rPr>
                <w:sz w:val="20"/>
                <w:szCs w:val="20"/>
                <w:color w:val="auto"/>
              </w:rPr>
            </w:pPr>
            <w:r>
              <w:rPr>
                <w:rFonts w:ascii="Arial" w:cs="Arial" w:eastAsia="Arial" w:hAnsi="Arial"/>
                <w:sz w:val="18"/>
                <w:szCs w:val="18"/>
                <w:i w:val="1"/>
                <w:iCs w:val="1"/>
                <w:color w:val="auto"/>
              </w:rPr>
              <w:t>Credit Agreement</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August 31, 2019. The principal balance is payable in full on the maturity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our long-term debt was $575.0 million as of August 31, 2019, which the Company believe approximates carrying amount as the terms and interest rates approximate market rates given its floating interest rate basis. Borrowings under the loan bear interest on the outstanding principal amount at a rate equal to the daily LIBOR rate plus a spread using a debt leverage pricing grid, currently at 0.875%. During fiscal years 2019, 2018 and 2017, FactSet recorded interest expense of $19.8 million, $15.9 million and $8.4 million, respectively, on its outstanding debt amounts. The weighted average interest rate on amounts outstanding under our credit facilities was 3.35% and 2.69% as of August 31, 2019 and 2018, respectively. Interest on the loan outstanding is payable quarterly, in arrears, and on the maturity date.</w:t>
      </w:r>
    </w:p>
    <w:p>
      <w:pPr>
        <w:sectPr>
          <w:pgSz w:w="11900" w:h="16838" w:orient="portrait"/>
          <w:cols w:equalWidth="0" w:num="1">
            <w:col w:w="11420"/>
          </w:cols>
          <w:pgMar w:left="240" w:top="584" w:right="239" w:bottom="149"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August 31,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borrowings from the 2019 Credit Agreement were used to retire all outstanding debt under the previous 2017 Credit Agreement between FactSet, as the borrower, and PNC as the lender on March 29, 2019. The total principal amount of the debt outstanding at the time of retirement was $575.0 million and there were no prepayment penalties.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2017 </w:t>
      </w:r>
      <w:r>
        <w:rPr>
          <w:rFonts w:ascii="Arial" w:cs="Arial" w:eastAsia="Arial" w:hAnsi="Arial"/>
          <w:sz w:val="18"/>
          <w:szCs w:val="18"/>
          <w:i w:val="1"/>
          <w:iCs w:val="1"/>
          <w:u w:val="single" w:color="auto"/>
          <w:color w:val="auto"/>
        </w:rPr>
        <w:t>Credit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provided for a $575.0 million revolving credit facility (the "2017 Revolving Credit Facility"). FactSet could have requested borrowings under the 2017 Revolving Credit Facility until its maturity or retirement date. The 2017 Credit Agreement also allowed FactSet, subject to certain requirements, to arrange for additional borrowings with PNC for an aggregate amount of up to $225.0 million, provided that any such request for additional borrowings was in a minimum amount of $25.0 million. Borrowings under the loan were subject to interest on the outstanding principal amount at a rate equal to the daily LIBOR rate plus 1.00%. Interest on the loan outstanding was payable quarterly in arrears and on the maturity date. The principal balance was also payable in full on the maturity date. There were no prepayment penalties when the Company elected to prepay the outstanding loan amounts on March 29,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19.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(i.e., when the goods or services are received).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Lease Commitments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Including new lease agreements executed during fiscal 2019, the Company's worldwide leased office space increased to approximately 1,860,000 square feet of office space under various non-cancelable operating leases which expire on various dates through 2035. Total minimum rental payments associated with the leases are recorded as occupancy expense (a component of Selling, General &amp; Administrative, "SG&amp;A" expense) on a straight-line basis over the periods of the respective non-cancelable lease terms. Future minimum commitments for the Company's operating leases in place as of August 31, 2019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4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Years ended August 31,</w:t>
            </w:r>
          </w:p>
        </w:tc>
        <w:tc>
          <w:tcPr>
            <w:tcW w:w="5860" w:type="dxa"/>
            <w:vAlign w:val="bottom"/>
            <w:gridSpan w:val="3"/>
          </w:tcPr>
          <w:p>
            <w:pPr>
              <w:ind w:left="3820"/>
              <w:spacing w:after="0"/>
              <w:rPr>
                <w:sz w:val="20"/>
                <w:szCs w:val="20"/>
                <w:color w:val="auto"/>
              </w:rPr>
            </w:pPr>
            <w:r>
              <w:rPr>
                <w:rFonts w:ascii="Arial" w:cs="Arial" w:eastAsia="Arial" w:hAnsi="Arial"/>
                <w:sz w:val="18"/>
                <w:szCs w:val="18"/>
                <w:color w:val="auto"/>
                <w:w w:val="95"/>
              </w:rPr>
              <w:t>Minimum Lease Payments</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540" w:type="dxa"/>
            <w:vAlign w:val="bottom"/>
            <w:tcBorders>
              <w:top w:val="single" w:sz="8" w:color="auto"/>
            </w:tcBorders>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2021</w:t>
            </w:r>
          </w:p>
        </w:tc>
        <w:tc>
          <w:tcPr>
            <w:tcW w:w="45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40,051</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36,011</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33,890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33,072</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215,523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40" w:type="dxa"/>
            <w:vAlign w:val="bottom"/>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399,961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2019, 2018 and 2017, rent expense (including operating costs) for all operating leases amounted to $56.7 million, $54.6 million and $48.4 million, respectively. At August 31, 2019 and 2018, deferred rent reported within the Consolidated Balance Sheets totaled $42.6 million and $39.4 million, of which $39.1 million and $33.6 million, respectively, was reported as a non-current liability within the line item Deferred Rent and Other Non-Current Liabilities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$2.8 million of standby letters of credit have been issued during the ordinary course of business in connection with the Company’s current leased office space as of August 31, 2019. These standby letters of credit contain covenants that, among other things, require FactSet to maintain minimum levels of consolidated net worth and certain leverage and fixed charge ratios. As of August 31, 2019 and 2018, FactSet was in compliance with all covenants contained in the standby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 with Suppliers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2019 and 2018, the Company had total purchase commitments with suppliers of $83.3 million and $79.0 million, respectively. There were no material changes in the Company’s purchase commitments with suppliers during fiscal 2019.</w:t>
      </w:r>
    </w:p>
    <w:p>
      <w:pPr>
        <w:sectPr>
          <w:pgSz w:w="11900" w:h="16838" w:orient="portrait"/>
          <w:cols w:equalWidth="0" w:num="1">
            <w:col w:w="11420"/>
          </w:cols>
          <w:pgMar w:left="240" w:top="125" w:right="239" w:bottom="946"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946" w:gutter="0" w:footer="0" w:header="0"/>
          <w:type w:val="continuous"/>
        </w:sectPr>
      </w:pPr>
    </w:p>
    <w:bookmarkStart w:id="71" w:name="page72"/>
    <w:bookmarkEnd w:id="71"/>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Uncertain income tax positions are accounted for in accordance with applicable accounting guidance, refer to Note 17 Income Taxes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accrues non 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August 31, 2019,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 Matters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2019, FactSet received a Notice of Intent to Assess (the “Notice”) additional sales taxes, interest and underpayment penalties from the Commonwealth of Massachusetts Department of Revenue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uncertainty surrounding the assessment process, the Company is unable to reasonably estimate the ultimate outcome of this matter and, as such, has not recorded a liability as of August 31, 2019. While FactSet believes that it will ultimately prevail if the Company is presented with a formal assessment; if FactSet does not prevail, the amount could have a material impact on the Company’s consolidated financial position, cash flows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120" w:firstLine="8"/>
        <w:spacing w:after="0" w:line="498"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AND CONCENTRATIONS OF CREDIT RISK Financial Risk Management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conducts business outside the U.S. in several currencies including the Euro, Indian Rupee, Philippine Peso, British Pound Sterling, and Japanese Yen. The financial statements of these foreign subsidiaries are translated into U.S. dollars using period-end rates of exchange for assets and liabilities and average rates for the period for revenues and expenses. To manage the exposures related to the effects of foreign exchange rate fluctuations, the Company utilizes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FactSet does not believe there is significant risk of loss in the event of non-performance by the counterparties associated with these instruments because these transactions are executed with a major financial institution. Further, the Company’s policy is to deal with counterparties having a minimum investment grade or better credit rating. Credit risk is managed through the continuous monitoring of exposures to such counterparties. FactSet’s primary objective in holding derivatives is to reduce the volatility of earnings associated with changes in foreign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market value of FactSet’s cash and cash equivalents and investments at August 31, 2019 was $385.6 million. The Company’s cash and cash equivalents consist of demand deposits and money market funds with original maturities of three months or less and are reported at fair value. The Company’s investments consist of both mutual funds and certificates of deposit as both are part of the Company’s investment strategy. These mutual funds and certificates of deposit are included as Investments (short term) on the Company’s Consolidated Balance Sheets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the Company’s cash and cash equivalents and investments will continue to be immaterially affected by fluctuations in interest rates. Preservation of principal is the primary goal of FactSet’s cash and cash</w:t>
      </w:r>
    </w:p>
    <w:p>
      <w:pPr>
        <w:sectPr>
          <w:pgSz w:w="11900" w:h="16905" w:orient="portrait"/>
          <w:cols w:equalWidth="0" w:num="1">
            <w:col w:w="11420"/>
          </w:cols>
          <w:pgMar w:left="240" w:top="584" w:right="239" w:bottom="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18"/>
          <w:szCs w:val="18"/>
          <w:color w:val="auto"/>
        </w:rPr>
        <w:t>equivalents and investment policy. Pursuant to the FactSet's established investment guidelines, the Company tries to achieve high levels of credit quality, liquidity and diversification. The Company's investment guidelines do not permit FactSet to invest in puts, calls, strips, short sales, straddles, options, commodities, precious metals, futures or investments on margin. As the Company has a restrictive investment policy, its financial exposure to fluctuations in interest rates is expected to remain low. The Company does not believe that the value or liquidity of its cash and cash equivalents and investments have been significantly impacted by current market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August 31, 2019, the fair value of FactSet’s long-term debt was $575.0 million, which approximated its carrying amount. The application of a floating interest rate equal to the daily LIBOR rate plus a spread using a debt leverage pricing grid, approximates the current market rate for similar transactions. It is anticipated that the fair market value of FactSet’s debt will continue to be immaterially affected by fluctuations in interest rates and the Company does not believe that the value of its debt has been significantly impacted by current market events. The debt bears interest on the outstanding principal amount at a rate equal to the daily LIBOR rate plus a spread using a debt leverage pricing grid currently at 0.875%. During fiscal 2019 and fiscal 2018, the Company recorded interest expense of $19.8 million and $15.9 million, respectively, on its outstanding debt amounts. Assuming all terms of the Company’s outstanding long-term debt remained the same, a hypothetical 25 basis point change (up or down) in the one-month LIBOR rate would result in a $1.4 million change in its annual interest expense.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market events have not required the Company to modify materially or change its financial risk management strategies with respect to its exposures to foreign currency exchange risk and interest rate risk.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unsecured and are derived from revenue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 in any fiscal year presented. At August 31, 2019, the Company’s largest individual client accounted for approximately 3% of total annual subscriptions, and subscriptions from the ten largest clients did not surpass 15% of total annual subscriptions, consistent with August 31, 2018. As of August 31, 2019 and 2018, the receivable reserve was $10.5 million and $3.5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use of derivative instruments, FactSet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Other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costs during fiscal 2019, except for one vendor, which is a supplier of risk models and portfolio optimizer data to FactSet and represented 11% of FactSet’s data costs in fiscal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21. UNAUDITED QUARTERLY FINANCIAL DATA</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presents selected unaudited financial information for each of the quarterly periods in the years ended August 31, 2019 and 2018. The results for any quarter are not necessarily indicative of future quarterly results and, accordingly, period-to-period comparisons should not be relied upon as an indication of future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color w:val="auto"/>
                <w:w w:val="97"/>
              </w:rPr>
              <w:t>First</w:t>
            </w:r>
          </w:p>
        </w:tc>
        <w:tc>
          <w:tcPr>
            <w:tcW w:w="30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Second</w:t>
            </w:r>
          </w:p>
        </w:tc>
        <w:tc>
          <w:tcPr>
            <w:tcW w:w="30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7"/>
              </w:rPr>
              <w:t>Third</w:t>
            </w: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Fourth</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Fiscal 2019 (in thousands, except per share data)</w:t>
            </w:r>
          </w:p>
        </w:tc>
        <w:tc>
          <w:tcPr>
            <w:tcW w:w="146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Quarter</w:t>
            </w:r>
          </w:p>
        </w:tc>
        <w:tc>
          <w:tcPr>
            <w:tcW w:w="30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Quarter</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351,640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354,895</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364,533</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services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166,776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165,108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163,832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167,730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84,325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81,099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83,461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84,985</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100,539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108,688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117,240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111,568</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84,296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84,702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92,265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91,527</w:t>
            </w:r>
          </w:p>
        </w:tc>
      </w:tr>
      <w:tr>
        <w:trPr>
          <w:trHeight w:val="257"/>
        </w:trPr>
        <w:tc>
          <w:tcPr>
            <w:tcW w:w="20" w:type="dxa"/>
            <w:vAlign w:val="bottom"/>
          </w:tcPr>
          <w:p>
            <w:pPr>
              <w:spacing w:after="0"/>
              <w:rPr>
                <w:sz w:val="22"/>
                <w:szCs w:val="22"/>
                <w:color w:val="auto"/>
              </w:rPr>
            </w:pPr>
          </w:p>
        </w:tc>
        <w:tc>
          <w:tcPr>
            <w:tcW w:w="4780" w:type="dxa"/>
            <w:vAlign w:val="bottom"/>
          </w:tcPr>
          <w:p>
            <w:pPr>
              <w:spacing w:after="0" w:line="256" w:lineRule="exact"/>
              <w:rPr>
                <w:sz w:val="20"/>
                <w:szCs w:val="20"/>
                <w:color w:val="auto"/>
              </w:rPr>
            </w:pPr>
            <w:r>
              <w:rPr>
                <w:rFonts w:ascii="Arial" w:cs="Arial" w:eastAsia="Arial" w:hAnsi="Arial"/>
                <w:sz w:val="18"/>
                <w:szCs w:val="18"/>
                <w:color w:val="auto"/>
              </w:rPr>
              <w:t>Diluted EPS</w:t>
            </w:r>
            <w:r>
              <w:rPr>
                <w:rFonts w:ascii="Arial" w:cs="Arial" w:eastAsia="Arial" w:hAnsi="Arial"/>
                <w:sz w:val="29"/>
                <w:szCs w:val="29"/>
                <w:color w:val="auto"/>
                <w:vertAlign w:val="superscript"/>
              </w:rPr>
              <w:t>(1)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38,809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38,993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39,056</w:t>
            </w:r>
          </w:p>
        </w:tc>
      </w:tr>
      <w:tr>
        <w:trPr>
          <w:trHeight w:val="41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color w:val="auto"/>
                <w:w w:val="97"/>
              </w:rPr>
              <w:t>First</w:t>
            </w:r>
          </w:p>
        </w:tc>
        <w:tc>
          <w:tcPr>
            <w:tcW w:w="30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Second</w:t>
            </w:r>
          </w:p>
        </w:tc>
        <w:tc>
          <w:tcPr>
            <w:tcW w:w="30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7"/>
              </w:rPr>
              <w:t>Third</w:t>
            </w:r>
          </w:p>
        </w:tc>
        <w:tc>
          <w:tcPr>
            <w:tcW w:w="30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Fourth</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Fiscal 2018 (in thousands, except per share data)</w:t>
            </w:r>
          </w:p>
        </w:tc>
        <w:tc>
          <w:tcPr>
            <w:tcW w:w="146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Quarter</w:t>
            </w:r>
          </w:p>
        </w:tc>
        <w:tc>
          <w:tcPr>
            <w:tcW w:w="30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Quarter</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329,141</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335,231</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339,911</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services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161,524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163,232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165,073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169,467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76,514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81,573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89,098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95,485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93,265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88,356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70,379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68,823</w:t>
            </w:r>
          </w:p>
        </w:tc>
      </w:tr>
      <w:tr>
        <w:trPr>
          <w:trHeight w:val="257"/>
        </w:trPr>
        <w:tc>
          <w:tcPr>
            <w:tcW w:w="20" w:type="dxa"/>
            <w:vAlign w:val="bottom"/>
          </w:tcPr>
          <w:p>
            <w:pPr>
              <w:spacing w:after="0"/>
              <w:rPr>
                <w:sz w:val="22"/>
                <w:szCs w:val="22"/>
                <w:color w:val="auto"/>
              </w:rPr>
            </w:pPr>
          </w:p>
        </w:tc>
        <w:tc>
          <w:tcPr>
            <w:tcW w:w="4780" w:type="dxa"/>
            <w:vAlign w:val="bottom"/>
          </w:tcPr>
          <w:p>
            <w:pPr>
              <w:spacing w:after="0" w:line="256" w:lineRule="exact"/>
              <w:rPr>
                <w:sz w:val="20"/>
                <w:szCs w:val="20"/>
                <w:color w:val="auto"/>
              </w:rPr>
            </w:pPr>
            <w:r>
              <w:rPr>
                <w:rFonts w:ascii="Arial" w:cs="Arial" w:eastAsia="Arial" w:hAnsi="Arial"/>
                <w:sz w:val="18"/>
                <w:szCs w:val="18"/>
                <w:color w:val="auto"/>
              </w:rPr>
              <w:t>Diluted EPS</w:t>
            </w:r>
            <w:r>
              <w:rPr>
                <w:rFonts w:ascii="Arial" w:cs="Arial" w:eastAsia="Arial" w:hAnsi="Arial"/>
                <w:sz w:val="29"/>
                <w:szCs w:val="29"/>
                <w:color w:val="auto"/>
                <w:vertAlign w:val="superscript"/>
              </w:rPr>
              <w:t>(1)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39,680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39,846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38,879</w:t>
            </w:r>
          </w:p>
        </w:tc>
      </w:tr>
    </w:tbl>
    <w:p>
      <w:pPr>
        <w:spacing w:after="0" w:line="202" w:lineRule="exact"/>
        <w:rPr>
          <w:sz w:val="20"/>
          <w:szCs w:val="20"/>
          <w:color w:val="auto"/>
        </w:rPr>
      </w:pPr>
    </w:p>
    <w:p>
      <w:pPr>
        <w:ind w:left="660" w:right="620" w:hanging="328"/>
        <w:spacing w:after="0" w:line="194" w:lineRule="auto"/>
        <w:tabs>
          <w:tab w:leader="none" w:pos="66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i w:val="1"/>
          <w:iCs w:val="1"/>
          <w:color w:val="auto"/>
        </w:rPr>
        <w:t xml:space="preserve">Diluted earnings per common share is calculated independently for each of the periods presented. Accordingly, the sum of the quarterly EPS amounts </w:t>
      </w:r>
      <w:r>
        <w:rPr>
          <w:rFonts w:ascii="Arial" w:cs="Arial" w:eastAsia="Arial" w:hAnsi="Arial"/>
          <w:sz w:val="18"/>
          <w:szCs w:val="18"/>
          <w:color w:val="auto"/>
        </w:rPr>
        <w:t>may not</w:t>
      </w:r>
      <w:r>
        <w:rPr>
          <w:rFonts w:ascii="Arial" w:cs="Arial" w:eastAsia="Arial" w:hAnsi="Arial"/>
          <w:sz w:val="18"/>
          <w:szCs w:val="18"/>
          <w:i w:val="1"/>
          <w:iCs w:val="1"/>
          <w:color w:val="auto"/>
        </w:rPr>
        <w:t xml:space="preserve"> equal the total for the fiscal year.</w:t>
      </w:r>
    </w:p>
    <w:p>
      <w:pPr>
        <w:sectPr>
          <w:pgSz w:w="11900" w:h="16838" w:orient="portrait"/>
          <w:cols w:equalWidth="0" w:num="1">
            <w:col w:w="11420"/>
          </w:cols>
          <w:pgMar w:left="240" w:top="580" w:right="239" w:bottom="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the principal executive officer and principal financial officer, we have evaluated the effectiveness of our disclosure controls and procedures pursuant to Rules 13a-15(e) and 15d-15(e) under the Securities Exchange Act of 1934, as of the end of the annual period covered by this report. Based on that evaluation, the principal executive officer and principal financial officer have concluded that our disclosure controls and procedures as defined in Rules 13a-15(e) and 15d-15(e) under the Securities Exchange Act of 1934, as amended, (the “Exchange Act”) are effective to ensure that information required to be disclosed by us in reports that it files or submits under the Exchange Act is recorded, processed, summarized and reported within the time periods specified in Securities and Exchange Commission rules and forms and is accumulated and communicated to our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fourth quarter of fiscal 2019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Report on Internal Control over Financial Reporting under Item 8 of this Report on Form 10-K, which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See Report of Independent Registered Public Accounting Firm under Item 8 of this Report on Form 10-K, which is incorporated herein by reference.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relating to our directors and nominees, relating to compliance with Section 16(a) of the Securities Act of 1934, and relating to our Audit Committee is included under the captions “Corporate Governance” and “Section 16(a) Beneficial Ownership Reporting Compliance” in the definitive Proxy Statement dated October 30, 2019, and all such information is incorporated herein by reference.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G(3) of Form 10-K, the information required by this item relating to our executive officers is included under the caption “Executive Officers of the Registrant” in Part I of this Report on Form 10-K.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 Code of Business Conduct and Ethics that applies to all employees, including the Company’s principal executive officer, principal financial officer and principal accounting officer, all other officers and the Company’s directors. A copy of this code is available on the Company’s website at https://investor.factset.com on the Leadership and Corporate Governance page. The Company intends to satisfy any disclosure requirement under Item 5.05 of Form 8-K regarding an amendment to, or waiver from, a provision of this code of ethics by posting such information on our website at the address and general location specified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Corporate Governance Guidelines and the charters of the committees of our Board of Directors, including the Audit Committee, Compensation and Talent Committee and Nominating and Corporate Governance Committee are also available on our website at https://investor.factset.com on the Leadership and Corporate Governance page. The guidelines, charters and code of ethics are also available in print free of charge to any stockholder who submits a written request to our Investor Relations department at our corporate headquarters at 601 Merritt 7, Norwalk, CT 06851 prior to January 1, 2020 and 45 Glover Avenue Norwalk, CT 06850.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by this item relating to compensation is included under the captions “Executive Compensation,” “Compensation Discussion and Analysis,” “Compensation and Talent Committee Report,” “Director Compensation Program,” including “Equity Compensation,” and “Director Compensation Table” of the definitive Proxy Statement dated October 30, 2019, and all such information is incorporated herein by reference.</w:t>
      </w:r>
    </w:p>
    <w:p>
      <w:pPr>
        <w:sectPr>
          <w:pgSz w:w="11900" w:h="16838" w:orient="portrait"/>
          <w:cols w:equalWidth="0" w:num="1">
            <w:col w:w="11420"/>
          </w:cols>
          <w:pgMar w:left="240" w:top="125" w:right="239" w:bottom="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relating to security ownership of certain beneficial owners and management is included under the caption “Security Ownership of Certain Beneficial Owners and Management”, in the definitive Proxy Statement dated October 30, 2019, and such information is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as of August 31, 2019, the number of outstanding equity awards granted to employees and non-employee directors, as well as the number of equity awards remaining available for future issuance, under FactSet’s equity compensation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Number of</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securities remaining</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 for future</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to be issued 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issuances under</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equity</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of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(b)</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options and</w:t>
            </w:r>
          </w:p>
        </w:tc>
        <w:tc>
          <w:tcPr>
            <w:tcW w:w="120" w:type="dxa"/>
            <w:vAlign w:val="bottom"/>
          </w:tcPr>
          <w:p>
            <w:pPr>
              <w:spacing w:after="0"/>
              <w:rPr>
                <w:sz w:val="18"/>
                <w:szCs w:val="18"/>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Weighted-average</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restricted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exercise price of</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securities reflected</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category</w:t>
            </w:r>
          </w:p>
        </w:tc>
        <w:tc>
          <w:tcPr>
            <w:tcW w:w="18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1"/>
              </w:rPr>
              <w:t>vesting</w:t>
            </w: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outstanding options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in column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gridSpan w:val="2"/>
            <w:shd w:val="clear" w:color="auto" w:fill="CCEEFF"/>
          </w:tcPr>
          <w:p>
            <w:pPr>
              <w:jc w:val="right"/>
              <w:ind w:right="140"/>
              <w:spacing w:after="0" w:line="251" w:lineRule="exact"/>
              <w:rPr>
                <w:sz w:val="20"/>
                <w:szCs w:val="20"/>
                <w:color w:val="auto"/>
              </w:rPr>
            </w:pPr>
            <w:r>
              <w:rPr>
                <w:rFonts w:ascii="Arial" w:cs="Arial" w:eastAsia="Arial" w:hAnsi="Arial"/>
                <w:sz w:val="18"/>
                <w:szCs w:val="18"/>
                <w:color w:val="auto"/>
              </w:rPr>
              <w:t xml:space="preserve">2,648 </w:t>
            </w:r>
            <w:r>
              <w:rPr>
                <w:rFonts w:ascii="Arial" w:cs="Arial" w:eastAsia="Arial" w:hAnsi="Arial"/>
                <w:sz w:val="29"/>
                <w:szCs w:val="29"/>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line="251" w:lineRule="exact"/>
              <w:rPr>
                <w:sz w:val="20"/>
                <w:szCs w:val="20"/>
                <w:color w:val="auto"/>
              </w:rPr>
            </w:pPr>
            <w:r>
              <w:rPr>
                <w:rFonts w:ascii="Arial" w:cs="Arial" w:eastAsia="Arial" w:hAnsi="Arial"/>
                <w:sz w:val="18"/>
                <w:szCs w:val="18"/>
                <w:color w:val="auto"/>
              </w:rPr>
              <w:t xml:space="preserve">168.50 </w:t>
            </w:r>
            <w:r>
              <w:rPr>
                <w:rFonts w:ascii="Arial" w:cs="Arial" w:eastAsia="Arial" w:hAnsi="Arial"/>
                <w:sz w:val="29"/>
                <w:szCs w:val="29"/>
                <w:color w:val="auto"/>
                <w:vertAlign w:val="superscript"/>
              </w:rPr>
              <w:t>(2)</w:t>
            </w:r>
          </w:p>
        </w:tc>
        <w:tc>
          <w:tcPr>
            <w:tcW w:w="1720" w:type="dxa"/>
            <w:vAlign w:val="bottom"/>
            <w:gridSpan w:val="2"/>
            <w:shd w:val="clear" w:color="auto" w:fill="CCEEFF"/>
          </w:tcPr>
          <w:p>
            <w:pPr>
              <w:jc w:val="right"/>
              <w:ind w:right="60"/>
              <w:spacing w:after="0" w:line="251" w:lineRule="exact"/>
              <w:rPr>
                <w:sz w:val="20"/>
                <w:szCs w:val="20"/>
                <w:color w:val="auto"/>
              </w:rPr>
            </w:pPr>
            <w:r>
              <w:rPr>
                <w:rFonts w:ascii="Arial" w:cs="Arial" w:eastAsia="Arial" w:hAnsi="Arial"/>
                <w:sz w:val="18"/>
                <w:szCs w:val="18"/>
                <w:color w:val="auto"/>
              </w:rPr>
              <w:t xml:space="preserve">6,551 </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ind w:right="140"/>
              <w:spacing w:after="0" w:line="250" w:lineRule="exact"/>
              <w:rPr>
                <w:sz w:val="20"/>
                <w:szCs w:val="20"/>
                <w:color w:val="auto"/>
              </w:rPr>
            </w:pPr>
            <w:r>
              <w:rPr>
                <w:rFonts w:ascii="Arial" w:cs="Arial" w:eastAsia="Arial" w:hAnsi="Arial"/>
                <w:sz w:val="17"/>
                <w:szCs w:val="17"/>
                <w:color w:val="auto"/>
              </w:rPr>
              <w:t xml:space="preserve">2,648 </w:t>
            </w:r>
            <w:r>
              <w:rPr>
                <w:rFonts w:ascii="Arial" w:cs="Arial" w:eastAsia="Arial" w:hAnsi="Arial"/>
                <w:sz w:val="28"/>
                <w:szCs w:val="28"/>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line="250" w:lineRule="exact"/>
              <w:rPr>
                <w:sz w:val="20"/>
                <w:szCs w:val="20"/>
                <w:color w:val="auto"/>
              </w:rPr>
            </w:pPr>
            <w:r>
              <w:rPr>
                <w:rFonts w:ascii="Arial" w:cs="Arial" w:eastAsia="Arial" w:hAnsi="Arial"/>
                <w:sz w:val="17"/>
                <w:szCs w:val="17"/>
                <w:color w:val="auto"/>
              </w:rPr>
              <w:t xml:space="preserve">168.50 </w:t>
            </w:r>
            <w:r>
              <w:rPr>
                <w:rFonts w:ascii="Arial" w:cs="Arial" w:eastAsia="Arial" w:hAnsi="Arial"/>
                <w:sz w:val="28"/>
                <w:szCs w:val="28"/>
                <w:color w:val="auto"/>
                <w:vertAlign w:val="superscript"/>
              </w:rPr>
              <w:t>(2)</w:t>
            </w:r>
          </w:p>
        </w:tc>
        <w:tc>
          <w:tcPr>
            <w:tcW w:w="1720" w:type="dxa"/>
            <w:vAlign w:val="bottom"/>
            <w:gridSpan w:val="2"/>
            <w:shd w:val="clear" w:color="auto" w:fill="CCEEFF"/>
          </w:tcPr>
          <w:p>
            <w:pPr>
              <w:jc w:val="right"/>
              <w:ind w:right="60"/>
              <w:spacing w:after="0" w:line="250" w:lineRule="exact"/>
              <w:rPr>
                <w:sz w:val="20"/>
                <w:szCs w:val="20"/>
                <w:color w:val="auto"/>
              </w:rPr>
            </w:pPr>
            <w:r>
              <w:rPr>
                <w:rFonts w:ascii="Arial" w:cs="Arial" w:eastAsia="Arial" w:hAnsi="Arial"/>
                <w:sz w:val="17"/>
                <w:szCs w:val="17"/>
                <w:color w:val="auto"/>
              </w:rPr>
              <w:t xml:space="preserve">6,551 </w:t>
            </w:r>
            <w:r>
              <w:rPr>
                <w:rFonts w:ascii="Arial" w:cs="Arial" w:eastAsia="Arial" w:hAnsi="Arial"/>
                <w:sz w:val="28"/>
                <w:szCs w:val="28"/>
                <w:color w:val="auto"/>
                <w:vertAlign w:val="superscript"/>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194" w:lineRule="auto"/>
        <w:tabs>
          <w:tab w:leader="none" w:pos="660" w:val="left"/>
        </w:tabs>
        <w:numPr>
          <w:ilvl w:val="0"/>
          <w:numId w:val="2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FactSet common stock subject to outstanding restricted stock that will entitle each holder to the issuance of one share of common stock as they vest.</w:t>
      </w:r>
    </w:p>
    <w:p>
      <w:pPr>
        <w:spacing w:after="0" w:line="202" w:lineRule="exact"/>
        <w:rPr>
          <w:rFonts w:ascii="Arial" w:cs="Arial" w:eastAsia="Arial" w:hAnsi="Arial"/>
          <w:sz w:val="30"/>
          <w:szCs w:val="30"/>
          <w:i w:val="1"/>
          <w:iCs w:val="1"/>
          <w:color w:val="auto"/>
          <w:vertAlign w:val="superscript"/>
        </w:rPr>
      </w:pPr>
    </w:p>
    <w:p>
      <w:pPr>
        <w:ind w:left="660" w:hanging="328"/>
        <w:spacing w:after="0" w:line="194" w:lineRule="auto"/>
        <w:tabs>
          <w:tab w:leader="none" w:pos="660" w:val="left"/>
        </w:tabs>
        <w:numPr>
          <w:ilvl w:val="0"/>
          <w:numId w:val="2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Calculated without taking into account shares of FactSet common stock subject to outstanding restricted stock that will become issuable as they vest, without any cash consideration or other payment required for such shares.</w:t>
      </w:r>
    </w:p>
    <w:p>
      <w:pPr>
        <w:spacing w:after="0" w:line="202" w:lineRule="exact"/>
        <w:rPr>
          <w:rFonts w:ascii="Arial" w:cs="Arial" w:eastAsia="Arial" w:hAnsi="Arial"/>
          <w:sz w:val="30"/>
          <w:szCs w:val="30"/>
          <w:i w:val="1"/>
          <w:iCs w:val="1"/>
          <w:color w:val="auto"/>
          <w:vertAlign w:val="superscript"/>
        </w:rPr>
      </w:pPr>
    </w:p>
    <w:p>
      <w:pPr>
        <w:jc w:val="both"/>
        <w:ind w:left="660" w:hanging="328"/>
        <w:spacing w:after="0" w:line="209" w:lineRule="auto"/>
        <w:tabs>
          <w:tab w:leader="none" w:pos="660" w:val="left"/>
        </w:tabs>
        <w:numPr>
          <w:ilvl w:val="0"/>
          <w:numId w:val="2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263,956 shares available for future issuance under the FactSet Research Systems Inc. Non-Employee Directors’ Stock Option and Award Plan, as Amended and Restated and 220,410 shares available for purchase under the FactSet Research Systems Inc. 2008 Employee Stock Purchase Plan, as Amended and Restated.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information required by this item relating to review, approval or ratification of transactions with related persons is included under the caption “Certain Relationships and Related Transactions” and all the information required by this item relating to director independence is included under the caption “Corporate Governance” contained in the definitive Proxy Statement dated October 30, 2019, all of which information is incorporated herein by reference.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is included under the caption “Proposal 2: Ratification of Independent Registered Public Accounting Firm” in the definitive Proxy Statement dated October 30, 2019, all of which information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FINANCIAL STATEMENT SCHEDULES</w:t>
      </w:r>
    </w:p>
    <w:p>
      <w:pPr>
        <w:spacing w:after="0" w:line="225"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Documents filed as part of this Report on Form 10-K:</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21"/>
        <w:spacing w:after="0"/>
        <w:tabs>
          <w:tab w:leader="none" w:pos="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Financial Statements and Supplementary Data, which is incorporated herein.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80" w:hanging="221"/>
        <w:spacing w:after="0"/>
        <w:tabs>
          <w:tab w:leader="none" w:pos="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Years ended August 31, 2019, 2018 and 2017 (in thousands):</w:t>
      </w:r>
    </w:p>
    <w:p>
      <w:pPr>
        <w:sectPr>
          <w:pgSz w:w="11900" w:h="16838" w:orient="portrait"/>
          <w:cols w:equalWidth="0" w:num="1">
            <w:col w:w="11420"/>
          </w:cols>
          <w:pgMar w:left="240" w:top="341" w:right="239" w:bottom="0" w:gutter="0" w:footer="0" w:header="0"/>
        </w:sectPr>
      </w:pPr>
    </w:p>
    <w:bookmarkStart w:id="76" w:name="page77"/>
    <w:bookmarkEnd w:id="7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Charged to</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86"/>
              </w:rPr>
              <w:t>Balance at</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7"/>
              </w:rPr>
              <w:t>Expense/</w:t>
            </w:r>
          </w:p>
        </w:tc>
        <w:tc>
          <w:tcPr>
            <w:tcW w:w="2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5"/>
              </w:rPr>
              <w:t>Write-offs,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940" w:type="dxa"/>
            <w:vAlign w:val="bottom"/>
          </w:tcPr>
          <w:p>
            <w:pPr>
              <w:jc w:val="right"/>
              <w:ind w:right="1170"/>
              <w:spacing w:after="0"/>
              <w:rPr>
                <w:sz w:val="20"/>
                <w:szCs w:val="20"/>
                <w:color w:val="auto"/>
              </w:rPr>
            </w:pPr>
            <w:r>
              <w:rPr>
                <w:rFonts w:ascii="Arial" w:cs="Arial" w:eastAsia="Arial" w:hAnsi="Arial"/>
                <w:sz w:val="18"/>
                <w:szCs w:val="18"/>
                <w:color w:val="auto"/>
              </w:rPr>
              <w:t>Receivable Reserve</w:t>
            </w:r>
          </w:p>
        </w:tc>
        <w:tc>
          <w:tcPr>
            <w:tcW w:w="1220" w:type="dxa"/>
            <w:vAlign w:val="bottom"/>
          </w:tcPr>
          <w:p>
            <w:pPr>
              <w:spacing w:after="0"/>
              <w:rPr>
                <w:sz w:val="19"/>
                <w:szCs w:val="19"/>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93"/>
              </w:rPr>
              <w:t>Beginning of</w:t>
            </w:r>
          </w:p>
        </w:tc>
        <w:tc>
          <w:tcPr>
            <w:tcW w:w="240" w:type="dxa"/>
            <w:vAlign w:val="bottom"/>
          </w:tcPr>
          <w:p>
            <w:pPr>
              <w:spacing w:after="0"/>
              <w:rPr>
                <w:sz w:val="19"/>
                <w:szCs w:val="19"/>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Against</w:t>
            </w:r>
          </w:p>
        </w:tc>
        <w:tc>
          <w:tcPr>
            <w:tcW w:w="240" w:type="dxa"/>
            <w:vAlign w:val="bottom"/>
          </w:tcPr>
          <w:p>
            <w:pPr>
              <w:spacing w:after="0"/>
              <w:rPr>
                <w:sz w:val="19"/>
                <w:szCs w:val="19"/>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5"/>
              </w:rPr>
              <w:t>Net of</w:t>
            </w:r>
          </w:p>
        </w:tc>
        <w:tc>
          <w:tcPr>
            <w:tcW w:w="20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Balance at</w:t>
            </w:r>
          </w:p>
        </w:tc>
      </w:tr>
      <w:tr>
        <w:trPr>
          <w:trHeight w:val="267"/>
        </w:trPr>
        <w:tc>
          <w:tcPr>
            <w:tcW w:w="20" w:type="dxa"/>
            <w:vAlign w:val="bottom"/>
          </w:tcPr>
          <w:p>
            <w:pPr>
              <w:spacing w:after="0"/>
              <w:rPr>
                <w:sz w:val="23"/>
                <w:szCs w:val="23"/>
                <w:color w:val="auto"/>
              </w:rPr>
            </w:pPr>
          </w:p>
        </w:tc>
        <w:tc>
          <w:tcPr>
            <w:tcW w:w="49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and Billing Adjustments</w:t>
            </w:r>
          </w:p>
        </w:tc>
        <w:tc>
          <w:tcPr>
            <w:tcW w:w="1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Year</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150"/>
              <w:spacing w:after="0" w:line="266" w:lineRule="exact"/>
              <w:rPr>
                <w:sz w:val="20"/>
                <w:szCs w:val="20"/>
                <w:color w:val="auto"/>
              </w:rPr>
            </w:pPr>
            <w:r>
              <w:rPr>
                <w:rFonts w:ascii="Arial" w:cs="Arial" w:eastAsia="Arial" w:hAnsi="Arial"/>
                <w:sz w:val="18"/>
                <w:szCs w:val="18"/>
                <w:color w:val="auto"/>
                <w:w w:val="82"/>
              </w:rPr>
              <w:t>Revenue</w:t>
            </w:r>
            <w:r>
              <w:rPr>
                <w:rFonts w:ascii="Arial" w:cs="Arial" w:eastAsia="Arial" w:hAnsi="Arial"/>
                <w:sz w:val="30"/>
                <w:szCs w:val="30"/>
                <w:color w:val="auto"/>
                <w:w w:val="82"/>
                <w:vertAlign w:val="superscript"/>
              </w:rPr>
              <w:t>(1)</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Recoveries</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End of Year</w:t>
            </w:r>
          </w:p>
        </w:tc>
        <w:tc>
          <w:tcPr>
            <w:tcW w:w="10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79"/>
              </w:rPr>
              <w:t>2019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w:t>
            </w:r>
          </w:p>
        </w:tc>
      </w:tr>
      <w:tr>
        <w:trPr>
          <w:trHeight w:val="216"/>
        </w:trPr>
        <w:tc>
          <w:tcPr>
            <w:tcW w:w="20" w:type="dxa"/>
            <w:vAlign w:val="bottom"/>
          </w:tcPr>
          <w:p>
            <w:pPr>
              <w:spacing w:after="0"/>
              <w:rPr>
                <w:sz w:val="18"/>
                <w:szCs w:val="18"/>
                <w:color w:val="auto"/>
              </w:rPr>
            </w:pPr>
          </w:p>
        </w:tc>
        <w:tc>
          <w:tcPr>
            <w:tcW w:w="4940" w:type="dxa"/>
            <w:vAlign w:val="bottom"/>
          </w:tcPr>
          <w:p>
            <w:pPr>
              <w:jc w:val="right"/>
              <w:ind w:right="4510"/>
              <w:spacing w:after="0"/>
              <w:rPr>
                <w:sz w:val="20"/>
                <w:szCs w:val="20"/>
                <w:color w:val="auto"/>
              </w:rPr>
            </w:pPr>
            <w:r>
              <w:rPr>
                <w:rFonts w:ascii="Arial" w:cs="Arial" w:eastAsia="Arial" w:hAnsi="Arial"/>
                <w:sz w:val="18"/>
                <w:szCs w:val="18"/>
                <w:color w:val="auto"/>
                <w:w w:val="79"/>
              </w:rPr>
              <w:t>2018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79"/>
              </w:rPr>
              <w:t>2017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r>
    </w:tbl>
    <w:p>
      <w:pPr>
        <w:spacing w:after="0" w:line="202" w:lineRule="exact"/>
        <w:rPr>
          <w:sz w:val="20"/>
          <w:szCs w:val="20"/>
          <w:color w:val="auto"/>
        </w:rPr>
      </w:pPr>
    </w:p>
    <w:p>
      <w:pPr>
        <w:ind w:left="800" w:right="800" w:hanging="229"/>
        <w:spacing w:after="0" w:line="194" w:lineRule="auto"/>
        <w:rPr>
          <w:sz w:val="20"/>
          <w:szCs w:val="20"/>
          <w:color w:val="auto"/>
        </w:rPr>
      </w:pPr>
      <w:r>
        <w:rPr>
          <w:rFonts w:ascii="Arial" w:cs="Arial" w:eastAsia="Arial" w:hAnsi="Arial"/>
          <w:sz w:val="30"/>
          <w:szCs w:val="30"/>
          <w:i w:val="1"/>
          <w:iCs w:val="1"/>
          <w:color w:val="auto"/>
          <w:vertAlign w:val="superscript"/>
        </w:rPr>
        <w:t>(</w:t>
      </w:r>
      <w:r>
        <w:rPr>
          <w:rFonts w:ascii="Arial" w:cs="Arial" w:eastAsia="Arial" w:hAnsi="Arial"/>
          <w:sz w:val="30"/>
          <w:szCs w:val="30"/>
          <w:color w:val="auto"/>
          <w:vertAlign w:val="superscript"/>
        </w:rPr>
        <w:t>1</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Additions to the receivable reserve for doubtful accounts are charged to bad debt expense. Additions to the receivable reserve for billing adjustments are charged against revenue.</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Additional financial statement schedules are omitted since they are either not required, not applicable, or the information is otherwise included.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hanging="22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40" w:type="dxa"/>
            <w:vAlign w:val="bottom"/>
            <w:gridSpan w:val="3"/>
          </w:tcPr>
          <w:p>
            <w:pPr>
              <w:ind w:left="920"/>
              <w:spacing w:after="0"/>
              <w:rPr>
                <w:sz w:val="20"/>
                <w:szCs w:val="20"/>
                <w:color w:val="auto"/>
              </w:rPr>
            </w:pPr>
            <w:r>
              <w:rPr>
                <w:rFonts w:ascii="Arial" w:cs="Arial" w:eastAsia="Arial" w:hAnsi="Arial"/>
                <w:sz w:val="18"/>
                <w:szCs w:val="18"/>
                <w:color w:val="auto"/>
              </w:rPr>
              <w:t>Incorporated by Reference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40" w:type="dxa"/>
            <w:vAlign w:val="bottom"/>
            <w:gridSpan w:val="40"/>
          </w:tcPr>
          <w:p>
            <w:pPr>
              <w:jc w:val="center"/>
              <w:ind w:right="1140"/>
              <w:spacing w:after="0"/>
              <w:rPr>
                <w:sz w:val="20"/>
                <w:szCs w:val="20"/>
                <w:color w:val="auto"/>
              </w:rPr>
            </w:pPr>
            <w:r>
              <w:rPr>
                <w:rFonts w:ascii="Arial" w:cs="Arial" w:eastAsia="Arial" w:hAnsi="Arial"/>
                <w:sz w:val="18"/>
                <w:szCs w:val="18"/>
                <w:color w:val="auto"/>
                <w:w w:val="96"/>
              </w:rPr>
              <w:t>Exhibit</w:t>
            </w: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5"/>
              </w:rPr>
              <w:t>Form</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File No.</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Exhibit No.</w:t>
            </w:r>
          </w:p>
        </w:tc>
        <w:tc>
          <w:tcPr>
            <w:tcW w:w="1260" w:type="dxa"/>
            <w:vAlign w:val="bottom"/>
          </w:tcPr>
          <w:p>
            <w:pPr>
              <w:ind w:left="200"/>
              <w:spacing w:after="0"/>
              <w:rPr>
                <w:sz w:val="20"/>
                <w:szCs w:val="20"/>
                <w:color w:val="auto"/>
              </w:rPr>
            </w:pPr>
            <w:r>
              <w:rPr>
                <w:rFonts w:ascii="Arial" w:cs="Arial" w:eastAsia="Arial" w:hAnsi="Arial"/>
                <w:sz w:val="18"/>
                <w:szCs w:val="18"/>
                <w:color w:val="auto"/>
              </w:rPr>
              <w:t>Filing Date</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Number</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0"/>
          </w:tcPr>
          <w:p>
            <w:pPr>
              <w:jc w:val="center"/>
              <w:ind w:right="1140"/>
              <w:spacing w:after="0"/>
              <w:rPr>
                <w:sz w:val="20"/>
                <w:szCs w:val="20"/>
                <w:color w:val="auto"/>
              </w:rPr>
            </w:pPr>
            <w:r>
              <w:rPr>
                <w:rFonts w:ascii="Arial" w:cs="Arial" w:eastAsia="Arial" w:hAnsi="Arial"/>
                <w:sz w:val="18"/>
                <w:szCs w:val="18"/>
                <w:color w:val="auto"/>
                <w:w w:val="93"/>
              </w:rPr>
              <w:t>Description</w:t>
            </w:r>
          </w:p>
        </w:tc>
        <w:tc>
          <w:tcPr>
            <w:tcW w:w="1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69"/>
        </w:trPr>
        <w:tc>
          <w:tcPr>
            <w:tcW w:w="126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95"/>
              </w:rPr>
              <w:t>3.1</w:t>
            </w:r>
          </w:p>
        </w:tc>
        <w:tc>
          <w:tcPr>
            <w:tcW w:w="20" w:type="dxa"/>
            <w:vAlign w:val="bottom"/>
          </w:tcPr>
          <w:p>
            <w:pPr>
              <w:spacing w:after="0"/>
              <w:rPr>
                <w:sz w:val="14"/>
                <w:szCs w:val="14"/>
                <w:color w:val="auto"/>
              </w:rPr>
            </w:pPr>
          </w:p>
        </w:tc>
        <w:tc>
          <w:tcPr>
            <w:tcW w:w="3920" w:type="dxa"/>
            <w:vAlign w:val="bottom"/>
            <w:gridSpan w:val="46"/>
          </w:tcPr>
          <w:p>
            <w:pPr>
              <w:spacing w:after="0" w:line="170" w:lineRule="exact"/>
              <w:rPr>
                <w:rFonts w:ascii="Arial" w:cs="Arial" w:eastAsia="Arial" w:hAnsi="Arial"/>
                <w:sz w:val="18"/>
                <w:szCs w:val="18"/>
                <w:color w:val="0000EE"/>
              </w:rPr>
            </w:pPr>
            <w:hyperlink r:id="rId134">
              <w:r>
                <w:rPr>
                  <w:rFonts w:ascii="Arial" w:cs="Arial" w:eastAsia="Arial" w:hAnsi="Arial"/>
                  <w:sz w:val="18"/>
                  <w:szCs w:val="18"/>
                  <w:color w:val="0000EE"/>
                </w:rPr>
                <w:t>Restated Certificate of Incorporation</w:t>
              </w:r>
            </w:hyperlink>
          </w:p>
        </w:tc>
        <w:tc>
          <w:tcPr>
            <w:tcW w:w="1220" w:type="dxa"/>
            <w:vAlign w:val="bottom"/>
          </w:tcPr>
          <w:p>
            <w:pPr>
              <w:jc w:val="center"/>
              <w:ind w:right="50"/>
              <w:spacing w:after="0" w:line="170"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right"/>
              <w:ind w:right="150"/>
              <w:spacing w:after="0" w:line="170" w:lineRule="exact"/>
              <w:rPr>
                <w:sz w:val="20"/>
                <w:szCs w:val="20"/>
                <w:color w:val="auto"/>
              </w:rPr>
            </w:pPr>
            <w:r>
              <w:rPr>
                <w:rFonts w:ascii="Arial" w:cs="Arial" w:eastAsia="Arial" w:hAnsi="Arial"/>
                <w:sz w:val="18"/>
                <w:szCs w:val="18"/>
                <w:color w:val="auto"/>
              </w:rPr>
              <w:t>333-04238</w:t>
            </w:r>
          </w:p>
        </w:tc>
        <w:tc>
          <w:tcPr>
            <w:tcW w:w="1300" w:type="dxa"/>
            <w:vAlign w:val="bottom"/>
          </w:tcPr>
          <w:p>
            <w:pPr>
              <w:jc w:val="center"/>
              <w:spacing w:after="0" w:line="170" w:lineRule="exact"/>
              <w:rPr>
                <w:sz w:val="20"/>
                <w:szCs w:val="20"/>
                <w:color w:val="auto"/>
              </w:rPr>
            </w:pPr>
            <w:r>
              <w:rPr>
                <w:rFonts w:ascii="Arial" w:cs="Arial" w:eastAsia="Arial" w:hAnsi="Arial"/>
                <w:sz w:val="18"/>
                <w:szCs w:val="18"/>
                <w:color w:val="auto"/>
                <w:w w:val="87"/>
              </w:rPr>
              <w:t>3.1</w:t>
            </w:r>
          </w:p>
        </w:tc>
        <w:tc>
          <w:tcPr>
            <w:tcW w:w="1260" w:type="dxa"/>
            <w:vAlign w:val="bottom"/>
          </w:tcPr>
          <w:p>
            <w:pPr>
              <w:jc w:val="center"/>
              <w:spacing w:after="0" w:line="170" w:lineRule="exact"/>
              <w:rPr>
                <w:sz w:val="20"/>
                <w:szCs w:val="20"/>
                <w:color w:val="auto"/>
              </w:rPr>
            </w:pPr>
            <w:r>
              <w:rPr>
                <w:rFonts w:ascii="Arial" w:cs="Arial" w:eastAsia="Arial" w:hAnsi="Arial"/>
                <w:sz w:val="18"/>
                <w:szCs w:val="18"/>
                <w:color w:val="auto"/>
                <w:w w:val="92"/>
              </w:rPr>
              <w:t>6/26/1996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3.2</w:t>
            </w:r>
          </w:p>
        </w:tc>
        <w:tc>
          <w:tcPr>
            <w:tcW w:w="20" w:type="dxa"/>
            <w:vAlign w:val="bottom"/>
          </w:tcPr>
          <w:p>
            <w:pPr>
              <w:spacing w:after="0"/>
              <w:rPr>
                <w:sz w:val="17"/>
                <w:szCs w:val="17"/>
                <w:color w:val="auto"/>
              </w:rPr>
            </w:pPr>
          </w:p>
        </w:tc>
        <w:tc>
          <w:tcPr>
            <w:tcW w:w="3920" w:type="dxa"/>
            <w:vAlign w:val="bottom"/>
            <w:gridSpan w:val="4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Certificate of Amendment of Certificate of</w:t>
              </w:r>
            </w:hyperlink>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4"/>
              </w:rPr>
              <w:t>10-K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333-22319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3.12</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11/20/2001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Incorporation</w:t>
              </w:r>
            </w:hyperlink>
          </w:p>
        </w:tc>
        <w:tc>
          <w:tcPr>
            <w:tcW w:w="2100" w:type="dxa"/>
            <w:vAlign w:val="bottom"/>
            <w:tcBorders>
              <w:top w:val="single" w:sz="8" w:color="0000EE"/>
            </w:tcBorders>
            <w:gridSpan w:val="18"/>
          </w:tcPr>
          <w:p>
            <w:pPr>
              <w:spacing w:after="0"/>
              <w:rPr>
                <w:sz w:val="17"/>
                <w:szCs w:val="17"/>
                <w:color w:val="auto"/>
              </w:rPr>
            </w:pPr>
          </w:p>
        </w:tc>
        <w:tc>
          <w:tcPr>
            <w:tcW w:w="840" w:type="dxa"/>
            <w:vAlign w:val="bottom"/>
            <w:gridSpan w:val="22"/>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3.3</w:t>
            </w:r>
          </w:p>
        </w:tc>
        <w:tc>
          <w:tcPr>
            <w:tcW w:w="20" w:type="dxa"/>
            <w:vAlign w:val="bottom"/>
          </w:tcPr>
          <w:p>
            <w:pPr>
              <w:spacing w:after="0"/>
              <w:rPr>
                <w:sz w:val="17"/>
                <w:szCs w:val="17"/>
                <w:color w:val="auto"/>
              </w:rPr>
            </w:pPr>
          </w:p>
        </w:tc>
        <w:tc>
          <w:tcPr>
            <w:tcW w:w="360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Second Amendment to the Restated Certificate of</w:t>
              </w:r>
            </w:hyperlink>
          </w:p>
        </w:tc>
        <w:tc>
          <w:tcPr>
            <w:tcW w:w="320" w:type="dxa"/>
            <w:vAlign w:val="bottom"/>
            <w:gridSpan w:val="5"/>
          </w:tcPr>
          <w:p>
            <w:pPr>
              <w:spacing w:after="0"/>
              <w:rPr>
                <w:sz w:val="17"/>
                <w:szCs w:val="17"/>
                <w:color w:val="auto"/>
              </w:rPr>
            </w:pPr>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12/16/2011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Incorporation</w:t>
              </w:r>
            </w:hyperlink>
          </w:p>
        </w:tc>
        <w:tc>
          <w:tcPr>
            <w:tcW w:w="2940" w:type="dxa"/>
            <w:vAlign w:val="bottom"/>
            <w:gridSpan w:val="40"/>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3.4</w:t>
            </w:r>
          </w:p>
        </w:tc>
        <w:tc>
          <w:tcPr>
            <w:tcW w:w="20" w:type="dxa"/>
            <w:vAlign w:val="bottom"/>
          </w:tcPr>
          <w:p>
            <w:pPr>
              <w:spacing w:after="0"/>
              <w:rPr>
                <w:sz w:val="17"/>
                <w:szCs w:val="17"/>
                <w:color w:val="auto"/>
              </w:rPr>
            </w:pPr>
          </w:p>
        </w:tc>
        <w:tc>
          <w:tcPr>
            <w:tcW w:w="310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Amended and Restated By-laws of FactSet</w:t>
              </w:r>
            </w:hyperlink>
          </w:p>
        </w:tc>
        <w:tc>
          <w:tcPr>
            <w:tcW w:w="820" w:type="dxa"/>
            <w:vAlign w:val="bottom"/>
            <w:gridSpan w:val="21"/>
          </w:tcPr>
          <w:p>
            <w:pPr>
              <w:spacing w:after="0"/>
              <w:rPr>
                <w:sz w:val="17"/>
                <w:szCs w:val="17"/>
                <w:color w:val="auto"/>
              </w:rPr>
            </w:pPr>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9/6/2018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46"/>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Research Systems Inc. as amended September 1,</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0" w:type="dxa"/>
            <w:vAlign w:val="bottom"/>
            <w:gridSpan w:val="4"/>
          </w:tcPr>
          <w:p>
            <w:pPr>
              <w:ind w:left="20"/>
              <w:spacing w:after="0" w:line="196" w:lineRule="exact"/>
              <w:rPr>
                <w:rFonts w:ascii="Arial" w:cs="Arial" w:eastAsia="Arial" w:hAnsi="Arial"/>
                <w:sz w:val="18"/>
                <w:szCs w:val="18"/>
                <w:color w:val="0000EE"/>
                <w:w w:val="84"/>
              </w:rPr>
            </w:pPr>
            <w:hyperlink r:id="rId137">
              <w:r>
                <w:rPr>
                  <w:rFonts w:ascii="Arial" w:cs="Arial" w:eastAsia="Arial" w:hAnsi="Arial"/>
                  <w:sz w:val="18"/>
                  <w:szCs w:val="18"/>
                  <w:color w:val="0000EE"/>
                  <w:w w:val="84"/>
                </w:rPr>
                <w:t>2018</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4.0</w:t>
            </w:r>
          </w:p>
        </w:tc>
        <w:tc>
          <w:tcPr>
            <w:tcW w:w="2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of Common Stock</w:t>
              </w:r>
            </w:hyperlink>
          </w:p>
        </w:tc>
        <w:tc>
          <w:tcPr>
            <w:tcW w:w="2160" w:type="dxa"/>
            <w:vAlign w:val="bottom"/>
            <w:gridSpan w:val="37"/>
          </w:tcPr>
          <w:p>
            <w:pPr>
              <w:spacing w:after="0"/>
              <w:rPr>
                <w:sz w:val="17"/>
                <w:szCs w:val="17"/>
                <w:color w:val="auto"/>
              </w:rPr>
            </w:pPr>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333-04238</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6/26/1996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10.1</w:t>
            </w:r>
          </w:p>
        </w:tc>
        <w:tc>
          <w:tcPr>
            <w:tcW w:w="20" w:type="dxa"/>
            <w:vAlign w:val="bottom"/>
          </w:tcPr>
          <w:p>
            <w:pPr>
              <w:spacing w:after="0"/>
              <w:rPr>
                <w:sz w:val="17"/>
                <w:szCs w:val="17"/>
                <w:color w:val="auto"/>
              </w:rPr>
            </w:pPr>
          </w:p>
        </w:tc>
        <w:tc>
          <w:tcPr>
            <w:tcW w:w="3920" w:type="dxa"/>
            <w:vAlign w:val="bottom"/>
            <w:gridSpan w:val="4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FactSet Research Systems Inc. 2004 Employee</w:t>
              </w:r>
            </w:hyperlink>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7"/>
              </w:rPr>
              <w:t>DEF-14A</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8"/>
              </w:rPr>
              <w:t>Exhibit A</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11/10/2004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EE"/>
              <w:bottom w:val="single" w:sz="8" w:color="0000EE"/>
            </w:tcBorders>
            <w:gridSpan w:val="13"/>
            <w:vMerge w:val="restart"/>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Stock Option and Award Plan</w:t>
              </w:r>
            </w:hyperlink>
          </w:p>
        </w:tc>
        <w:tc>
          <w:tcPr>
            <w:tcW w:w="180" w:type="dxa"/>
            <w:vAlign w:val="bottom"/>
            <w:tcBorders>
              <w:top w:val="single" w:sz="8" w:color="0000EE"/>
              <w:bottom w:val="single" w:sz="8" w:color="0000EE"/>
            </w:tcBorders>
            <w:gridSpan w:val="4"/>
          </w:tcPr>
          <w:p>
            <w:pPr>
              <w:jc w:val="right"/>
              <w:spacing w:after="0" w:line="156" w:lineRule="exact"/>
              <w:rPr>
                <w:rFonts w:ascii="Arial" w:cs="Arial" w:eastAsia="Arial" w:hAnsi="Arial"/>
                <w:sz w:val="15"/>
                <w:szCs w:val="15"/>
                <w:color w:val="0000EE"/>
                <w:w w:val="87"/>
              </w:rPr>
            </w:pPr>
            <w:hyperlink r:id="rId138">
              <w:r>
                <w:rPr>
                  <w:rFonts w:ascii="Arial" w:cs="Arial" w:eastAsia="Arial" w:hAnsi="Arial"/>
                  <w:sz w:val="15"/>
                  <w:szCs w:val="15"/>
                  <w:color w:val="0000EE"/>
                  <w:w w:val="87"/>
                </w:rPr>
                <w:t>(1)</w:t>
              </w:r>
            </w:hyperlink>
          </w:p>
        </w:tc>
        <w:tc>
          <w:tcPr>
            <w:tcW w:w="42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Borders>
              <w:bottom w:val="single" w:sz="8" w:color="0000EE"/>
            </w:tcBorders>
            <w:gridSpan w:val="1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10.2</w:t>
            </w:r>
          </w:p>
        </w:tc>
        <w:tc>
          <w:tcPr>
            <w:tcW w:w="20" w:type="dxa"/>
            <w:vAlign w:val="bottom"/>
          </w:tcPr>
          <w:p>
            <w:pPr>
              <w:spacing w:after="0"/>
              <w:rPr>
                <w:sz w:val="17"/>
                <w:szCs w:val="17"/>
                <w:color w:val="auto"/>
              </w:rPr>
            </w:pPr>
          </w:p>
        </w:tc>
        <w:tc>
          <w:tcPr>
            <w:tcW w:w="3620" w:type="dxa"/>
            <w:vAlign w:val="bottom"/>
            <w:tcBorders>
              <w:bottom w:val="single" w:sz="8" w:color="0000EE"/>
            </w:tcBorders>
            <w:gridSpan w:val="42"/>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FactSet Research Systems Inc. 2004 Stock Option</w:t>
              </w:r>
            </w:hyperlink>
          </w:p>
        </w:tc>
        <w:tc>
          <w:tcPr>
            <w:tcW w:w="300" w:type="dxa"/>
            <w:vAlign w:val="bottom"/>
            <w:gridSpan w:val="4"/>
          </w:tcPr>
          <w:p>
            <w:pPr>
              <w:spacing w:after="0"/>
              <w:rPr>
                <w:sz w:val="17"/>
                <w:szCs w:val="17"/>
                <w:color w:val="auto"/>
              </w:rPr>
            </w:pPr>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DEFR-14A</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7"/>
              </w:rPr>
              <w:t>Appendix A</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12/6/2010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25"/>
            <w:vMerge w:val="restart"/>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and Award Plan, as Amended and Restated</w:t>
              </w:r>
            </w:hyperlink>
          </w:p>
        </w:tc>
        <w:tc>
          <w:tcPr>
            <w:tcW w:w="180" w:type="dxa"/>
            <w:vAlign w:val="bottom"/>
            <w:tcBorders>
              <w:bottom w:val="single" w:sz="8" w:color="0000EE"/>
            </w:tcBorders>
            <w:gridSpan w:val="5"/>
          </w:tcPr>
          <w:p>
            <w:pPr>
              <w:jc w:val="right"/>
              <w:spacing w:after="0" w:line="156" w:lineRule="exact"/>
              <w:rPr>
                <w:rFonts w:ascii="Arial" w:cs="Arial" w:eastAsia="Arial" w:hAnsi="Arial"/>
                <w:sz w:val="15"/>
                <w:szCs w:val="15"/>
                <w:color w:val="0000EE"/>
                <w:w w:val="87"/>
              </w:rPr>
            </w:pPr>
            <w:hyperlink r:id="rId139">
              <w:r>
                <w:rPr>
                  <w:rFonts w:ascii="Arial" w:cs="Arial" w:eastAsia="Arial" w:hAnsi="Arial"/>
                  <w:sz w:val="15"/>
                  <w:szCs w:val="15"/>
                  <w:color w:val="0000EE"/>
                  <w:w w:val="87"/>
                </w:rPr>
                <w:t>(1)</w:t>
              </w:r>
            </w:hyperlink>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tcBorders>
              <w:bottom w:val="single" w:sz="8" w:color="0000EE"/>
            </w:tcBorders>
            <w:gridSpan w:val="25"/>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10.3</w:t>
            </w:r>
          </w:p>
        </w:tc>
        <w:tc>
          <w:tcPr>
            <w:tcW w:w="20" w:type="dxa"/>
            <w:vAlign w:val="bottom"/>
          </w:tcPr>
          <w:p>
            <w:pPr>
              <w:spacing w:after="0"/>
              <w:rPr>
                <w:sz w:val="17"/>
                <w:szCs w:val="17"/>
                <w:color w:val="auto"/>
              </w:rPr>
            </w:pPr>
          </w:p>
        </w:tc>
        <w:tc>
          <w:tcPr>
            <w:tcW w:w="3920" w:type="dxa"/>
            <w:vAlign w:val="bottom"/>
            <w:gridSpan w:val="46"/>
          </w:tcPr>
          <w:p>
            <w:pPr>
              <w:spacing w:after="0" w:line="196" w:lineRule="exact"/>
              <w:rPr>
                <w:rFonts w:ascii="Arial" w:cs="Arial" w:eastAsia="Arial" w:hAnsi="Arial"/>
                <w:sz w:val="18"/>
                <w:szCs w:val="18"/>
                <w:color w:val="0000EE"/>
                <w:w w:val="98"/>
              </w:rPr>
            </w:pPr>
            <w:hyperlink r:id="rId140">
              <w:r>
                <w:rPr>
                  <w:rFonts w:ascii="Arial" w:cs="Arial" w:eastAsia="Arial" w:hAnsi="Arial"/>
                  <w:sz w:val="18"/>
                  <w:szCs w:val="18"/>
                  <w:color w:val="0000EE"/>
                  <w:w w:val="98"/>
                </w:rPr>
                <w:t>FactSet Research Systems Inc. Stock Option and</w:t>
              </w:r>
            </w:hyperlink>
          </w:p>
        </w:tc>
        <w:tc>
          <w:tcPr>
            <w:tcW w:w="12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12/21/2017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EE"/>
              <w:bottom w:val="single" w:sz="8" w:color="0000EE"/>
            </w:tcBorders>
            <w:gridSpan w:val="20"/>
            <w:vMerge w:val="restart"/>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Award Plan as Amended and Restated</w:t>
              </w:r>
            </w:hyperlink>
          </w:p>
        </w:tc>
        <w:tc>
          <w:tcPr>
            <w:tcW w:w="16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76"/>
              </w:rPr>
            </w:pPr>
            <w:hyperlink r:id="rId140">
              <w:r>
                <w:rPr>
                  <w:rFonts w:ascii="Arial" w:cs="Arial" w:eastAsia="Arial" w:hAnsi="Arial"/>
                  <w:sz w:val="15"/>
                  <w:szCs w:val="15"/>
                  <w:color w:val="0000EE"/>
                  <w:w w:val="76"/>
                </w:rPr>
                <w:t>(1)</w:t>
              </w:r>
            </w:hyperlink>
          </w:p>
        </w:tc>
        <w:tc>
          <w:tcPr>
            <w:tcW w:w="220" w:type="dxa"/>
            <w:vAlign w:val="bottom"/>
            <w:tcBorders>
              <w:top w:val="single" w:sz="8" w:color="0000EE"/>
              <w:bottom w:val="single" w:sz="8" w:color="0000EE"/>
            </w:tcBorders>
            <w:gridSpan w:val="4"/>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2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gridSpan w:val="2"/>
            <w:vMerge w:val="restart"/>
          </w:tcPr>
          <w:p>
            <w:pPr>
              <w:spacing w:after="0"/>
              <w:rPr>
                <w:sz w:val="14"/>
                <w:szCs w:val="14"/>
                <w:color w:val="auto"/>
              </w:rPr>
            </w:pPr>
          </w:p>
        </w:tc>
        <w:tc>
          <w:tcPr>
            <w:tcW w:w="10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760" w:type="dxa"/>
            <w:vAlign w:val="bottom"/>
            <w:tcBorders>
              <w:bottom w:val="single" w:sz="8" w:color="0000EE"/>
            </w:tcBorders>
            <w:gridSpan w:val="20"/>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color w:val="auto"/>
              </w:rPr>
              <w:t>100</w:t>
            </w: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743"/>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10.4</w:t>
            </w:r>
          </w:p>
        </w:tc>
        <w:tc>
          <w:tcPr>
            <w:tcW w:w="3780" w:type="dxa"/>
            <w:vAlign w:val="bottom"/>
            <w:tcBorders>
              <w:bottom w:val="single" w:sz="8" w:color="0000EE"/>
            </w:tcBorders>
            <w:gridSpan w:val="45"/>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FactSet Research Systems Inc. 2008 Non-Employee</w:t>
              </w:r>
            </w:hyperlink>
          </w:p>
        </w:tc>
        <w:tc>
          <w:tcPr>
            <w:tcW w:w="160" w:type="dxa"/>
            <w:vAlign w:val="bottom"/>
            <w:gridSpan w:val="2"/>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Appendix 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10/30/2008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100" w:type="dxa"/>
            <w:vAlign w:val="bottom"/>
            <w:gridSpan w:val="12"/>
            <w:vMerge w:val="restart"/>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Directors’ Stock Option Plan</w:t>
              </w:r>
            </w:hyperlink>
          </w:p>
        </w:tc>
        <w:tc>
          <w:tcPr>
            <w:tcW w:w="180" w:type="dxa"/>
            <w:vAlign w:val="bottom"/>
            <w:tcBorders>
              <w:bottom w:val="single" w:sz="8" w:color="0000EE"/>
            </w:tcBorders>
            <w:gridSpan w:val="4"/>
          </w:tcPr>
          <w:p>
            <w:pPr>
              <w:jc w:val="right"/>
              <w:spacing w:after="0" w:line="156" w:lineRule="exact"/>
              <w:rPr>
                <w:rFonts w:ascii="Arial" w:cs="Arial" w:eastAsia="Arial" w:hAnsi="Arial"/>
                <w:sz w:val="15"/>
                <w:szCs w:val="15"/>
                <w:color w:val="0000EE"/>
                <w:w w:val="87"/>
              </w:rPr>
            </w:pPr>
            <w:hyperlink r:id="rId141">
              <w:r>
                <w:rPr>
                  <w:rFonts w:ascii="Arial" w:cs="Arial" w:eastAsia="Arial" w:hAnsi="Arial"/>
                  <w:sz w:val="15"/>
                  <w:szCs w:val="15"/>
                  <w:color w:val="0000EE"/>
                  <w:w w:val="87"/>
                </w:rPr>
                <w:t>(1)</w:t>
              </w:r>
            </w:hyperlink>
          </w:p>
        </w:tc>
        <w:tc>
          <w:tcPr>
            <w:tcW w:w="20" w:type="dxa"/>
            <w:vAlign w:val="bottom"/>
            <w:vMerge w:val="restart"/>
          </w:tcPr>
          <w:p>
            <w:pPr>
              <w:spacing w:after="0"/>
              <w:rPr>
                <w:sz w:val="14"/>
                <w:szCs w:val="14"/>
                <w:color w:val="auto"/>
              </w:rPr>
            </w:pPr>
          </w:p>
        </w:tc>
        <w:tc>
          <w:tcPr>
            <w:tcW w:w="460" w:type="dxa"/>
            <w:vAlign w:val="bottom"/>
            <w:gridSpan w:val="3"/>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80" w:type="dxa"/>
            <w:vAlign w:val="bottom"/>
            <w:gridSpan w:val="5"/>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2100" w:type="dxa"/>
            <w:vAlign w:val="bottom"/>
            <w:tcBorders>
              <w:bottom w:val="single" w:sz="8" w:color="0000EE"/>
            </w:tcBorders>
            <w:gridSpan w:val="1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10.5</w:t>
            </w:r>
          </w:p>
        </w:tc>
        <w:tc>
          <w:tcPr>
            <w:tcW w:w="338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FactSet Research Systems Inc. Non-Employee</w:t>
              </w:r>
            </w:hyperlink>
          </w:p>
        </w:tc>
        <w:tc>
          <w:tcPr>
            <w:tcW w:w="560" w:type="dxa"/>
            <w:vAlign w:val="bottom"/>
            <w:gridSpan w:val="12"/>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0"/>
              </w:rPr>
              <w:t>12/21/2017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940" w:type="dxa"/>
            <w:vAlign w:val="bottom"/>
            <w:gridSpan w:val="4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Directors’ Stock Option and Award Plan, as</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8"/>
            <w:vMerge w:val="restart"/>
          </w:tcPr>
          <w:p>
            <w:pPr>
              <w:spacing w:after="0"/>
              <w:rPr>
                <w:rFonts w:ascii="Arial" w:cs="Arial" w:eastAsia="Arial" w:hAnsi="Arial"/>
                <w:sz w:val="18"/>
                <w:szCs w:val="18"/>
                <w:color w:val="0000EE"/>
                <w:w w:val="87"/>
              </w:rPr>
            </w:pPr>
            <w:hyperlink r:id="rId142">
              <w:r>
                <w:rPr>
                  <w:rFonts w:ascii="Arial" w:cs="Arial" w:eastAsia="Arial" w:hAnsi="Arial"/>
                  <w:sz w:val="18"/>
                  <w:szCs w:val="18"/>
                  <w:color w:val="0000EE"/>
                  <w:w w:val="87"/>
                </w:rPr>
                <w:t>Amended and Restated</w:t>
              </w:r>
            </w:hyperlink>
          </w:p>
        </w:tc>
        <w:tc>
          <w:tcPr>
            <w:tcW w:w="16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76"/>
              </w:rPr>
            </w:pPr>
            <w:hyperlink r:id="rId142">
              <w:r>
                <w:rPr>
                  <w:rFonts w:ascii="Arial" w:cs="Arial" w:eastAsia="Arial" w:hAnsi="Arial"/>
                  <w:sz w:val="15"/>
                  <w:szCs w:val="15"/>
                  <w:color w:val="0000EE"/>
                  <w:w w:val="76"/>
                </w:rPr>
                <w:t>(1)</w:t>
              </w:r>
            </w:hyperlink>
          </w:p>
        </w:tc>
        <w:tc>
          <w:tcPr>
            <w:tcW w:w="460" w:type="dxa"/>
            <w:vAlign w:val="bottom"/>
            <w:tcBorders>
              <w:top w:val="single" w:sz="8" w:color="0000EE"/>
              <w:bottom w:val="single" w:sz="8" w:color="0000EE"/>
            </w:tcBorders>
            <w:gridSpan w:val="6"/>
            <w:vMerge w:val="restart"/>
          </w:tcPr>
          <w:p>
            <w:pPr>
              <w:spacing w:after="0"/>
              <w:rPr>
                <w:sz w:val="14"/>
                <w:szCs w:val="14"/>
                <w:color w:val="auto"/>
              </w:rPr>
            </w:pPr>
          </w:p>
        </w:tc>
        <w:tc>
          <w:tcPr>
            <w:tcW w:w="460" w:type="dxa"/>
            <w:vAlign w:val="bottom"/>
            <w:tcBorders>
              <w:top w:val="single" w:sz="8" w:color="0000EE"/>
              <w:bottom w:val="single" w:sz="8" w:color="0000EE"/>
            </w:tcBorders>
            <w:gridSpan w:val="3"/>
            <w:vMerge w:val="restart"/>
          </w:tcPr>
          <w:p>
            <w:pPr>
              <w:spacing w:after="0"/>
              <w:rPr>
                <w:sz w:val="14"/>
                <w:szCs w:val="14"/>
                <w:color w:val="auto"/>
              </w:rPr>
            </w:pPr>
          </w:p>
        </w:tc>
        <w:tc>
          <w:tcPr>
            <w:tcW w:w="8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80" w:type="dxa"/>
            <w:vAlign w:val="bottom"/>
            <w:tcBorders>
              <w:top w:val="single" w:sz="8" w:color="0000EE"/>
              <w:bottom w:val="single" w:sz="8" w:color="0000EE"/>
            </w:tcBorders>
            <w:gridSpan w:val="5"/>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68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gridSpan w:val="2"/>
          </w:tcPr>
          <w:p>
            <w:pPr>
              <w:spacing w:after="0"/>
              <w:rPr>
                <w:sz w:val="4"/>
                <w:szCs w:val="4"/>
                <w:color w:val="auto"/>
              </w:rPr>
            </w:pPr>
          </w:p>
        </w:tc>
        <w:tc>
          <w:tcPr>
            <w:tcW w:w="460" w:type="dxa"/>
            <w:vAlign w:val="bottom"/>
            <w:gridSpan w:val="6"/>
            <w:vMerge w:val="continue"/>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10.6</w:t>
            </w:r>
          </w:p>
        </w:tc>
        <w:tc>
          <w:tcPr>
            <w:tcW w:w="3940" w:type="dxa"/>
            <w:vAlign w:val="bottom"/>
            <w:gridSpan w:val="47"/>
          </w:tcPr>
          <w:p>
            <w:pPr>
              <w:spacing w:after="0" w:line="196" w:lineRule="exact"/>
              <w:rPr>
                <w:rFonts w:ascii="Arial" w:cs="Arial" w:eastAsia="Arial" w:hAnsi="Arial"/>
                <w:sz w:val="18"/>
                <w:szCs w:val="18"/>
                <w:color w:val="0000EE"/>
                <w:w w:val="97"/>
              </w:rPr>
            </w:pPr>
            <w:hyperlink r:id="rId143">
              <w:r>
                <w:rPr>
                  <w:rFonts w:ascii="Arial" w:cs="Arial" w:eastAsia="Arial" w:hAnsi="Arial"/>
                  <w:sz w:val="18"/>
                  <w:szCs w:val="18"/>
                  <w:color w:val="0000EE"/>
                  <w:w w:val="97"/>
                </w:rPr>
                <w:t>Lease, dated February 14, 2018, between FactSet</w:t>
              </w:r>
            </w:hyperlink>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4/9/2018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540" w:type="dxa"/>
            <w:vAlign w:val="bottom"/>
            <w:tcBorders>
              <w:top w:val="single" w:sz="8" w:color="0000EE"/>
            </w:tcBorders>
            <w:gridSpan w:val="39"/>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Research Systems Inc. and 45 Glover Partners,</w:t>
              </w:r>
            </w:hyperlink>
          </w:p>
        </w:tc>
        <w:tc>
          <w:tcPr>
            <w:tcW w:w="400" w:type="dxa"/>
            <w:vAlign w:val="bottom"/>
            <w:gridSpan w:val="8"/>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40" w:type="dxa"/>
            <w:vAlign w:val="bottom"/>
            <w:tcBorders>
              <w:top w:val="single" w:sz="8" w:color="0000EE"/>
              <w:bottom w:val="single" w:sz="8" w:color="0000EE"/>
            </w:tcBorders>
            <w:gridSpan w:val="2"/>
            <w:vMerge w:val="restart"/>
          </w:tcPr>
          <w:p>
            <w:pPr>
              <w:spacing w:after="0"/>
              <w:rPr>
                <w:rFonts w:ascii="Arial" w:cs="Arial" w:eastAsia="Arial" w:hAnsi="Arial"/>
                <w:sz w:val="18"/>
                <w:szCs w:val="18"/>
                <w:color w:val="0000EE"/>
                <w:w w:val="96"/>
              </w:rPr>
            </w:pPr>
            <w:hyperlink r:id="rId143">
              <w:r>
                <w:rPr>
                  <w:rFonts w:ascii="Arial" w:cs="Arial" w:eastAsia="Arial" w:hAnsi="Arial"/>
                  <w:sz w:val="18"/>
                  <w:szCs w:val="18"/>
                  <w:color w:val="0000EE"/>
                  <w:w w:val="96"/>
                </w:rPr>
                <w:t>LLC</w:t>
              </w:r>
            </w:hyperlink>
          </w:p>
        </w:tc>
        <w:tc>
          <w:tcPr>
            <w:tcW w:w="18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87"/>
              </w:rPr>
            </w:pPr>
            <w:hyperlink r:id="rId143">
              <w:r>
                <w:rPr>
                  <w:rFonts w:ascii="Arial" w:cs="Arial" w:eastAsia="Arial" w:hAnsi="Arial"/>
                  <w:sz w:val="15"/>
                  <w:szCs w:val="15"/>
                  <w:color w:val="0000EE"/>
                  <w:w w:val="87"/>
                </w:rPr>
                <w:t>(2)</w:t>
              </w:r>
            </w:hyperlink>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760" w:type="dxa"/>
            <w:vAlign w:val="bottom"/>
            <w:tcBorders>
              <w:top w:val="single" w:sz="8" w:color="0000EE"/>
              <w:bottom w:val="single" w:sz="8" w:color="0000EE"/>
            </w:tcBorders>
            <w:gridSpan w:val="11"/>
            <w:vMerge w:val="restart"/>
          </w:tcPr>
          <w:p>
            <w:pPr>
              <w:spacing w:after="0"/>
              <w:rPr>
                <w:sz w:val="14"/>
                <w:szCs w:val="14"/>
                <w:color w:val="auto"/>
              </w:rPr>
            </w:pPr>
          </w:p>
        </w:tc>
        <w:tc>
          <w:tcPr>
            <w:tcW w:w="460" w:type="dxa"/>
            <w:vAlign w:val="bottom"/>
            <w:tcBorders>
              <w:top w:val="single" w:sz="8" w:color="0000EE"/>
              <w:bottom w:val="single" w:sz="8" w:color="0000EE"/>
            </w:tcBorders>
            <w:gridSpan w:val="3"/>
            <w:vMerge w:val="restart"/>
          </w:tcPr>
          <w:p>
            <w:pPr>
              <w:spacing w:after="0"/>
              <w:rPr>
                <w:sz w:val="14"/>
                <w:szCs w:val="14"/>
                <w:color w:val="auto"/>
              </w:rPr>
            </w:pPr>
          </w:p>
        </w:tc>
        <w:tc>
          <w:tcPr>
            <w:tcW w:w="8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300" w:type="dxa"/>
            <w:vAlign w:val="bottom"/>
            <w:tcBorders>
              <w:top w:val="single" w:sz="8" w:color="0000EE"/>
              <w:bottom w:val="single" w:sz="8" w:color="0000EE"/>
            </w:tcBorders>
            <w:gridSpan w:val="6"/>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20" w:type="dxa"/>
            <w:vAlign w:val="bottom"/>
            <w:tcBorders>
              <w:top w:val="single" w:sz="8" w:color="0000EE"/>
              <w:bottom w:val="single" w:sz="8" w:color="0000EE"/>
            </w:tcBorders>
            <w:gridSpan w:val="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120" w:type="dxa"/>
            <w:vAlign w:val="bottom"/>
            <w:gridSpan w:val="3"/>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34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760" w:type="dxa"/>
            <w:vAlign w:val="bottom"/>
            <w:gridSpan w:val="11"/>
            <w:vMerge w:val="continue"/>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300" w:type="dxa"/>
            <w:vAlign w:val="bottom"/>
            <w:gridSpan w:val="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10.7</w:t>
            </w:r>
          </w:p>
        </w:tc>
        <w:tc>
          <w:tcPr>
            <w:tcW w:w="32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Credit Agreement with PNC Bank, National</w:t>
              </w:r>
            </w:hyperlink>
          </w:p>
        </w:tc>
        <w:tc>
          <w:tcPr>
            <w:tcW w:w="740" w:type="dxa"/>
            <w:vAlign w:val="bottom"/>
            <w:gridSpan w:val="17"/>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3/29/2019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940" w:type="dxa"/>
            <w:vAlign w:val="bottom"/>
            <w:gridSpan w:val="4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Association, Bank of America, N.A. and HSBC</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40" w:type="dxa"/>
            <w:vAlign w:val="bottom"/>
            <w:gridSpan w:val="4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Bank USA, National Association as of March 29,</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44">
              <w:r>
                <w:rPr>
                  <w:rFonts w:ascii="Arial" w:cs="Arial" w:eastAsia="Arial" w:hAnsi="Arial"/>
                  <w:sz w:val="18"/>
                  <w:szCs w:val="18"/>
                  <w:color w:val="0000EE"/>
                  <w:w w:val="84"/>
                </w:rPr>
                <w:t>2019</w:t>
              </w:r>
            </w:hyperlink>
          </w:p>
        </w:tc>
        <w:tc>
          <w:tcPr>
            <w:tcW w:w="40" w:type="dxa"/>
            <w:vAlign w:val="bottom"/>
            <w:tcBorders>
              <w:top w:val="single" w:sz="8" w:color="0000EE"/>
              <w:bottom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10.8</w:t>
            </w:r>
          </w:p>
        </w:tc>
        <w:tc>
          <w:tcPr>
            <w:tcW w:w="336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Separation Agreement and General Release of</w:t>
              </w:r>
            </w:hyperlink>
          </w:p>
        </w:tc>
        <w:tc>
          <w:tcPr>
            <w:tcW w:w="580" w:type="dxa"/>
            <w:vAlign w:val="bottom"/>
            <w:gridSpan w:val="13"/>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2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001-11869</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7/10/2019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940" w:type="dxa"/>
            <w:vAlign w:val="bottom"/>
            <w:gridSpan w:val="4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Claims with John W. Wiseman as of April 22,</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60" w:type="dxa"/>
            <w:vAlign w:val="bottom"/>
            <w:tcBorders>
              <w:top w:val="single" w:sz="8" w:color="0000EE"/>
              <w:bottom w:val="single" w:sz="8" w:color="0000EE"/>
            </w:tcBorders>
            <w:gridSpan w:val="3"/>
            <w:vMerge w:val="restart"/>
          </w:tcPr>
          <w:p>
            <w:pPr>
              <w:spacing w:after="0"/>
              <w:rPr>
                <w:rFonts w:ascii="Arial" w:cs="Arial" w:eastAsia="Arial" w:hAnsi="Arial"/>
                <w:sz w:val="18"/>
                <w:szCs w:val="18"/>
                <w:color w:val="0000EE"/>
                <w:w w:val="84"/>
              </w:rPr>
            </w:pPr>
            <w:hyperlink r:id="rId145">
              <w:r>
                <w:rPr>
                  <w:rFonts w:ascii="Arial" w:cs="Arial" w:eastAsia="Arial" w:hAnsi="Arial"/>
                  <w:sz w:val="18"/>
                  <w:szCs w:val="18"/>
                  <w:color w:val="0000EE"/>
                  <w:w w:val="84"/>
                </w:rPr>
                <w:t>2019</w:t>
              </w:r>
            </w:hyperlink>
          </w:p>
        </w:tc>
        <w:tc>
          <w:tcPr>
            <w:tcW w:w="40" w:type="dxa"/>
            <w:vAlign w:val="bottom"/>
            <w:tcBorders>
              <w:top w:val="single" w:sz="8" w:color="0000EE"/>
              <w:bottom w:val="single" w:sz="8" w:color="0000EE"/>
            </w:tcBorders>
            <w:vMerge w:val="restart"/>
          </w:tcPr>
          <w:p>
            <w:pPr>
              <w:spacing w:after="0"/>
              <w:rPr>
                <w:sz w:val="14"/>
                <w:szCs w:val="14"/>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3"/>
                <w:szCs w:val="13"/>
                <w:color w:val="0000EE"/>
                <w:w w:val="75"/>
              </w:rPr>
            </w:pPr>
            <w:hyperlink r:id="rId145">
              <w:r>
                <w:rPr>
                  <w:rFonts w:ascii="Arial" w:cs="Arial" w:eastAsia="Arial" w:hAnsi="Arial"/>
                  <w:sz w:val="13"/>
                  <w:szCs w:val="13"/>
                  <w:color w:val="0000EE"/>
                  <w:w w:val="75"/>
                </w:rPr>
                <w:t>(1)</w:t>
              </w:r>
            </w:hyperlink>
          </w:p>
        </w:tc>
        <w:tc>
          <w:tcPr>
            <w:tcW w:w="460" w:type="dxa"/>
            <w:vAlign w:val="bottom"/>
            <w:tcBorders>
              <w:top w:val="single" w:sz="8" w:color="0000EE"/>
              <w:bottom w:val="single" w:sz="8" w:color="0000EE"/>
            </w:tcBorders>
            <w:vMerge w:val="restart"/>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360" w:type="dxa"/>
            <w:vAlign w:val="bottom"/>
            <w:tcBorders>
              <w:bottom w:val="single" w:sz="8" w:color="0000EE"/>
            </w:tcBorders>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40" w:type="dxa"/>
            <w:vAlign w:val="bottom"/>
            <w:gridSpan w:val="2"/>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21</w:t>
            </w:r>
          </w:p>
        </w:tc>
        <w:tc>
          <w:tcPr>
            <w:tcW w:w="3340" w:type="dxa"/>
            <w:vAlign w:val="bottom"/>
            <w:tcBorders>
              <w:bottom w:val="single" w:sz="8" w:color="0000EE"/>
            </w:tcBorders>
            <w:gridSpan w:val="33"/>
          </w:tcPr>
          <w:p>
            <w:pPr>
              <w:spacing w:after="0" w:line="196" w:lineRule="exact"/>
              <w:rPr>
                <w:sz w:val="20"/>
                <w:szCs w:val="20"/>
                <w:color w:val="auto"/>
              </w:rPr>
            </w:pPr>
            <w:r>
              <w:rPr>
                <w:rFonts w:ascii="Arial" w:cs="Arial" w:eastAsia="Arial" w:hAnsi="Arial"/>
                <w:sz w:val="18"/>
                <w:szCs w:val="18"/>
                <w:color w:val="0000EE"/>
                <w:w w:val="88"/>
              </w:rPr>
              <w:t>Subsidiaries of FactSet Research Systems Inc.</w:t>
            </w:r>
          </w:p>
        </w:tc>
        <w:tc>
          <w:tcPr>
            <w:tcW w:w="600" w:type="dxa"/>
            <w:vAlign w:val="bottom"/>
            <w:gridSpan w:val="14"/>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23</w:t>
            </w:r>
          </w:p>
        </w:tc>
        <w:tc>
          <w:tcPr>
            <w:tcW w:w="23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Consent of Ernst &amp; Young LLP</w:t>
            </w:r>
          </w:p>
        </w:tc>
        <w:tc>
          <w:tcPr>
            <w:tcW w:w="1640" w:type="dxa"/>
            <w:vAlign w:val="bottom"/>
            <w:gridSpan w:val="30"/>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31.1</w:t>
            </w:r>
          </w:p>
        </w:tc>
        <w:tc>
          <w:tcPr>
            <w:tcW w:w="3940" w:type="dxa"/>
            <w:vAlign w:val="bottom"/>
            <w:gridSpan w:val="47"/>
          </w:tcPr>
          <w:p>
            <w:pPr>
              <w:spacing w:after="0" w:line="196" w:lineRule="exact"/>
              <w:rPr>
                <w:sz w:val="20"/>
                <w:szCs w:val="20"/>
                <w:color w:val="auto"/>
              </w:rPr>
            </w:pPr>
            <w:r>
              <w:rPr>
                <w:rFonts w:ascii="Arial" w:cs="Arial" w:eastAsia="Arial" w:hAnsi="Arial"/>
                <w:sz w:val="18"/>
                <w:szCs w:val="18"/>
                <w:color w:val="0000EE"/>
                <w:w w:val="96"/>
              </w:rPr>
              <w:t>Certification of the Chief Executive Officer pursuant</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to Rule 13a-14(a) and Rule 15d-14(a) of the</w:t>
            </w:r>
          </w:p>
        </w:tc>
        <w:tc>
          <w:tcPr>
            <w:tcW w:w="62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7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8"/>
              </w:rPr>
              <w:t>Securities Exchange Act, as amended.</w:t>
            </w:r>
          </w:p>
        </w:tc>
        <w:tc>
          <w:tcPr>
            <w:tcW w:w="1180" w:type="dxa"/>
            <w:vAlign w:val="bottom"/>
            <w:gridSpan w:val="27"/>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31.2</w:t>
            </w:r>
          </w:p>
        </w:tc>
        <w:tc>
          <w:tcPr>
            <w:tcW w:w="3760" w:type="dxa"/>
            <w:vAlign w:val="bottom"/>
            <w:tcBorders>
              <w:bottom w:val="single" w:sz="8" w:color="0000EE"/>
            </w:tcBorders>
            <w:gridSpan w:val="44"/>
          </w:tcPr>
          <w:p>
            <w:pPr>
              <w:spacing w:after="0" w:line="196" w:lineRule="exact"/>
              <w:rPr>
                <w:sz w:val="20"/>
                <w:szCs w:val="20"/>
                <w:color w:val="auto"/>
              </w:rPr>
            </w:pPr>
            <w:r>
              <w:rPr>
                <w:rFonts w:ascii="Arial" w:cs="Arial" w:eastAsia="Arial" w:hAnsi="Arial"/>
                <w:sz w:val="18"/>
                <w:szCs w:val="18"/>
                <w:color w:val="0000EE"/>
                <w:w w:val="92"/>
              </w:rPr>
              <w:t>Certification of the Chief Financial Officer pursuant</w:t>
            </w:r>
          </w:p>
        </w:tc>
        <w:tc>
          <w:tcPr>
            <w:tcW w:w="18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1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to Rule 13a-14(a) and Rule 15d-14(a) of the</w:t>
            </w:r>
          </w:p>
        </w:tc>
        <w:tc>
          <w:tcPr>
            <w:tcW w:w="760" w:type="dxa"/>
            <w:vAlign w:val="bottom"/>
            <w:gridSpan w:val="18"/>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7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8"/>
              </w:rPr>
              <w:t>Securities Exchange Act, as amended.</w:t>
            </w:r>
          </w:p>
        </w:tc>
        <w:tc>
          <w:tcPr>
            <w:tcW w:w="1180" w:type="dxa"/>
            <w:vAlign w:val="bottom"/>
            <w:gridSpan w:val="27"/>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32.1</w:t>
            </w:r>
          </w:p>
        </w:tc>
        <w:tc>
          <w:tcPr>
            <w:tcW w:w="3940" w:type="dxa"/>
            <w:vAlign w:val="bottom"/>
            <w:gridSpan w:val="47"/>
          </w:tcPr>
          <w:p>
            <w:pPr>
              <w:spacing w:after="0" w:line="196" w:lineRule="exact"/>
              <w:rPr>
                <w:sz w:val="20"/>
                <w:szCs w:val="20"/>
                <w:color w:val="auto"/>
              </w:rPr>
            </w:pPr>
            <w:r>
              <w:rPr>
                <w:rFonts w:ascii="Arial" w:cs="Arial" w:eastAsia="Arial" w:hAnsi="Arial"/>
                <w:sz w:val="18"/>
                <w:szCs w:val="18"/>
                <w:color w:val="0000EE"/>
                <w:w w:val="96"/>
              </w:rPr>
              <w:t>Certification of the Chief Executive Officer pursuant</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1"/>
          </w:tcPr>
          <w:p>
            <w:pPr>
              <w:spacing w:after="0" w:line="196" w:lineRule="exact"/>
              <w:rPr>
                <w:sz w:val="20"/>
                <w:szCs w:val="20"/>
                <w:color w:val="auto"/>
              </w:rPr>
            </w:pPr>
            <w:r>
              <w:rPr>
                <w:rFonts w:ascii="Arial" w:cs="Arial" w:eastAsia="Arial" w:hAnsi="Arial"/>
                <w:sz w:val="18"/>
                <w:szCs w:val="18"/>
                <w:color w:val="0000EE"/>
                <w:w w:val="88"/>
              </w:rPr>
              <w:t>to 18 U.S.C. 1350, as adopted pursuant to Section</w:t>
            </w:r>
          </w:p>
        </w:tc>
        <w:tc>
          <w:tcPr>
            <w:tcW w:w="200" w:type="dxa"/>
            <w:vAlign w:val="bottom"/>
            <w:tcBorders>
              <w:top w:val="single" w:sz="8" w:color="0000EE"/>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8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1060" w:type="dxa"/>
            <w:vAlign w:val="bottom"/>
            <w:gridSpan w:val="24"/>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32.2</w:t>
            </w:r>
          </w:p>
        </w:tc>
        <w:tc>
          <w:tcPr>
            <w:tcW w:w="3760" w:type="dxa"/>
            <w:vAlign w:val="bottom"/>
            <w:tcBorders>
              <w:bottom w:val="single" w:sz="8" w:color="0000EE"/>
            </w:tcBorders>
            <w:gridSpan w:val="44"/>
          </w:tcPr>
          <w:p>
            <w:pPr>
              <w:spacing w:after="0" w:line="196" w:lineRule="exact"/>
              <w:rPr>
                <w:sz w:val="20"/>
                <w:szCs w:val="20"/>
                <w:color w:val="auto"/>
              </w:rPr>
            </w:pPr>
            <w:r>
              <w:rPr>
                <w:rFonts w:ascii="Arial" w:cs="Arial" w:eastAsia="Arial" w:hAnsi="Arial"/>
                <w:sz w:val="18"/>
                <w:szCs w:val="18"/>
                <w:color w:val="0000EE"/>
                <w:w w:val="92"/>
              </w:rPr>
              <w:t>Certification of the Chief Financial Officer pursuant</w:t>
            </w:r>
          </w:p>
        </w:tc>
        <w:tc>
          <w:tcPr>
            <w:tcW w:w="18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0" w:type="dxa"/>
            <w:vAlign w:val="bottom"/>
            <w:tcBorders>
              <w:bottom w:val="single" w:sz="8" w:color="0000EE"/>
            </w:tcBorders>
            <w:gridSpan w:val="41"/>
          </w:tcPr>
          <w:p>
            <w:pPr>
              <w:spacing w:after="0" w:line="196" w:lineRule="exact"/>
              <w:rPr>
                <w:sz w:val="20"/>
                <w:szCs w:val="20"/>
                <w:color w:val="auto"/>
              </w:rPr>
            </w:pPr>
            <w:r>
              <w:rPr>
                <w:rFonts w:ascii="Arial" w:cs="Arial" w:eastAsia="Arial" w:hAnsi="Arial"/>
                <w:sz w:val="18"/>
                <w:szCs w:val="18"/>
                <w:color w:val="0000EE"/>
                <w:w w:val="88"/>
              </w:rPr>
              <w:t>to 18 U.S.C. 1350, as adopted pursuant to Section</w:t>
            </w:r>
          </w:p>
        </w:tc>
        <w:tc>
          <w:tcPr>
            <w:tcW w:w="34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1100" w:type="dxa"/>
            <w:vAlign w:val="bottom"/>
            <w:gridSpan w:val="25"/>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101.INS</w:t>
            </w:r>
          </w:p>
        </w:tc>
        <w:tc>
          <w:tcPr>
            <w:tcW w:w="3940" w:type="dxa"/>
            <w:vAlign w:val="bottom"/>
            <w:gridSpan w:val="47"/>
          </w:tcPr>
          <w:p>
            <w:pPr>
              <w:spacing w:after="0"/>
              <w:rPr>
                <w:sz w:val="20"/>
                <w:szCs w:val="20"/>
                <w:color w:val="auto"/>
              </w:rPr>
            </w:pPr>
            <w:r>
              <w:rPr>
                <w:rFonts w:ascii="Arial" w:cs="Arial" w:eastAsia="Arial" w:hAnsi="Arial"/>
                <w:sz w:val="18"/>
                <w:szCs w:val="18"/>
                <w:color w:val="auto"/>
              </w:rPr>
              <w:t>Inline XBRL Instance Document</w:t>
            </w: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3940" w:type="dxa"/>
            <w:vAlign w:val="bottom"/>
            <w:gridSpan w:val="47"/>
          </w:tcPr>
          <w:p>
            <w:pPr>
              <w:spacing w:after="0"/>
              <w:rPr>
                <w:sz w:val="20"/>
                <w:szCs w:val="20"/>
                <w:color w:val="auto"/>
              </w:rPr>
            </w:pPr>
            <w:r>
              <w:rPr>
                <w:rFonts w:ascii="Arial" w:cs="Arial" w:eastAsia="Arial" w:hAnsi="Arial"/>
                <w:sz w:val="18"/>
                <w:szCs w:val="18"/>
                <w:color w:val="auto"/>
              </w:rPr>
              <w:t>Inline XBRL Taxonomy Extension Schema</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-4745990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-4745990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3" w:orient="portrait"/>
          <w:cols w:equalWidth="0" w:num="1">
            <w:col w:w="11420"/>
          </w:cols>
          <w:pgMar w:left="240" w:top="341" w:right="239" w:bottom="0" w:gutter="0" w:footer="0" w:header="0"/>
        </w:sectPr>
      </w:pPr>
    </w:p>
    <w:bookmarkStart w:id="77" w:name="page78"/>
    <w:bookmarkEnd w:id="77"/>
    <w:tbl>
      <w:tblPr>
        <w:tblLayout w:type="fixed"/>
        <w:tblInd w:w="240" w:type="dxa"/>
        <w:tblCellMar>
          <w:top w:w="0" w:type="dxa"/>
          <w:left w:w="0" w:type="dxa"/>
          <w:bottom w:w="0" w:type="dxa"/>
          <w:right w:w="0" w:type="dxa"/>
        </w:tblCellMar>
      </w:tblP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686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w:t>
            </w:r>
          </w:p>
        </w:tc>
        <w:tc>
          <w:tcPr>
            <w:tcW w:w="2980" w:type="dxa"/>
            <w:vAlign w:val="bottom"/>
          </w:tcPr>
          <w:p>
            <w:pPr>
              <w:ind w:left="2840"/>
              <w:spacing w:after="0"/>
              <w:rPr>
                <w:sz w:val="20"/>
                <w:szCs w:val="20"/>
                <w:color w:val="auto"/>
              </w:rPr>
            </w:pPr>
            <w:r>
              <w:rPr>
                <w:rFonts w:ascii="Arial" w:cs="Arial" w:eastAsia="Arial" w:hAnsi="Arial"/>
                <w:sz w:val="18"/>
                <w:szCs w:val="18"/>
                <w:color w:val="auto"/>
                <w:w w:val="99"/>
              </w:rPr>
              <w:t>X</w:t>
            </w:r>
          </w:p>
        </w:tc>
      </w:tr>
      <w:tr>
        <w:trPr>
          <w:trHeight w:val="216"/>
        </w:trPr>
        <w:tc>
          <w:tcPr>
            <w:tcW w:w="8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Linkbase</w:t>
            </w:r>
          </w:p>
        </w:tc>
        <w:tc>
          <w:tcPr>
            <w:tcW w:w="2980" w:type="dxa"/>
            <w:vAlign w:val="bottom"/>
          </w:tcPr>
          <w:p>
            <w:pPr>
              <w:spacing w:after="0"/>
              <w:rPr>
                <w:sz w:val="18"/>
                <w:szCs w:val="18"/>
                <w:color w:val="auto"/>
              </w:rPr>
            </w:pPr>
          </w:p>
        </w:tc>
      </w:tr>
      <w:tr>
        <w:trPr>
          <w:trHeight w:val="216"/>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101.DEF</w:t>
            </w:r>
          </w:p>
        </w:tc>
        <w:tc>
          <w:tcPr>
            <w:tcW w:w="68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w:t>
            </w:r>
          </w:p>
        </w:tc>
        <w:tc>
          <w:tcPr>
            <w:tcW w:w="2980" w:type="dxa"/>
            <w:vAlign w:val="bottom"/>
          </w:tcPr>
          <w:p>
            <w:pPr>
              <w:ind w:left="2840"/>
              <w:spacing w:after="0"/>
              <w:rPr>
                <w:sz w:val="20"/>
                <w:szCs w:val="20"/>
                <w:color w:val="auto"/>
              </w:rPr>
            </w:pPr>
            <w:r>
              <w:rPr>
                <w:rFonts w:ascii="Arial" w:cs="Arial" w:eastAsia="Arial" w:hAnsi="Arial"/>
                <w:sz w:val="18"/>
                <w:szCs w:val="18"/>
                <w:color w:val="auto"/>
                <w:w w:val="99"/>
              </w:rPr>
              <w:t>X</w:t>
            </w:r>
          </w:p>
        </w:tc>
      </w:tr>
      <w:tr>
        <w:trPr>
          <w:trHeight w:val="216"/>
        </w:trPr>
        <w:tc>
          <w:tcPr>
            <w:tcW w:w="8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2980" w:type="dxa"/>
            <w:vAlign w:val="bottom"/>
          </w:tcPr>
          <w:p>
            <w:pPr>
              <w:spacing w:after="0"/>
              <w:rPr>
                <w:sz w:val="18"/>
                <w:szCs w:val="18"/>
                <w:color w:val="auto"/>
              </w:rPr>
            </w:pP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8"/>
              </w:rPr>
              <w:t>101.LAB</w:t>
            </w:r>
          </w:p>
        </w:tc>
        <w:tc>
          <w:tcPr>
            <w:tcW w:w="68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w:t>
            </w:r>
          </w:p>
        </w:tc>
        <w:tc>
          <w:tcPr>
            <w:tcW w:w="2980" w:type="dxa"/>
            <w:vAlign w:val="bottom"/>
          </w:tcPr>
          <w:p>
            <w:pPr>
              <w:ind w:left="2840"/>
              <w:spacing w:after="0"/>
              <w:rPr>
                <w:sz w:val="20"/>
                <w:szCs w:val="20"/>
                <w:color w:val="auto"/>
              </w:rPr>
            </w:pPr>
            <w:r>
              <w:rPr>
                <w:rFonts w:ascii="Arial" w:cs="Arial" w:eastAsia="Arial" w:hAnsi="Arial"/>
                <w:sz w:val="18"/>
                <w:szCs w:val="18"/>
                <w:color w:val="auto"/>
                <w:w w:val="99"/>
              </w:rPr>
              <w:t>X</w:t>
            </w: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101.PRE</w:t>
            </w:r>
          </w:p>
        </w:tc>
        <w:tc>
          <w:tcPr>
            <w:tcW w:w="68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w:t>
            </w:r>
          </w:p>
        </w:tc>
        <w:tc>
          <w:tcPr>
            <w:tcW w:w="2980" w:type="dxa"/>
            <w:vAlign w:val="bottom"/>
          </w:tcPr>
          <w:p>
            <w:pPr>
              <w:ind w:left="2840"/>
              <w:spacing w:after="0"/>
              <w:rPr>
                <w:sz w:val="20"/>
                <w:szCs w:val="20"/>
                <w:color w:val="auto"/>
              </w:rPr>
            </w:pPr>
            <w:r>
              <w:rPr>
                <w:rFonts w:ascii="Arial" w:cs="Arial" w:eastAsia="Arial" w:hAnsi="Arial"/>
                <w:sz w:val="18"/>
                <w:szCs w:val="18"/>
                <w:color w:val="auto"/>
                <w:w w:val="99"/>
              </w:rPr>
              <w:t>X</w:t>
            </w:r>
          </w:p>
        </w:tc>
      </w:tr>
      <w:tr>
        <w:trPr>
          <w:trHeight w:val="216"/>
        </w:trPr>
        <w:tc>
          <w:tcPr>
            <w:tcW w:w="8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Linkbase</w:t>
            </w:r>
          </w:p>
        </w:tc>
        <w:tc>
          <w:tcPr>
            <w:tcW w:w="2980" w:type="dxa"/>
            <w:vAlign w:val="bottom"/>
          </w:tcPr>
          <w:p>
            <w:pPr>
              <w:spacing w:after="0"/>
              <w:rPr>
                <w:sz w:val="18"/>
                <w:szCs w:val="18"/>
                <w:color w:val="auto"/>
              </w:rPr>
            </w:pP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104</w:t>
            </w:r>
          </w:p>
        </w:tc>
        <w:tc>
          <w:tcPr>
            <w:tcW w:w="6860" w:type="dxa"/>
            <w:vAlign w:val="bottom"/>
          </w:tcPr>
          <w:p>
            <w:pPr>
              <w:ind w:left="180"/>
              <w:spacing w:after="0"/>
              <w:rPr>
                <w:sz w:val="20"/>
                <w:szCs w:val="20"/>
                <w:color w:val="auto"/>
              </w:rPr>
            </w:pPr>
            <w:r>
              <w:rPr>
                <w:rFonts w:ascii="Arial" w:cs="Arial" w:eastAsia="Arial" w:hAnsi="Arial"/>
                <w:sz w:val="18"/>
                <w:szCs w:val="18"/>
                <w:color w:val="auto"/>
              </w:rPr>
              <w:t>Cover Page Interactive Data File (formatted as Inline</w:t>
            </w:r>
          </w:p>
        </w:tc>
        <w:tc>
          <w:tcPr>
            <w:tcW w:w="2980" w:type="dxa"/>
            <w:vAlign w:val="bottom"/>
          </w:tcPr>
          <w:p>
            <w:pPr>
              <w:ind w:left="2840"/>
              <w:spacing w:after="0"/>
              <w:rPr>
                <w:sz w:val="20"/>
                <w:szCs w:val="20"/>
                <w:color w:val="auto"/>
              </w:rPr>
            </w:pPr>
            <w:r>
              <w:rPr>
                <w:rFonts w:ascii="Arial" w:cs="Arial" w:eastAsia="Arial" w:hAnsi="Arial"/>
                <w:sz w:val="18"/>
                <w:szCs w:val="18"/>
                <w:color w:val="auto"/>
                <w:w w:val="99"/>
              </w:rPr>
              <w:t>X</w:t>
            </w:r>
          </w:p>
        </w:tc>
      </w:tr>
      <w:tr>
        <w:trPr>
          <w:trHeight w:val="230"/>
        </w:trPr>
        <w:tc>
          <w:tcPr>
            <w:tcW w:w="84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XBRL and contained in Exhibit 101)</w:t>
            </w:r>
          </w:p>
        </w:tc>
        <w:tc>
          <w:tcPr>
            <w:tcW w:w="2980" w:type="dxa"/>
            <w:vAlign w:val="bottom"/>
          </w:tcPr>
          <w:p>
            <w:pPr>
              <w:spacing w:after="0"/>
              <w:rPr>
                <w:sz w:val="20"/>
                <w:szCs w:val="20"/>
                <w:color w:val="auto"/>
              </w:rPr>
            </w:pPr>
          </w:p>
        </w:tc>
      </w:tr>
    </w:tbl>
    <w:p>
      <w:pPr>
        <w:spacing w:after="0" w:line="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Indicates a management contract or compensatory plan or arrangement</w:t>
      </w:r>
    </w:p>
    <w:p>
      <w:pPr>
        <w:spacing w:after="0" w:line="163" w:lineRule="exact"/>
        <w:rPr>
          <w:rFonts w:ascii="Arial" w:cs="Arial" w:eastAsia="Arial" w:hAnsi="Arial"/>
          <w:sz w:val="30"/>
          <w:szCs w:val="30"/>
          <w:i w:val="1"/>
          <w:iCs w:val="1"/>
          <w:color w:val="auto"/>
          <w:vertAlign w:val="superscript"/>
        </w:rPr>
      </w:pPr>
    </w:p>
    <w:p>
      <w:pPr>
        <w:ind w:left="340" w:hanging="332"/>
        <w:spacing w:after="0" w:line="215" w:lineRule="auto"/>
        <w:tabs>
          <w:tab w:leader="none" w:pos="340" w:val="left"/>
        </w:tabs>
        <w:numPr>
          <w:ilvl w:val="0"/>
          <w:numId w:val="2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Confidential treatment has been granted for portions of this exhibit.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6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 October 30,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PHILIP SNOW</w:t>
            </w:r>
          </w:p>
        </w:tc>
      </w:tr>
      <w:tr>
        <w:trPr>
          <w:trHeight w:val="195"/>
        </w:trPr>
        <w:tc>
          <w:tcPr>
            <w:tcW w:w="5620" w:type="dxa"/>
            <w:vAlign w:val="bottom"/>
          </w:tcPr>
          <w:p>
            <w:pPr>
              <w:spacing w:after="0"/>
              <w:rPr>
                <w:sz w:val="16"/>
                <w:szCs w:val="16"/>
                <w:color w:val="auto"/>
              </w:rPr>
            </w:pPr>
          </w:p>
        </w:tc>
        <w:tc>
          <w:tcPr>
            <w:tcW w:w="5800" w:type="dxa"/>
            <w:vAlign w:val="bottom"/>
          </w:tcPr>
          <w:p>
            <w:pPr>
              <w:spacing w:after="0" w:line="195" w:lineRule="exact"/>
              <w:rPr>
                <w:sz w:val="20"/>
                <w:szCs w:val="20"/>
                <w:color w:val="auto"/>
              </w:rPr>
            </w:pPr>
            <w:r>
              <w:rPr>
                <w:rFonts w:ascii="Arial" w:cs="Arial" w:eastAsia="Arial" w:hAnsi="Arial"/>
                <w:sz w:val="18"/>
                <w:szCs w:val="18"/>
                <w:color w:val="auto"/>
              </w:rPr>
              <w:t>F. Philip Snow</w:t>
            </w:r>
          </w:p>
        </w:tc>
      </w:tr>
      <w:tr>
        <w:trPr>
          <w:trHeight w:val="230"/>
        </w:trPr>
        <w:tc>
          <w:tcPr>
            <w:tcW w:w="56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900" w:type="dxa"/>
            <w:vAlign w:val="bottom"/>
          </w:tcPr>
          <w:p>
            <w:pPr>
              <w:spacing w:after="0"/>
              <w:rPr>
                <w:sz w:val="18"/>
                <w:szCs w:val="18"/>
                <w:color w:val="auto"/>
              </w:rPr>
            </w:pPr>
          </w:p>
        </w:tc>
        <w:tc>
          <w:tcPr>
            <w:tcW w:w="5760" w:type="dxa"/>
            <w:vAlign w:val="bottom"/>
            <w:gridSpan w:val="3"/>
          </w:tcPr>
          <w:p>
            <w:pPr>
              <w:ind w:left="100"/>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 PHILIP SNOW</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F. Philip Snow</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HELEN L. SHAN</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Helen L. Shan</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T. MOSKOFF</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Controller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Gregory T. Moskoff</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A. HADLEY</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Chairman</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Philip A. Hadley</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A. ABRAMS</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Robin A. Abrams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A. BILLEADEAU</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Scott A. Billeadeau</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MALCOLM FRANK</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Malcolm Frank</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SHEILA B. JORDAN</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Sheila B. Jordan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MCGONIGLE</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James J. McGonigle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SIEGEL</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Laurie Siegel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R. ZIMMEL</w:t>
            </w:r>
          </w:p>
        </w:tc>
        <w:tc>
          <w:tcPr>
            <w:tcW w:w="5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October 30, 2019</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Joseph R. Zimmel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34"/>
        </w:trPr>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gridSpan w:val="3"/>
          </w:tcPr>
          <w:p>
            <w:pPr>
              <w:ind w:left="22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FactSet Research Systems, Inc.’s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subsidiaries of FactSet Research Systems Inc., a Delaware corporation, as of August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900" w:type="dxa"/>
            <w:vAlign w:val="bottom"/>
          </w:tcPr>
          <w:p>
            <w:pPr>
              <w:spacing w:after="0"/>
              <w:rPr>
                <w:sz w:val="20"/>
                <w:szCs w:val="20"/>
                <w:color w:val="auto"/>
              </w:rPr>
            </w:pPr>
            <w:r>
              <w:rPr>
                <w:rFonts w:ascii="Arial" w:cs="Arial" w:eastAsia="Arial" w:hAnsi="Arial"/>
                <w:sz w:val="18"/>
                <w:szCs w:val="18"/>
                <w:b w:val="1"/>
                <w:bCs w:val="1"/>
                <w:color w:val="auto"/>
                <w:w w:val="91"/>
              </w:rPr>
              <w:t>State or Country of Incorporation or Organization</w:t>
            </w:r>
          </w:p>
        </w:tc>
      </w:tr>
      <w:tr>
        <w:trPr>
          <w:trHeight w:val="438"/>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BI-SAM Inc.</w:t>
            </w:r>
          </w:p>
        </w:tc>
        <w:tc>
          <w:tcPr>
            <w:tcW w:w="4200" w:type="dxa"/>
            <w:vAlign w:val="bottom"/>
          </w:tcPr>
          <w:p>
            <w:pPr>
              <w:spacing w:after="0"/>
              <w:rPr>
                <w:sz w:val="24"/>
                <w:szCs w:val="24"/>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BI-SAM Limited</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BI-SAM Technologies, S.A.S.</w:t>
            </w:r>
          </w:p>
        </w:tc>
        <w:tc>
          <w:tcPr>
            <w:tcW w:w="39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Bravo Consult EOOD</w:t>
            </w:r>
          </w:p>
        </w:tc>
        <w:tc>
          <w:tcPr>
            <w:tcW w:w="3900" w:type="dxa"/>
            <w:vAlign w:val="bottom"/>
          </w:tcPr>
          <w:p>
            <w:pPr>
              <w:spacing w:after="0"/>
              <w:rPr>
                <w:sz w:val="20"/>
                <w:szCs w:val="20"/>
                <w:color w:val="auto"/>
              </w:rPr>
            </w:pPr>
            <w:r>
              <w:rPr>
                <w:rFonts w:ascii="Arial" w:cs="Arial" w:eastAsia="Arial" w:hAnsi="Arial"/>
                <w:sz w:val="18"/>
                <w:szCs w:val="18"/>
                <w:color w:val="auto"/>
              </w:rPr>
              <w:t>Bulgaria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Code Red, Inc.</w:t>
            </w:r>
          </w:p>
        </w:tc>
        <w:tc>
          <w:tcPr>
            <w:tcW w:w="390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Cymba Technologies Limited</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Benelux B.V.</w:t>
            </w:r>
          </w:p>
        </w:tc>
        <w:tc>
          <w:tcPr>
            <w:tcW w:w="39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Brasil Consultoria Ltda</w:t>
            </w:r>
          </w:p>
        </w:tc>
        <w:tc>
          <w:tcPr>
            <w:tcW w:w="39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Canada, Inc.</w:t>
            </w:r>
          </w:p>
        </w:tc>
        <w:tc>
          <w:tcPr>
            <w:tcW w:w="39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China Co., Ltd.</w:t>
            </w:r>
          </w:p>
        </w:tc>
        <w:tc>
          <w:tcPr>
            <w:tcW w:w="39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Data Systems, Inc.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Switzerland AG</w:t>
            </w:r>
          </w:p>
        </w:tc>
        <w:tc>
          <w:tcPr>
            <w:tcW w:w="39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Digital Solutions Ltd.</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Digital Solutions Oy</w:t>
            </w:r>
          </w:p>
        </w:tc>
        <w:tc>
          <w:tcPr>
            <w:tcW w:w="3900" w:type="dxa"/>
            <w:vAlign w:val="bottom"/>
          </w:tcPr>
          <w:p>
            <w:pPr>
              <w:spacing w:after="0"/>
              <w:rPr>
                <w:sz w:val="20"/>
                <w:szCs w:val="20"/>
                <w:color w:val="auto"/>
              </w:rPr>
            </w:pPr>
            <w:r>
              <w:rPr>
                <w:rFonts w:ascii="Arial" w:cs="Arial" w:eastAsia="Arial" w:hAnsi="Arial"/>
                <w:sz w:val="18"/>
                <w:szCs w:val="18"/>
                <w:color w:val="auto"/>
              </w:rPr>
              <w:t>Finland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Digital Solutions, LLC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Europe Limited</w:t>
            </w:r>
          </w:p>
        </w:tc>
        <w:tc>
          <w:tcPr>
            <w:tcW w:w="3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Europe S.à.r.l.</w:t>
            </w:r>
          </w:p>
        </w:tc>
        <w:tc>
          <w:tcPr>
            <w:tcW w:w="390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France Inc.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France S.a.r.l</w:t>
            </w:r>
          </w:p>
        </w:tc>
        <w:tc>
          <w:tcPr>
            <w:tcW w:w="39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GmbH</w:t>
            </w:r>
          </w:p>
        </w:tc>
        <w:tc>
          <w:tcPr>
            <w:tcW w:w="39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Hong Kong Limited</w:t>
            </w:r>
          </w:p>
        </w:tc>
        <w:tc>
          <w:tcPr>
            <w:tcW w:w="390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Ireland Limited</w:t>
            </w:r>
          </w:p>
        </w:tc>
        <w:tc>
          <w:tcPr>
            <w:tcW w:w="390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Italia S.R.l.</w:t>
            </w:r>
          </w:p>
        </w:tc>
        <w:tc>
          <w:tcPr>
            <w:tcW w:w="39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JCF</w:t>
            </w:r>
          </w:p>
        </w:tc>
        <w:tc>
          <w:tcPr>
            <w:tcW w:w="39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Limited</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Mergerstat, LLC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Pacific, Inc.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Pacific, Inc.</w:t>
            </w:r>
          </w:p>
        </w:tc>
        <w:tc>
          <w:tcPr>
            <w:tcW w:w="39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Pacific, Inc.</w:t>
            </w:r>
          </w:p>
        </w:tc>
        <w:tc>
          <w:tcPr>
            <w:tcW w:w="39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Philippines, Inc.</w:t>
            </w:r>
          </w:p>
        </w:tc>
        <w:tc>
          <w:tcPr>
            <w:tcW w:w="390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Research Limited</w:t>
            </w:r>
          </w:p>
        </w:tc>
        <w:tc>
          <w:tcPr>
            <w:tcW w:w="3900" w:type="dxa"/>
            <w:vAlign w:val="bottom"/>
          </w:tcPr>
          <w:p>
            <w:pPr>
              <w:spacing w:after="0"/>
              <w:rPr>
                <w:sz w:val="20"/>
                <w:szCs w:val="20"/>
                <w:color w:val="auto"/>
              </w:rPr>
            </w:pPr>
            <w:r>
              <w:rPr>
                <w:rFonts w:ascii="Arial" w:cs="Arial" w:eastAsia="Arial" w:hAnsi="Arial"/>
                <w:sz w:val="18"/>
                <w:szCs w:val="18"/>
                <w:color w:val="auto"/>
              </w:rPr>
              <w:t>New York</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Research Systems South Africa Pty. Ltd.</w:t>
            </w:r>
          </w:p>
        </w:tc>
        <w:tc>
          <w:tcPr>
            <w:tcW w:w="390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Singapore Pte. Ltd.</w:t>
            </w:r>
          </w:p>
        </w:tc>
        <w:tc>
          <w:tcPr>
            <w:tcW w:w="39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Spain SL</w:t>
            </w:r>
          </w:p>
        </w:tc>
        <w:tc>
          <w:tcPr>
            <w:tcW w:w="390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Sweden AB</w:t>
            </w:r>
          </w:p>
        </w:tc>
        <w:tc>
          <w:tcPr>
            <w:tcW w:w="390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Systems India Private Limited</w:t>
            </w:r>
          </w:p>
        </w:tc>
        <w:tc>
          <w:tcPr>
            <w:tcW w:w="39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(UAE) LLC</w:t>
            </w:r>
          </w:p>
        </w:tc>
        <w:tc>
          <w:tcPr>
            <w:tcW w:w="39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FactSet UK Limited</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FinAnalytica Inc.</w:t>
            </w:r>
          </w:p>
        </w:tc>
        <w:tc>
          <w:tcPr>
            <w:tcW w:w="39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LionShares Europe S.A.S.</w:t>
            </w:r>
          </w:p>
        </w:tc>
        <w:tc>
          <w:tcPr>
            <w:tcW w:w="39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P.A.N. Securities, L.P.</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Portware International, LLC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Portware International, LLC</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Portware, LLC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PTS NET, LLC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SIA FactSet Latvia</w:t>
            </w:r>
          </w:p>
        </w:tc>
        <w:tc>
          <w:tcPr>
            <w:tcW w:w="3900" w:type="dxa"/>
            <w:vAlign w:val="bottom"/>
          </w:tcPr>
          <w:p>
            <w:pPr>
              <w:spacing w:after="0"/>
              <w:rPr>
                <w:sz w:val="20"/>
                <w:szCs w:val="20"/>
                <w:color w:val="auto"/>
              </w:rPr>
            </w:pPr>
            <w:r>
              <w:rPr>
                <w:rFonts w:ascii="Arial" w:cs="Arial" w:eastAsia="Arial" w:hAnsi="Arial"/>
                <w:sz w:val="18"/>
                <w:szCs w:val="18"/>
                <w:color w:val="auto"/>
              </w:rPr>
              <w:t>Latvia</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StreetAccount LLC</w:t>
            </w:r>
          </w:p>
        </w:tc>
        <w:tc>
          <w:tcPr>
            <w:tcW w:w="3900" w:type="dxa"/>
            <w:vAlign w:val="bottom"/>
          </w:tcPr>
          <w:p>
            <w:pPr>
              <w:spacing w:after="0"/>
              <w:rPr>
                <w:sz w:val="20"/>
                <w:szCs w:val="20"/>
                <w:color w:val="auto"/>
              </w:rPr>
            </w:pPr>
            <w:r>
              <w:rPr>
                <w:rFonts w:ascii="Arial" w:cs="Arial" w:eastAsia="Arial" w:hAnsi="Arial"/>
                <w:sz w:val="18"/>
                <w:szCs w:val="18"/>
                <w:color w:val="auto"/>
              </w:rPr>
              <w:t>Wyoming</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Vermilion Holdings Limited</w:t>
            </w:r>
          </w:p>
        </w:tc>
        <w:tc>
          <w:tcPr>
            <w:tcW w:w="3900" w:type="dxa"/>
            <w:vAlign w:val="bottom"/>
          </w:tcPr>
          <w:p>
            <w:pPr>
              <w:spacing w:after="0"/>
              <w:rPr>
                <w:sz w:val="20"/>
                <w:szCs w:val="20"/>
                <w:color w:val="auto"/>
              </w:rPr>
            </w:pPr>
            <w:r>
              <w:rPr>
                <w:rFonts w:ascii="Arial" w:cs="Arial" w:eastAsia="Arial" w:hAnsi="Arial"/>
                <w:sz w:val="18"/>
                <w:szCs w:val="18"/>
                <w:color w:val="auto"/>
              </w:rPr>
              <w:t>Scotland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Vermilion Software Inc.</w:t>
            </w:r>
          </w:p>
        </w:tc>
        <w:tc>
          <w:tcPr>
            <w:tcW w:w="3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Vermilion Software Limited</w:t>
            </w:r>
          </w:p>
        </w:tc>
        <w:tc>
          <w:tcPr>
            <w:tcW w:w="3900" w:type="dxa"/>
            <w:vAlign w:val="bottom"/>
          </w:tcPr>
          <w:p>
            <w:pPr>
              <w:spacing w:after="0"/>
              <w:rPr>
                <w:sz w:val="20"/>
                <w:szCs w:val="20"/>
                <w:color w:val="auto"/>
              </w:rPr>
            </w:pPr>
            <w:r>
              <w:rPr>
                <w:rFonts w:ascii="Arial" w:cs="Arial" w:eastAsia="Arial" w:hAnsi="Arial"/>
                <w:sz w:val="18"/>
                <w:szCs w:val="18"/>
                <w:color w:val="auto"/>
              </w:rPr>
              <w:t>England / Wales</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Vermilion Software PTE</w:t>
            </w:r>
          </w:p>
        </w:tc>
        <w:tc>
          <w:tcPr>
            <w:tcW w:w="3900" w:type="dxa"/>
            <w:vAlign w:val="bottom"/>
          </w:tcPr>
          <w:p>
            <w:pPr>
              <w:spacing w:after="0"/>
              <w:rPr>
                <w:sz w:val="20"/>
                <w:szCs w:val="20"/>
                <w:color w:val="auto"/>
              </w:rPr>
            </w:pPr>
            <w:r>
              <w:rPr>
                <w:rFonts w:ascii="Arial" w:cs="Arial" w:eastAsia="Arial" w:hAnsi="Arial"/>
                <w:sz w:val="18"/>
                <w:szCs w:val="18"/>
                <w:color w:val="auto"/>
              </w:rPr>
              <w:t>Singapore</w:t>
            </w:r>
          </w:p>
        </w:tc>
      </w:tr>
    </w:tbl>
    <w:p>
      <w:pPr>
        <w:spacing w:after="0" w:line="344"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This list includes companies owned (directly or indirectly) or controlled by FactSet Research Systems Inc.</w:t>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(Forms S-8 Nos. 333-222532, 333-201498, 333-171667, 333-156649 and 333-134298) of our reports dated October 30, 2019, with respect to the consolidated financial statements and schedule of FactSet Research Systems Inc., and the effectiveness of internal control over financial reporting of FactSet Research Systems Inc., included in this Annual Report (Form 10-K) for the year ended August 31,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RNST</w:t>
      </w:r>
      <w:r>
        <w:rPr>
          <w:rFonts w:ascii="Arial" w:cs="Arial" w:eastAsia="Arial" w:hAnsi="Arial"/>
          <w:sz w:val="18"/>
          <w:szCs w:val="18"/>
          <w:color w:val="auto"/>
        </w:rPr>
        <w:t xml:space="preserve"> &amp; Y</w:t>
      </w:r>
      <w:r>
        <w:rPr>
          <w:rFonts w:ascii="Arial" w:cs="Arial" w:eastAsia="Arial" w:hAnsi="Arial"/>
          <w:sz w:val="12"/>
          <w:szCs w:val="12"/>
          <w:color w:val="auto"/>
        </w:rPr>
        <w:t>OUNG</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139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23139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225" w:lineRule="exact"/>
        <w:rPr>
          <w:rFonts w:ascii="Arial" w:cs="Arial" w:eastAsia="Arial" w:hAnsi="Arial"/>
          <w:sz w:val="18"/>
          <w:szCs w:val="18"/>
          <w:color w:val="auto"/>
        </w:rPr>
      </w:pPr>
    </w:p>
    <w:p>
      <w:pPr>
        <w:jc w:val="both"/>
        <w:ind w:left="240" w:right="180" w:hanging="232"/>
        <w:spacing w:after="0" w:line="342" w:lineRule="auto"/>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40" w:hanging="232"/>
        <w:spacing w:after="0" w:line="264"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38" w:lineRule="auto"/>
        <w:tabs>
          <w:tab w:leader="none" w:pos="660" w:val="left"/>
        </w:tabs>
        <w:numPr>
          <w:ilvl w:val="1"/>
          <w:numId w:val="31"/>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22"/>
          <w:szCs w:val="22"/>
          <w:color w:val="auto"/>
        </w:rPr>
      </w:pPr>
    </w:p>
    <w:p>
      <w:pPr>
        <w:ind w:left="660" w:right="6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F. P</w:t>
      </w:r>
      <w:r>
        <w:rPr>
          <w:rFonts w:ascii="Arial" w:cs="Arial" w:eastAsia="Arial" w:hAnsi="Arial"/>
          <w:sz w:val="12"/>
          <w:szCs w:val="12"/>
          <w:color w:val="auto"/>
        </w:rPr>
        <w:t>HILIP</w:t>
      </w:r>
      <w:r>
        <w:rPr>
          <w:rFonts w:ascii="Arial" w:cs="Arial" w:eastAsia="Arial" w:hAnsi="Arial"/>
          <w:sz w:val="18"/>
          <w:szCs w:val="18"/>
          <w:color w:val="auto"/>
        </w:rPr>
        <w:t xml:space="preserve"> S</w:t>
      </w:r>
      <w:r>
        <w:rPr>
          <w:rFonts w:ascii="Arial" w:cs="Arial" w:eastAsia="Arial" w:hAnsi="Arial"/>
          <w:sz w:val="12"/>
          <w:szCs w:val="12"/>
          <w:color w:val="auto"/>
        </w:rPr>
        <w:t>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225" w:lineRule="exact"/>
        <w:rPr>
          <w:rFonts w:ascii="Arial" w:cs="Arial" w:eastAsia="Arial" w:hAnsi="Arial"/>
          <w:sz w:val="18"/>
          <w:szCs w:val="18"/>
          <w:color w:val="auto"/>
        </w:rPr>
      </w:pPr>
    </w:p>
    <w:p>
      <w:pPr>
        <w:jc w:val="both"/>
        <w:ind w:left="340" w:right="10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38" w:lineRule="auto"/>
        <w:tabs>
          <w:tab w:leader="none" w:pos="660" w:val="left"/>
        </w:tabs>
        <w:numPr>
          <w:ilvl w:val="1"/>
          <w:numId w:val="32"/>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2"/>
          <w:szCs w:val="22"/>
          <w:color w:val="auto"/>
        </w:rPr>
      </w:pPr>
    </w:p>
    <w:p>
      <w:pPr>
        <w:ind w:left="660" w:right="60" w:hanging="328"/>
        <w:spacing w:after="0" w:line="238" w:lineRule="auto"/>
        <w:tabs>
          <w:tab w:leader="none" w:pos="660" w:val="left"/>
        </w:tabs>
        <w:numPr>
          <w:ilvl w:val="1"/>
          <w:numId w:val="32"/>
        </w:numPr>
        <w:rPr>
          <w:rFonts w:ascii="Arial" w:cs="Arial" w:eastAsia="Arial" w:hAnsi="Arial"/>
          <w:sz w:val="22"/>
          <w:szCs w:val="22"/>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22"/>
          <w:szCs w:val="22"/>
          <w:color w:val="auto"/>
        </w:rPr>
      </w:pPr>
    </w:p>
    <w:p>
      <w:pPr>
        <w:ind w:left="660" w:right="10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right="160" w:hanging="328"/>
        <w:spacing w:after="0" w:line="238" w:lineRule="auto"/>
        <w:tabs>
          <w:tab w:leader="none" w:pos="660" w:val="left"/>
        </w:tabs>
        <w:numPr>
          <w:ilvl w:val="1"/>
          <w:numId w:val="32"/>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2"/>
          <w:szCs w:val="22"/>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51" w:lineRule="auto"/>
        <w:tabs>
          <w:tab w:leader="none" w:pos="660" w:val="left"/>
        </w:tabs>
        <w:numPr>
          <w:ilvl w:val="1"/>
          <w:numId w:val="32"/>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21"/>
          <w:szCs w:val="21"/>
          <w:color w:val="auto"/>
        </w:rPr>
      </w:pPr>
    </w:p>
    <w:p>
      <w:pPr>
        <w:ind w:left="660" w:right="40" w:hanging="328"/>
        <w:spacing w:after="0" w:line="232" w:lineRule="auto"/>
        <w:tabs>
          <w:tab w:leader="none" w:pos="660" w:val="left"/>
        </w:tabs>
        <w:numPr>
          <w:ilvl w:val="1"/>
          <w:numId w:val="32"/>
        </w:numPr>
        <w:rPr>
          <w:rFonts w:ascii="Arial" w:cs="Arial" w:eastAsia="Arial" w:hAnsi="Arial"/>
          <w:sz w:val="22"/>
          <w:szCs w:val="22"/>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24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40" w:firstLine="661"/>
        <w:spacing w:after="0" w:line="264" w:lineRule="auto"/>
        <w:rPr>
          <w:sz w:val="20"/>
          <w:szCs w:val="20"/>
          <w:color w:val="auto"/>
        </w:rPr>
      </w:pPr>
      <w:r>
        <w:rPr>
          <w:rFonts w:ascii="Arial" w:cs="Arial" w:eastAsia="Arial" w:hAnsi="Arial"/>
          <w:sz w:val="18"/>
          <w:szCs w:val="18"/>
          <w:color w:val="auto"/>
        </w:rPr>
        <w:t>In connection with the Annual Report of FactSet Research Systems Inc. (the “Company”) on Form 10-K for the fiscal year ended August 31, 2019, as filed with the Securities and Exchange Commission on the date hereof (the “Report”), I, F. Philip Snow, do hereby certify, pursuant to 18 U.S.C. Section 1350, as adopted pursuant to Section 906 of the Sarbanes-Oxley Act of 2002, that, to my knowledge:</w:t>
      </w:r>
    </w:p>
    <w:p>
      <w:pPr>
        <w:spacing w:after="0" w:line="181" w:lineRule="exact"/>
        <w:rPr>
          <w:sz w:val="20"/>
          <w:szCs w:val="20"/>
          <w:color w:val="auto"/>
        </w:rPr>
      </w:pPr>
    </w:p>
    <w:p>
      <w:pPr>
        <w:ind w:left="920" w:hanging="251"/>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51"/>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w:t>
      </w:r>
      <w:r>
        <w:rPr>
          <w:rFonts w:ascii="Arial" w:cs="Arial" w:eastAsia="Arial" w:hAnsi="Arial"/>
          <w:sz w:val="12"/>
          <w:szCs w:val="12"/>
          <w:color w:val="auto"/>
        </w:rPr>
        <w:t>HILIP</w:t>
      </w:r>
      <w:r>
        <w:rPr>
          <w:rFonts w:ascii="Arial" w:cs="Arial" w:eastAsia="Arial" w:hAnsi="Arial"/>
          <w:sz w:val="18"/>
          <w:szCs w:val="18"/>
          <w:color w:val="auto"/>
        </w:rPr>
        <w:t xml:space="preserve"> S</w:t>
      </w:r>
      <w:r>
        <w:rPr>
          <w:rFonts w:ascii="Arial" w:cs="Arial" w:eastAsia="Arial" w:hAnsi="Arial"/>
          <w:sz w:val="12"/>
          <w:szCs w:val="12"/>
          <w:color w:val="auto"/>
        </w:rPr>
        <w:t>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firstLine="661"/>
        <w:spacing w:after="0" w:line="264" w:lineRule="auto"/>
        <w:rPr>
          <w:sz w:val="20"/>
          <w:szCs w:val="20"/>
          <w:color w:val="auto"/>
        </w:rPr>
      </w:pPr>
      <w:r>
        <w:rPr>
          <w:rFonts w:ascii="Arial" w:cs="Arial" w:eastAsia="Arial" w:hAnsi="Arial"/>
          <w:sz w:val="18"/>
          <w:szCs w:val="18"/>
          <w:color w:val="auto"/>
        </w:rPr>
        <w:t>In connection with the Annual Report of FactSet Research Systems Inc. (the “Company”) on Form 10-K for the fiscal year ended August 31, 2019 as filed with the Securities and Exchange Commission on the date hereof (the “Report”), I, Helen L. Shan, do hereby certify, pursuant to 18 U.S.C. Section 1350, as adopted pursuant to Section 906 of the Sarbanes-Oxley Act of 2002, that, to my knowledge:</w:t>
      </w:r>
    </w:p>
    <w:p>
      <w:pPr>
        <w:spacing w:after="0" w:line="181" w:lineRule="exact"/>
        <w:rPr>
          <w:sz w:val="20"/>
          <w:szCs w:val="20"/>
          <w:color w:val="auto"/>
        </w:rPr>
      </w:pPr>
    </w:p>
    <w:p>
      <w:pPr>
        <w:ind w:left="920" w:hanging="251"/>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51"/>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045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2"/>
    </w:lvl>
  </w:abstractNum>
  <w:abstractNum w:abstractNumId="21">
    <w:nsid w:val="2CA88611"/>
    <w:multiLevelType w:val="hybridMultilevel"/>
    <w:lvl w:ilvl="0">
      <w:lvlJc w:val="left"/>
      <w:lvlText w:val="%1."/>
      <w:numFmt w:val="decimal"/>
      <w:start w:val="14"/>
    </w:lvl>
  </w:abstractNum>
  <w:abstractNum w:abstractNumId="22">
    <w:nsid w:val="836C40E"/>
    <w:multiLevelType w:val="hybridMultilevel"/>
    <w:lvl w:ilvl="0">
      <w:lvlJc w:val="left"/>
      <w:lvlText w:val="%1."/>
      <w:numFmt w:val="decimal"/>
      <w:start w:val="15"/>
    </w:lvl>
  </w:abstractNum>
  <w:abstractNum w:abstractNumId="23">
    <w:nsid w:val="2901D82"/>
    <w:multiLevelType w:val="hybridMultilevel"/>
    <w:lvl w:ilvl="0">
      <w:lvlJc w:val="left"/>
      <w:lvlText w:val="%1."/>
      <w:numFmt w:val="decimal"/>
      <w:start w:val="20"/>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lvl w:ilvl="1">
      <w:lvlJc w:val="left"/>
      <w:lvlText w:val="%2."/>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34" Type="http://schemas.openxmlformats.org/officeDocument/2006/relationships/hyperlink" Target="http://www.sec.gov/Archives/edgar/data/1013237/0000950112-96-002172.txt" TargetMode="External"/><Relationship Id="rId135" Type="http://schemas.openxmlformats.org/officeDocument/2006/relationships/hyperlink" Target="http://www.sec.gov/Archives/edgar/data/1013237/000101323701500062/exhibit3_12.htm" TargetMode="External"/><Relationship Id="rId136" Type="http://schemas.openxmlformats.org/officeDocument/2006/relationships/hyperlink" Target="http://www.sec.gov/Archives/edgar/data/1013237/000143774911009546/ex3-1.htm" TargetMode="External"/><Relationship Id="rId137" Type="http://schemas.openxmlformats.org/officeDocument/2006/relationships/hyperlink" Target="http://www.sec.gov/Archives/edgar/data/1013237/000143774918016673/ex_123329.htm" TargetMode="External"/><Relationship Id="rId138" Type="http://schemas.openxmlformats.org/officeDocument/2006/relationships/hyperlink" Target="http://www.sec.gov/Archives/edgar/data/1013237/000119312504192500/ddef14a.htm" TargetMode="External"/><Relationship Id="rId139" Type="http://schemas.openxmlformats.org/officeDocument/2006/relationships/hyperlink" Target="http://www.sec.gov/Archives/edgar/data/1013237/000119312510274624/ddefr14a.htm#tx105689_29" TargetMode="External"/><Relationship Id="rId140" Type="http://schemas.openxmlformats.org/officeDocument/2006/relationships/hyperlink" Target="http://www.sec.gov/Archives/edgar/data/1013237/000143774917021030/ex_102391.htm" TargetMode="External"/><Relationship Id="rId141" Type="http://schemas.openxmlformats.org/officeDocument/2006/relationships/hyperlink" Target="http://www.sec.gov/Archives/edgar/data/1013237/000119312508220394/ddef14a.htm#tx59473_27" TargetMode="External"/><Relationship Id="rId142" Type="http://schemas.openxmlformats.org/officeDocument/2006/relationships/hyperlink" Target="http://www.sec.gov/Archives/edgar/data/1013237/000143774917021030/ex_102392.htm" TargetMode="External"/><Relationship Id="rId143" Type="http://schemas.openxmlformats.org/officeDocument/2006/relationships/hyperlink" Target="http://www.sec.gov/Archives/edgar/data/1013237/000143774918006528/ex_109818.htm" TargetMode="External"/><Relationship Id="rId144" Type="http://schemas.openxmlformats.org/officeDocument/2006/relationships/hyperlink" Target="http://www.sec.gov/Archives/edgar/data/1013237/000143774919006616/ex_139950.htm" TargetMode="External"/><Relationship Id="rId145" Type="http://schemas.openxmlformats.org/officeDocument/2006/relationships/hyperlink" Target="http://www.sec.gov/Archives/edgar/data/1013237/000143774919013742/ex_1493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2020-01-09T05:33:52Z</dcterms:created>
  <dcterms:modified xsi:type="dcterms:W3CDTF">2020-01-09T05:33:52Z</dcterms:modified>
</cp:coreProperties>
</file>