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43" w:lineRule="exact"/>
        <w:rPr>
          <w:sz w:val="24"/>
          <w:szCs w:val="24"/>
          <w:color w:val="auto"/>
        </w:rPr>
      </w:pPr>
    </w:p>
    <w:p>
      <w:pPr>
        <w:ind w:left="460" w:hanging="434"/>
        <w:spacing w:after="0"/>
        <w:tabs>
          <w:tab w:leader="none" w:pos="46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November 30, 2023</w:t>
      </w:r>
    </w:p>
    <w:p>
      <w:pPr>
        <w:spacing w:after="0" w:line="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3900" w:right="1620" w:hanging="3874"/>
        <w:spacing w:after="0" w:line="423" w:lineRule="auto"/>
        <w:tabs>
          <w:tab w:leader="none" w:pos="458"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______to ______</w:t>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1-11869</w:t>
      </w:r>
    </w:p>
    <w:p>
      <w:pPr>
        <w:spacing w:after="0" w:line="3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FACTSET RESEARCH SYSTEMS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14145" cy="257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145" cy="257175"/>
                    </a:xfrm>
                    <a:prstGeom prst="rect">
                      <a:avLst/>
                    </a:prstGeom>
                    <a:noFill/>
                  </pic:spPr>
                </pic:pic>
              </a:graphicData>
            </a:graphic>
          </wp:anchor>
        </w:drawing>
      </w:r>
    </w:p>
    <w:p>
      <w:pPr>
        <w:spacing w:after="0" w:line="200" w:lineRule="exact"/>
        <w:rPr>
          <w:sz w:val="24"/>
          <w:szCs w:val="24"/>
          <w:color w:val="auto"/>
        </w:rPr>
      </w:pPr>
    </w:p>
    <w:p>
      <w:pPr>
        <w:spacing w:after="0" w:line="378" w:lineRule="exact"/>
        <w:rPr>
          <w:sz w:val="24"/>
          <w:szCs w:val="24"/>
          <w:color w:val="auto"/>
        </w:rPr>
      </w:pPr>
    </w:p>
    <w:tbl>
      <w:tblPr>
        <w:tblLayout w:type="fixed"/>
        <w:tblInd w:w="1240" w:type="dxa"/>
        <w:tblCellMar>
          <w:top w:w="0" w:type="dxa"/>
          <w:left w:w="0" w:type="dxa"/>
          <w:bottom w:w="0" w:type="dxa"/>
          <w:right w:w="0" w:type="dxa"/>
        </w:tblCellMar>
      </w:tblPr>
      <w:tr>
        <w:trPr>
          <w:trHeight w:val="210"/>
        </w:trPr>
        <w:tc>
          <w:tcPr>
            <w:tcW w:w="6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tc>
        <w:tc>
          <w:tcPr>
            <w:tcW w:w="1400" w:type="dxa"/>
            <w:vAlign w:val="bottom"/>
          </w:tcPr>
          <w:p>
            <w:pPr>
              <w:spacing w:after="0"/>
              <w:rPr>
                <w:sz w:val="18"/>
                <w:szCs w:val="18"/>
                <w:color w:val="auto"/>
              </w:rPr>
            </w:pPr>
          </w:p>
        </w:tc>
      </w:tr>
      <w:tr>
        <w:trPr>
          <w:trHeight w:val="258"/>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13-3362547</w:t>
            </w:r>
          </w:p>
        </w:tc>
      </w:tr>
      <w:tr>
        <w:trPr>
          <w:trHeight w:val="180"/>
        </w:trPr>
        <w:tc>
          <w:tcPr>
            <w:tcW w:w="6440" w:type="dxa"/>
            <w:vAlign w:val="bottom"/>
          </w:tcPr>
          <w:p>
            <w:pPr>
              <w:jc w:val="center"/>
              <w:ind w:right="3232"/>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4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60"/>
        </w:trPr>
        <w:tc>
          <w:tcPr>
            <w:tcW w:w="6440" w:type="dxa"/>
            <w:vAlign w:val="bottom"/>
          </w:tcPr>
          <w:p>
            <w:pPr>
              <w:jc w:val="center"/>
              <w:ind w:right="3212"/>
              <w:spacing w:after="0"/>
              <w:rPr>
                <w:sz w:val="20"/>
                <w:szCs w:val="20"/>
                <w:color w:val="auto"/>
              </w:rPr>
            </w:pPr>
            <w:r>
              <w:rPr>
                <w:rFonts w:ascii="Times New Roman" w:cs="Times New Roman" w:eastAsia="Times New Roman" w:hAnsi="Times New Roman"/>
                <w:sz w:val="18"/>
                <w:szCs w:val="18"/>
                <w:b w:val="1"/>
                <w:bCs w:val="1"/>
                <w:color w:val="auto"/>
                <w:w w:val="99"/>
              </w:rPr>
              <w:t>45 Glover Avenue, Norwalk, Connecticut</w:t>
            </w:r>
          </w:p>
        </w:tc>
        <w:tc>
          <w:tcPr>
            <w:tcW w:w="14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06850</w:t>
            </w:r>
          </w:p>
        </w:tc>
      </w:tr>
      <w:tr>
        <w:trPr>
          <w:trHeight w:val="256"/>
        </w:trPr>
        <w:tc>
          <w:tcPr>
            <w:tcW w:w="6440" w:type="dxa"/>
            <w:vAlign w:val="bottom"/>
          </w:tcPr>
          <w:p>
            <w:pPr>
              <w:jc w:val="center"/>
              <w:ind w:right="3232"/>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(203) 810-1000</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 None</w:t>
      </w:r>
    </w:p>
    <w:p>
      <w:pPr>
        <w:spacing w:after="0" w:line="100"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6"/>
          <w:szCs w:val="16"/>
          <w:color w:val="auto"/>
        </w:rPr>
        <w:t>_________________________________________________</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9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Symbols(s)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44"/>
        </w:trPr>
        <w:tc>
          <w:tcPr>
            <w:tcW w:w="3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FDS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 LLC</w:t>
            </w:r>
          </w:p>
        </w:tc>
        <w:tc>
          <w:tcPr>
            <w:tcW w:w="0" w:type="dxa"/>
            <w:vAlign w:val="bottom"/>
          </w:tcPr>
          <w:p>
            <w:pPr>
              <w:spacing w:after="0"/>
              <w:rPr>
                <w:sz w:val="1"/>
                <w:szCs w:val="1"/>
                <w:color w:val="auto"/>
              </w:rPr>
            </w:pPr>
          </w:p>
        </w:tc>
      </w:tr>
      <w:tr>
        <w:trPr>
          <w:trHeight w:val="108"/>
        </w:trPr>
        <w:tc>
          <w:tcPr>
            <w:tcW w:w="3260" w:type="dxa"/>
            <w:vAlign w:val="bottom"/>
            <w:tcBorders>
              <w:left w:val="single" w:sz="8" w:color="auto"/>
              <w:right w:val="single" w:sz="8" w:color="auto"/>
            </w:tcBorders>
            <w:vMerge w:val="continue"/>
          </w:tcPr>
          <w:p>
            <w:pPr>
              <w:spacing w:after="0"/>
              <w:rPr>
                <w:sz w:val="9"/>
                <w:szCs w:val="9"/>
                <w:color w:val="auto"/>
              </w:rPr>
            </w:pPr>
          </w:p>
        </w:tc>
        <w:tc>
          <w:tcPr>
            <w:tcW w:w="296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The Nasdaq Stock Market</w:t>
            </w:r>
          </w:p>
        </w:tc>
        <w:tc>
          <w:tcPr>
            <w:tcW w:w="0" w:type="dxa"/>
            <w:vAlign w:val="bottom"/>
          </w:tcPr>
          <w:p>
            <w:pPr>
              <w:spacing w:after="0"/>
              <w:rPr>
                <w:sz w:val="1"/>
                <w:szCs w:val="1"/>
                <w:color w:val="auto"/>
              </w:rPr>
            </w:pPr>
          </w:p>
        </w:tc>
      </w:tr>
      <w:tr>
        <w:trPr>
          <w:trHeight w:val="142"/>
        </w:trPr>
        <w:tc>
          <w:tcPr>
            <w:tcW w:w="3260" w:type="dxa"/>
            <w:vAlign w:val="bottom"/>
            <w:tcBorders>
              <w:left w:val="single" w:sz="8" w:color="auto"/>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12"/>
                <w:szCs w:val="12"/>
                <w:color w:val="auto"/>
              </w:rPr>
            </w:pPr>
          </w:p>
        </w:tc>
        <w:tc>
          <w:tcPr>
            <w:tcW w:w="422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b w:val="1"/>
          <w:bCs w:val="1"/>
          <w:color w:val="auto"/>
        </w:rPr>
        <w:t>Yes</w:t>
      </w:r>
      <w:r>
        <w:rPr>
          <w:rFonts w:ascii="Times New Roman" w:cs="Times New Roman" w:eastAsia="Times New Roman" w:hAnsi="Times New Roman"/>
          <w:sz w:val="18"/>
          <w:szCs w:val="18"/>
          <w:color w:val="auto"/>
        </w:rPr>
        <w:t xml:space="preserve">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63" w:lineRule="exact"/>
        <w:rPr>
          <w:sz w:val="24"/>
          <w:szCs w:val="24"/>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Large accelerated filer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b w:val="1"/>
          <w:bCs w:val="1"/>
          <w:color w:val="auto"/>
        </w:rPr>
        <w:t xml:space="preserve"> 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Non-accelerated filer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Smaller reporting company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Emerging growth company </w:t>
      </w:r>
      <w:r>
        <w:rPr>
          <w:rFonts w:ascii="MS PGothic" w:cs="MS PGothic" w:eastAsia="MS PGothic" w:hAnsi="MS PGothic"/>
          <w:sz w:val="18"/>
          <w:szCs w:val="18"/>
          <w:color w:val="auto"/>
          <w:highlight w:val="black"/>
        </w:rPr>
        <w:t>☐</w:t>
      </w:r>
    </w:p>
    <w:p>
      <w:pPr>
        <w:spacing w:after="0" w:line="9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No </w:t>
      </w:r>
      <w:r>
        <w:rPr>
          <w:rFonts w:ascii="Wingdings" w:cs="Wingdings" w:eastAsia="Wingdings" w:hAnsi="Wingdings"/>
          <w:sz w:val="18"/>
          <w:szCs w:val="18"/>
          <w:b w:val="1"/>
          <w:bCs w:val="1"/>
          <w:color w:val="auto"/>
        </w:rPr>
        <w:t>x</w:t>
      </w:r>
    </w:p>
    <w:p>
      <w:pPr>
        <w:spacing w:after="0" w:line="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$.01 par value, as of December 27, 2023 was 38,086,388.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596265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FF"/>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6"/>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400" w:type="dxa"/>
            <w:vAlign w:val="bottom"/>
          </w:tcPr>
          <w:p>
            <w:pPr>
              <w:spacing w:after="0"/>
              <w:rPr>
                <w:sz w:val="18"/>
                <w:szCs w:val="18"/>
                <w:color w:val="auto"/>
              </w:rPr>
            </w:pPr>
          </w:p>
        </w:tc>
        <w:tc>
          <w:tcPr>
            <w:tcW w:w="9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Quarter Ended November 30, 2023</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Index</w:t>
            </w:r>
          </w:p>
        </w:tc>
        <w:tc>
          <w:tcPr>
            <w:tcW w:w="40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209"/>
        </w:trPr>
        <w:tc>
          <w:tcPr>
            <w:tcW w:w="880" w:type="dxa"/>
            <w:vAlign w:val="bottom"/>
            <w:vMerge w:val="continue"/>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Income for the three months ended November 30, 2023 and 2022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three months ended November 30, 2023 and 2022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880" w:type="dxa"/>
            <w:vAlign w:val="bottom"/>
          </w:tcPr>
          <w:p>
            <w:pPr>
              <w:spacing w:after="0"/>
              <w:rPr>
                <w:sz w:val="19"/>
                <w:szCs w:val="19"/>
                <w:color w:val="auto"/>
              </w:rPr>
            </w:pP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Balance Sheets at November 30, 2023 and August 31, 2023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November 30, 2023 and 2022</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 for the three months ended November 30, 2023 and 2022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to the Consolidated Financial Statements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Controls and Procedures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Legal Proceedings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 Factors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0" w:type="dxa"/>
            <w:vAlign w:val="bottom"/>
          </w:tcPr>
          <w:p>
            <w:pPr>
              <w:spacing w:after="0"/>
              <w:rPr>
                <w:sz w:val="1"/>
                <w:szCs w:val="1"/>
                <w:color w:val="auto"/>
              </w:rPr>
            </w:pPr>
          </w:p>
        </w:tc>
      </w:tr>
      <w:tr>
        <w:trPr>
          <w:trHeight w:val="230"/>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Mine Safety Disclosures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5.</w:t>
            </w: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Information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0" w:type="dxa"/>
            <w:vAlign w:val="bottom"/>
          </w:tcPr>
          <w:p>
            <w:pPr>
              <w:spacing w:after="0"/>
              <w:rPr>
                <w:sz w:val="1"/>
                <w:szCs w:val="1"/>
                <w:color w:val="auto"/>
              </w:rPr>
            </w:pPr>
          </w:p>
        </w:tc>
      </w:tr>
      <w:tr>
        <w:trPr>
          <w:trHeight w:val="229"/>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7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30"/>
        </w:trPr>
        <w:tc>
          <w:tcPr>
            <w:tcW w:w="880" w:type="dxa"/>
            <w:vAlign w:val="bottom"/>
            <w:shd w:val="clear" w:color="auto" w:fill="CCEEFF"/>
          </w:tcPr>
          <w:p>
            <w:pPr>
              <w:spacing w:after="0"/>
              <w:rPr>
                <w:sz w:val="19"/>
                <w:szCs w:val="19"/>
                <w:color w:val="auto"/>
              </w:rPr>
            </w:pPr>
          </w:p>
        </w:tc>
        <w:tc>
          <w:tcPr>
            <w:tcW w:w="97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For additional information about FactSet Research Systems Inc. and access to its Annual Reports to Stockholders and Securities and Exchange Commission filings, free of charge, please visit FactSet’s website (</w:t>
      </w:r>
      <w:r>
        <w:rPr>
          <w:rFonts w:ascii="Times New Roman" w:cs="Times New Roman" w:eastAsia="Times New Roman" w:hAnsi="Times New Roman"/>
          <w:sz w:val="18"/>
          <w:szCs w:val="18"/>
          <w:u w:val="single" w:color="auto"/>
          <w:color w:val="auto"/>
        </w:rPr>
        <w:t>https://investor.factset.com)</w:t>
      </w:r>
      <w:r>
        <w:rPr>
          <w:rFonts w:ascii="Times New Roman" w:cs="Times New Roman" w:eastAsia="Times New Roman" w:hAnsi="Times New Roman"/>
          <w:sz w:val="18"/>
          <w:szCs w:val="18"/>
          <w:color w:val="auto"/>
        </w:rPr>
        <w:t>. Any information on or linked from the website is not incorporated by reference into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Special Note Regarding Forward-Looking Statements</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FactSet Research Systems Inc. has made statements under the captions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Part II, Item 1A.</w:t>
      </w:r>
      <w:r>
        <w:rPr>
          <w:rFonts w:ascii="Times New Roman" w:cs="Times New Roman" w:eastAsia="Times New Roman" w:hAnsi="Times New Roman"/>
          <w:sz w:val="18"/>
          <w:szCs w:val="18"/>
          <w:i w:val="1"/>
          <w:iCs w:val="1"/>
          <w:color w:val="auto"/>
        </w:rPr>
        <w:t xml:space="preserve"> Risk Factors, </w:t>
      </w:r>
      <w:r>
        <w:rPr>
          <w:rFonts w:ascii="Times New Roman" w:cs="Times New Roman" w:eastAsia="Times New Roman" w:hAnsi="Times New Roman"/>
          <w:sz w:val="18"/>
          <w:szCs w:val="18"/>
          <w:color w:val="auto"/>
        </w:rPr>
        <w:t>and in other sections of this Quarterly Report on Form 10-Q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30, 2023, that are forward-looking statements. In some cases, you can identify these statements by words such as "may," "might," "will," "should," "expects," "plans," "anticipates," "believes," "estimates," "intends," "projects," "indicates," "predicts," "potential," or "continue," and similar expressions.</w:t>
      </w:r>
    </w:p>
    <w:p>
      <w:pPr>
        <w:spacing w:after="0" w:line="3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These forward-looking statements, which are subject to risks, uncertainties and assumptions about us, may include projections of our future financial performance and anticipated trends in our business. These statements are only predictions based on our current expectations, estimates, forecasts and projections about future events. These statements are not guarantees of future performance and involve a number of risks, uncertainties and assumptions. There are many important factors that could cause our actual results, level of activity, performance or achievements to differ materially from the results, level of activity, performance or achievements expressed or implied by the forward-looking statements, including the numerous factors discussed under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2023, that should be specifically considered.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Forward-looking statements speak only as of the date they are made, and actual results could differ materially from those anticipated in forward-looking statements. We do not intend, and are under no duty, to update any of these forward-looking statements after the date of this Quarterly Report on Form 10-Q to reflect actual results, future events or circumstances, or revised expectations.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that all forward-looking statements we make will be subject to safe harbor protection of the federal securities laws as found in Section 27A of the Securities Act of 1933 and Section 21E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5"/>
          <w:szCs w:val="25"/>
          <w:b w:val="1"/>
          <w:bCs w:val="1"/>
          <w:color w:val="auto"/>
        </w:rPr>
        <w:t>PART I – FINANCIAL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INCOME – 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20"/>
                <w:szCs w:val="20"/>
                <w:color w:val="auto"/>
              </w:rPr>
            </w:pPr>
          </w:p>
        </w:tc>
      </w:tr>
      <w:tr>
        <w:trPr>
          <w:trHeight w:val="270"/>
        </w:trPr>
        <w:tc>
          <w:tcPr>
            <w:tcW w:w="8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504,815</w:t>
            </w: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251,621</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227,042</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100,711</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105,596</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332,920</w:t>
            </w:r>
          </w:p>
        </w:tc>
      </w:tr>
      <w:tr>
        <w:trPr>
          <w:trHeight w:val="270"/>
        </w:trPr>
        <w:tc>
          <w:tcPr>
            <w:tcW w:w="8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171,895</w:t>
            </w:r>
          </w:p>
        </w:tc>
      </w:tr>
      <w:tr>
        <w:trPr>
          <w:trHeight w:val="270"/>
        </w:trPr>
        <w:tc>
          <w:tcPr>
            <w:tcW w:w="8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r>
      <w:tr>
        <w:trPr>
          <w:trHeight w:val="223"/>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r>
      <w:tr>
        <w:trPr>
          <w:trHeight w:val="270"/>
        </w:trPr>
        <w:tc>
          <w:tcPr>
            <w:tcW w:w="8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175,196</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157,885</w:t>
            </w:r>
          </w:p>
        </w:tc>
      </w:tr>
      <w:tr>
        <w:trPr>
          <w:trHeight w:val="270"/>
        </w:trPr>
        <w:tc>
          <w:tcPr>
            <w:tcW w:w="82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21,087</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540" w:type="dxa"/>
            <w:vAlign w:val="bottom"/>
            <w:tcBorders>
              <w:bottom w:val="single" w:sz="8" w:color="auto"/>
            </w:tcBorders>
          </w:tcPr>
          <w:p>
            <w:pPr>
              <w:jc w:val="right"/>
              <w:ind w:right="3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38,016</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38,122</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5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CONSOLIDATED STATEMENTS OF COMPREHENSIVE INCOME – Unaudited</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Net unrealized gain (loss) on cash flow hedges</w:t>
      </w:r>
      <w:r>
        <w:rPr>
          <w:rFonts w:ascii="Times New Roman" w:cs="Times New Roman" w:eastAsia="Times New Roman" w:hAnsi="Times New Roman"/>
          <w:sz w:val="23"/>
          <w:szCs w:val="23"/>
          <w:color w:val="auto"/>
          <w:vertAlign w:val="superscript"/>
        </w:rPr>
        <w:t>(1)</w:t>
      </w:r>
    </w:p>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6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November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8"/>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136,798</w:t>
            </w:r>
          </w:p>
        </w:tc>
      </w:tr>
      <w:tr>
        <w:trPr>
          <w:trHeight w:val="449"/>
        </w:trPr>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(1,654)</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r>
      <w:tr>
        <w:trPr>
          <w:trHeight w:val="234"/>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8,769</w:t>
            </w:r>
          </w:p>
        </w:tc>
      </w:tr>
      <w:tr>
        <w:trPr>
          <w:trHeight w:val="223"/>
        </w:trPr>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15,324</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148,809</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152,122</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780"/>
          </w:cols>
          <w:pgMar w:left="320" w:top="121" w:right="339" w:bottom="1440" w:gutter="0" w:footer="0" w:header="0"/>
        </w:sectPr>
      </w:pPr>
    </w:p>
    <w:p>
      <w:pPr>
        <w:spacing w:after="0" w:line="56" w:lineRule="exact"/>
        <w:rPr>
          <w:sz w:val="20"/>
          <w:szCs w:val="20"/>
          <w:color w:val="auto"/>
        </w:rPr>
      </w:pPr>
    </w:p>
    <w:p>
      <w:pPr>
        <w:ind w:left="260" w:hanging="252"/>
        <w:spacing w:after="0" w:line="280" w:lineRule="auto"/>
        <w:tabs>
          <w:tab w:leader="none" w:pos="272"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Presented net of a tax benefit of $588 thousand and a tax expense of $2,264 thousand for the three months ended November 30, 2023 and November 30, 2022, respectively.</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 Unaudited</w:t>
            </w:r>
          </w:p>
        </w:tc>
        <w:tc>
          <w:tcPr>
            <w:tcW w:w="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2023</w:t>
            </w: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0" w:type="dxa"/>
            <w:vAlign w:val="bottom"/>
          </w:tcPr>
          <w:p>
            <w:pPr>
              <w:spacing w:after="0"/>
              <w:rPr>
                <w:sz w:val="1"/>
                <w:szCs w:val="1"/>
                <w:color w:val="auto"/>
              </w:rPr>
            </w:pPr>
          </w:p>
        </w:tc>
      </w:tr>
      <w:tr>
        <w:trPr>
          <w:trHeight w:val="27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 of $9,328 at November 30, 2023 and $7,769 at August 31, 2023</w:t>
            </w:r>
          </w:p>
        </w:tc>
        <w:tc>
          <w:tcPr>
            <w:tcW w:w="16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245,318</w:t>
            </w:r>
          </w:p>
        </w:tc>
        <w:tc>
          <w:tcPr>
            <w:tcW w:w="16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237,665</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taxes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25,678</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24,206</w:t>
            </w: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50,848</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50,610</w:t>
            </w:r>
          </w:p>
        </w:tc>
        <w:tc>
          <w:tcPr>
            <w:tcW w:w="0" w:type="dxa"/>
            <w:vAlign w:val="bottom"/>
          </w:tcPr>
          <w:p>
            <w:pPr>
              <w:spacing w:after="0"/>
              <w:rPr>
                <w:sz w:val="1"/>
                <w:szCs w:val="1"/>
                <w:color w:val="auto"/>
              </w:rPr>
            </w:pPr>
          </w:p>
        </w:tc>
      </w:tr>
      <w:tr>
        <w:trPr>
          <w:trHeight w:val="223"/>
        </w:trPr>
        <w:tc>
          <w:tcPr>
            <w:tcW w:w="77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765,771</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770,135</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83,168</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86,107</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1,005,269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1,004,736</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1,848,051</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1,859,202</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23,839</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Lease right-of-use assets, net</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138,262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141,837</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86,866</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73,676</w:t>
            </w:r>
          </w:p>
        </w:tc>
        <w:tc>
          <w:tcPr>
            <w:tcW w:w="0" w:type="dxa"/>
            <w:vAlign w:val="bottom"/>
          </w:tcPr>
          <w:p>
            <w:pPr>
              <w:spacing w:after="0"/>
              <w:rPr>
                <w:sz w:val="1"/>
                <w:szCs w:val="1"/>
                <w:color w:val="auto"/>
              </w:rPr>
            </w:pPr>
          </w:p>
        </w:tc>
      </w:tr>
      <w:tr>
        <w:trPr>
          <w:trHeight w:val="223"/>
        </w:trPr>
        <w:tc>
          <w:tcPr>
            <w:tcW w:w="77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3,951,226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121,816</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28,839</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52,407</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112,892</w:t>
            </w:r>
          </w:p>
        </w:tc>
        <w:tc>
          <w:tcPr>
            <w:tcW w:w="0" w:type="dxa"/>
            <w:vAlign w:val="bottom"/>
          </w:tcPr>
          <w:p>
            <w:pPr>
              <w:spacing w:after="0"/>
              <w:rPr>
                <w:sz w:val="1"/>
                <w:szCs w:val="1"/>
                <w:color w:val="auto"/>
              </w:rPr>
            </w:pP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150,152</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152,430</w:t>
            </w:r>
          </w:p>
        </w:tc>
        <w:tc>
          <w:tcPr>
            <w:tcW w:w="0" w:type="dxa"/>
            <w:vAlign w:val="bottom"/>
          </w:tcPr>
          <w:p>
            <w:pPr>
              <w:spacing w:after="0"/>
              <w:rPr>
                <w:sz w:val="1"/>
                <w:szCs w:val="1"/>
                <w:color w:val="auto"/>
              </w:rPr>
            </w:pPr>
          </w:p>
        </w:tc>
      </w:tr>
      <w:tr>
        <w:trPr>
          <w:trHeight w:val="229"/>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taxes payable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31,009</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37,299</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37,265</w:t>
            </w:r>
          </w:p>
        </w:tc>
        <w:tc>
          <w:tcPr>
            <w:tcW w:w="0" w:type="dxa"/>
            <w:vAlign w:val="bottom"/>
          </w:tcPr>
          <w:p>
            <w:pPr>
              <w:spacing w:after="0"/>
              <w:rPr>
                <w:sz w:val="1"/>
                <w:szCs w:val="1"/>
                <w:color w:val="auto"/>
              </w:rPr>
            </w:pPr>
          </w:p>
        </w:tc>
      </w:tr>
      <w:tr>
        <w:trPr>
          <w:trHeight w:val="223"/>
        </w:trPr>
        <w:tc>
          <w:tcPr>
            <w:tcW w:w="7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455,886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484,251</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1,551,134</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6,737</w:t>
            </w:r>
          </w:p>
        </w:tc>
        <w:tc>
          <w:tcPr>
            <w:tcW w:w="0" w:type="dxa"/>
            <w:vAlign w:val="bottom"/>
          </w:tcPr>
          <w:p>
            <w:pPr>
              <w:spacing w:after="0"/>
              <w:rPr>
                <w:sz w:val="1"/>
                <w:szCs w:val="1"/>
                <w:color w:val="auto"/>
              </w:rPr>
            </w:pPr>
          </w:p>
        </w:tc>
      </w:tr>
      <w:tr>
        <w:trPr>
          <w:trHeight w:val="27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 non-current</w:t>
            </w:r>
          </w:p>
        </w:tc>
        <w:tc>
          <w:tcPr>
            <w:tcW w:w="16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30,344</w:t>
            </w:r>
          </w:p>
        </w:tc>
        <w:tc>
          <w:tcPr>
            <w:tcW w:w="0" w:type="dxa"/>
            <w:vAlign w:val="bottom"/>
          </w:tcPr>
          <w:p>
            <w:pPr>
              <w:spacing w:after="0"/>
              <w:rPr>
                <w:sz w:val="1"/>
                <w:szCs w:val="1"/>
                <w:color w:val="auto"/>
              </w:rPr>
            </w:pPr>
          </w:p>
        </w:tc>
      </w:tr>
      <w:tr>
        <w:trPr>
          <w:trHeight w:val="229"/>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192,647</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198,382</w:t>
            </w:r>
          </w:p>
        </w:tc>
        <w:tc>
          <w:tcPr>
            <w:tcW w:w="0" w:type="dxa"/>
            <w:vAlign w:val="bottom"/>
          </w:tcPr>
          <w:p>
            <w:pPr>
              <w:spacing w:after="0"/>
              <w:rPr>
                <w:sz w:val="1"/>
                <w:szCs w:val="1"/>
                <w:color w:val="auto"/>
              </w:rPr>
            </w:pPr>
          </w:p>
        </w:tc>
      </w:tr>
      <w:tr>
        <w:trPr>
          <w:trHeight w:val="270"/>
        </w:trPr>
        <w:tc>
          <w:tcPr>
            <w:tcW w:w="77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2,250,486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2,342,992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Commitments and contingencies (see Note 11)</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7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$0.01 par value; 150,000,000 shares authorized; 42,297,330 and 42,096,628 shares</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60" w:type="dxa"/>
            <w:vAlign w:val="bottom"/>
            <w:gridSpan w:val="2"/>
            <w:shd w:val="clear" w:color="auto" w:fill="CCEEFF"/>
          </w:tcPr>
          <w:p>
            <w:pPr>
              <w:ind w:left="140"/>
              <w:spacing w:after="0" w:line="184" w:lineRule="exact"/>
              <w:rPr>
                <w:sz w:val="20"/>
                <w:szCs w:val="20"/>
                <w:color w:val="auto"/>
              </w:rPr>
            </w:pPr>
            <w:r>
              <w:rPr>
                <w:rFonts w:ascii="Times New Roman" w:cs="Times New Roman" w:eastAsia="Times New Roman" w:hAnsi="Times New Roman"/>
                <w:sz w:val="18"/>
                <w:szCs w:val="18"/>
                <w:color w:val="auto"/>
              </w:rPr>
              <w:t>issued; 38,059,740 and 38,025,372 shares outstanding at November 30, 2023 and August 31, 2023,</w:t>
            </w:r>
          </w:p>
        </w:tc>
        <w:tc>
          <w:tcPr>
            <w:tcW w:w="16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1,366,343</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1,323,631</w:t>
            </w:r>
          </w:p>
        </w:tc>
        <w:tc>
          <w:tcPr>
            <w:tcW w:w="0" w:type="dxa"/>
            <w:vAlign w:val="bottom"/>
          </w:tcPr>
          <w:p>
            <w:pPr>
              <w:spacing w:after="0"/>
              <w:rPr>
                <w:sz w:val="1"/>
                <w:szCs w:val="1"/>
                <w:color w:val="auto"/>
              </w:rPr>
            </w:pPr>
          </w:p>
        </w:tc>
      </w:tr>
      <w:tr>
        <w:trPr>
          <w:trHeight w:val="175"/>
        </w:trPr>
        <w:tc>
          <w:tcPr>
            <w:tcW w:w="7760" w:type="dxa"/>
            <w:vAlign w:val="bottom"/>
            <w:gridSpan w:val="2"/>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Treasury stock, at cost: 4,237,590 and 4,071,256 shares at November 30, 2023 and August 31, 2023,</w:t>
            </w:r>
          </w:p>
        </w:tc>
        <w:tc>
          <w:tcPr>
            <w:tcW w:w="1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(1,195,491)</w:t>
            </w: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(1,122,077)</w:t>
            </w:r>
          </w:p>
        </w:tc>
        <w:tc>
          <w:tcPr>
            <w:tcW w:w="0" w:type="dxa"/>
            <w:vAlign w:val="bottom"/>
          </w:tcPr>
          <w:p>
            <w:pPr>
              <w:spacing w:after="0"/>
              <w:rPr>
                <w:sz w:val="1"/>
                <w:szCs w:val="1"/>
                <w:color w:val="auto"/>
              </w:rPr>
            </w:pPr>
          </w:p>
        </w:tc>
      </w:tr>
      <w:tr>
        <w:trPr>
          <w:trHeight w:val="230"/>
        </w:trPr>
        <w:tc>
          <w:tcPr>
            <w:tcW w:w="77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1,616,352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1,505,096</w:t>
            </w:r>
          </w:p>
        </w:tc>
        <w:tc>
          <w:tcPr>
            <w:tcW w:w="0" w:type="dxa"/>
            <w:vAlign w:val="bottom"/>
          </w:tcPr>
          <w:p>
            <w:pPr>
              <w:spacing w:after="0"/>
              <w:rPr>
                <w:sz w:val="1"/>
                <w:szCs w:val="1"/>
                <w:color w:val="auto"/>
              </w:rPr>
            </w:pPr>
          </w:p>
        </w:tc>
      </w:tr>
      <w:tr>
        <w:trPr>
          <w:trHeight w:val="230"/>
        </w:trPr>
        <w:tc>
          <w:tcPr>
            <w:tcW w:w="77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(86,887)</w:t>
            </w: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(87,141)</w:t>
            </w:r>
          </w:p>
        </w:tc>
        <w:tc>
          <w:tcPr>
            <w:tcW w:w="0" w:type="dxa"/>
            <w:vAlign w:val="bottom"/>
          </w:tcPr>
          <w:p>
            <w:pPr>
              <w:spacing w:after="0"/>
              <w:rPr>
                <w:sz w:val="1"/>
                <w:szCs w:val="1"/>
                <w:color w:val="auto"/>
              </w:rPr>
            </w:pPr>
          </w:p>
        </w:tc>
      </w:tr>
      <w:tr>
        <w:trPr>
          <w:trHeight w:val="223"/>
        </w:trPr>
        <w:tc>
          <w:tcPr>
            <w:tcW w:w="7760" w:type="dxa"/>
            <w:vAlign w:val="bottom"/>
            <w:tcBorders>
              <w:bottom w:val="single" w:sz="8" w:color="CCEEFF"/>
            </w:tcBorders>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1,700,740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1,619,930</w:t>
            </w:r>
          </w:p>
        </w:tc>
        <w:tc>
          <w:tcPr>
            <w:tcW w:w="0" w:type="dxa"/>
            <w:vAlign w:val="bottom"/>
          </w:tcPr>
          <w:p>
            <w:pPr>
              <w:spacing w:after="0"/>
              <w:rPr>
                <w:sz w:val="1"/>
                <w:szCs w:val="1"/>
                <w:color w:val="auto"/>
              </w:rPr>
            </w:pPr>
          </w:p>
        </w:tc>
      </w:tr>
      <w:tr>
        <w:trPr>
          <w:trHeight w:val="248"/>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3,951,226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3,962,922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 Unaudited</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7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2320" w:type="dxa"/>
            <w:vAlign w:val="bottom"/>
            <w:gridSpan w:val="3"/>
          </w:tcPr>
          <w:p>
            <w:pPr>
              <w:jc w:val="right"/>
              <w:ind w:right="71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auto"/>
            </w:tcBorders>
            <w:gridSpan w:val="2"/>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lease right-of-use assets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effects of acquisitions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receivable, net of reserves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(23,647)</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18,744</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(60,348)</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(66,796)</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0" w:type="dxa"/>
            <w:vAlign w:val="bottom"/>
          </w:tcPr>
          <w:p>
            <w:pPr>
              <w:spacing w:after="0"/>
              <w:rPr>
                <w:sz w:val="1"/>
                <w:szCs w:val="1"/>
                <w:color w:val="auto"/>
              </w:rPr>
            </w:pPr>
          </w:p>
        </w:tc>
      </w:tr>
      <w:tr>
        <w:trPr>
          <w:trHeight w:val="229"/>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Taxes payable, net of prepaid taxes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Lease liabilities,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(9,783)</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(11,237)</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0" w:type="dxa"/>
            <w:vAlign w:val="bottom"/>
          </w:tcPr>
          <w:p>
            <w:pPr>
              <w:spacing w:after="0"/>
              <w:rPr>
                <w:sz w:val="1"/>
                <w:szCs w:val="1"/>
                <w:color w:val="auto"/>
              </w:rPr>
            </w:pPr>
          </w:p>
        </w:tc>
      </w:tr>
      <w:tr>
        <w:trPr>
          <w:trHeight w:val="270"/>
        </w:trPr>
        <w:tc>
          <w:tcPr>
            <w:tcW w:w="862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Purchases of property, equipment, leasehold improvements and capitalized internal-use software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(9,892)</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payments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(33,665)</w:t>
            </w:r>
          </w:p>
        </w:tc>
        <w:tc>
          <w:tcPr>
            <w:tcW w:w="0" w:type="dxa"/>
            <w:vAlign w:val="bottom"/>
          </w:tcPr>
          <w:p>
            <w:pPr>
              <w:spacing w:after="0"/>
              <w:rPr>
                <w:sz w:val="1"/>
                <w:szCs w:val="1"/>
                <w:color w:val="auto"/>
              </w:rPr>
            </w:pPr>
          </w:p>
        </w:tc>
      </w:tr>
      <w:tr>
        <w:trPr>
          <w:trHeight w:val="22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28,404</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23,423</w:t>
            </w:r>
          </w:p>
        </w:tc>
        <w:tc>
          <w:tcPr>
            <w:tcW w:w="0" w:type="dxa"/>
            <w:vAlign w:val="bottom"/>
          </w:tcPr>
          <w:p>
            <w:pPr>
              <w:spacing w:after="0"/>
              <w:rPr>
                <w:sz w:val="1"/>
                <w:szCs w:val="1"/>
                <w:color w:val="auto"/>
              </w:rPr>
            </w:pPr>
          </w:p>
        </w:tc>
      </w:tr>
      <w:tr>
        <w:trPr>
          <w:trHeight w:val="230"/>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(59,910)</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(10,990)</w:t>
            </w:r>
          </w:p>
        </w:tc>
        <w:tc>
          <w:tcPr>
            <w:tcW w:w="0" w:type="dxa"/>
            <w:vAlign w:val="bottom"/>
          </w:tcPr>
          <w:p>
            <w:pPr>
              <w:spacing w:after="0"/>
              <w:rPr>
                <w:sz w:val="1"/>
                <w:szCs w:val="1"/>
                <w:color w:val="auto"/>
              </w:rPr>
            </w:pPr>
          </w:p>
        </w:tc>
      </w:tr>
      <w:tr>
        <w:trPr>
          <w:trHeight w:val="22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(144,564)</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(146,232)</w:t>
            </w:r>
          </w:p>
        </w:tc>
        <w:tc>
          <w:tcPr>
            <w:tcW w:w="0" w:type="dxa"/>
            <w:vAlign w:val="bottom"/>
          </w:tcPr>
          <w:p>
            <w:pPr>
              <w:spacing w:after="0"/>
              <w:rPr>
                <w:sz w:val="1"/>
                <w:szCs w:val="1"/>
                <w:color w:val="auto"/>
              </w:rPr>
            </w:pPr>
          </w:p>
        </w:tc>
      </w:tr>
      <w:tr>
        <w:trPr>
          <w:trHeight w:val="270"/>
        </w:trPr>
        <w:tc>
          <w:tcPr>
            <w:tcW w:w="8620" w:type="dxa"/>
            <w:vAlign w:val="bottom"/>
            <w:gridSpan w:val="2"/>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23"/>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425,444</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503,273</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437,142</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7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FactSet Research Systems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 Unaudited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40" w:type="dxa"/>
            <w:vAlign w:val="bottom"/>
          </w:tcPr>
          <w:p>
            <w:pPr>
              <w:spacing w:after="0"/>
              <w:rPr>
                <w:sz w:val="16"/>
                <w:szCs w:val="16"/>
                <w:color w:val="auto"/>
              </w:rPr>
            </w:pPr>
          </w:p>
        </w:tc>
        <w:tc>
          <w:tcPr>
            <w:tcW w:w="1940" w:type="dxa"/>
            <w:vAlign w:val="bottom"/>
            <w:gridSpan w:val="3"/>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6"/>
                <w:szCs w:val="16"/>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194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Accumulated</w:t>
            </w:r>
          </w:p>
        </w:tc>
        <w:tc>
          <w:tcPr>
            <w:tcW w:w="120" w:type="dxa"/>
            <w:vAlign w:val="bottom"/>
          </w:tcPr>
          <w:p>
            <w:pPr>
              <w:spacing w:after="0"/>
              <w:rPr>
                <w:sz w:val="16"/>
                <w:szCs w:val="16"/>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35"/>
        </w:trPr>
        <w:tc>
          <w:tcPr>
            <w:tcW w:w="304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3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160" w:type="dxa"/>
            <w:vAlign w:val="bottom"/>
          </w:tcPr>
          <w:p>
            <w:pPr>
              <w:spacing w:after="0"/>
              <w:rPr>
                <w:sz w:val="12"/>
                <w:szCs w:val="12"/>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12"/>
                <w:szCs w:val="12"/>
                <w:color w:val="auto"/>
              </w:rPr>
            </w:pPr>
          </w:p>
        </w:tc>
        <w:tc>
          <w:tcPr>
            <w:tcW w:w="84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Paid-in</w:t>
            </w: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80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ind w:right="40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20" w:type="dxa"/>
            <w:vAlign w:val="bottom"/>
          </w:tcPr>
          <w:p>
            <w:pPr>
              <w:spacing w:after="0"/>
              <w:rPr>
                <w:sz w:val="12"/>
                <w:szCs w:val="12"/>
                <w:color w:val="auto"/>
              </w:rPr>
            </w:pPr>
          </w:p>
        </w:tc>
        <w:tc>
          <w:tcPr>
            <w:tcW w:w="98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93"/>
        </w:trPr>
        <w:tc>
          <w:tcPr>
            <w:tcW w:w="30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Earnings</w:t>
            </w:r>
          </w:p>
        </w:tc>
        <w:tc>
          <w:tcPr>
            <w:tcW w:w="12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2023</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42,096,628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1,323,631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4,071,256</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(1,122,077)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1,505,096</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1,619,930</w:t>
            </w:r>
          </w:p>
        </w:tc>
        <w:tc>
          <w:tcPr>
            <w:tcW w:w="0" w:type="dxa"/>
            <w:vAlign w:val="bottom"/>
          </w:tcPr>
          <w:p>
            <w:pPr>
              <w:spacing w:after="0"/>
              <w:rPr>
                <w:sz w:val="1"/>
                <w:szCs w:val="1"/>
                <w:color w:val="auto"/>
              </w:rPr>
            </w:pPr>
          </w:p>
        </w:tc>
      </w:tr>
      <w:tr>
        <w:trPr>
          <w:trHeight w:val="195"/>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148,555</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148,555</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0" w:type="dxa"/>
            <w:vAlign w:val="bottom"/>
          </w:tcPr>
          <w:p>
            <w:pPr>
              <w:spacing w:after="0"/>
              <w:rPr>
                <w:sz w:val="1"/>
                <w:szCs w:val="1"/>
                <w:color w:val="auto"/>
              </w:rPr>
            </w:pPr>
          </w:p>
        </w:tc>
      </w:tr>
      <w:tr>
        <w:trPr>
          <w:trHeight w:val="195"/>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for employee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125,104</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28,403</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28,339</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75,598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30,238</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(13,439)</w:t>
            </w:r>
          </w:p>
        </w:tc>
        <w:tc>
          <w:tcPr>
            <w:tcW w:w="0" w:type="dxa"/>
            <w:vAlign w:val="bottom"/>
          </w:tcPr>
          <w:p>
            <w:pPr>
              <w:spacing w:after="0"/>
              <w:rPr>
                <w:sz w:val="1"/>
                <w:szCs w:val="1"/>
                <w:color w:val="auto"/>
              </w:rPr>
            </w:pPr>
          </w:p>
        </w:tc>
      </w:tr>
      <w:tr>
        <w:trPr>
          <w:trHeight w:val="195"/>
        </w:trPr>
        <w:tc>
          <w:tcPr>
            <w:tcW w:w="3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135,950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(59,910)</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(59,910)</w:t>
            </w: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14,310</w:t>
            </w: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(37,299)</w:t>
            </w: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(37,299)</w:t>
            </w:r>
          </w:p>
        </w:tc>
        <w:tc>
          <w:tcPr>
            <w:tcW w:w="0" w:type="dxa"/>
            <w:vAlign w:val="bottom"/>
          </w:tcPr>
          <w:p>
            <w:pPr>
              <w:spacing w:after="0"/>
              <w:rPr>
                <w:sz w:val="1"/>
                <w:szCs w:val="1"/>
                <w:color w:val="auto"/>
              </w:rPr>
            </w:pPr>
          </w:p>
        </w:tc>
      </w:tr>
      <w:tr>
        <w:trPr>
          <w:trHeight w:val="221"/>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42,297,330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1,366,343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4,237,590</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(1,195,491)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1,616,352</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(86,887)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1,700,740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 the Three Months Ended November 30, 2022</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940" w:type="dxa"/>
            <w:vAlign w:val="bottom"/>
            <w:gridSpan w:val="3"/>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Common Stock</w:t>
            </w:r>
          </w:p>
        </w:tc>
        <w:tc>
          <w:tcPr>
            <w:tcW w:w="140" w:type="dxa"/>
            <w:vAlign w:val="bottom"/>
          </w:tcPr>
          <w:p>
            <w:pPr>
              <w:spacing w:after="0"/>
              <w:rPr>
                <w:sz w:val="13"/>
                <w:szCs w:val="13"/>
                <w:color w:val="auto"/>
              </w:rPr>
            </w:pPr>
          </w:p>
        </w:tc>
        <w:tc>
          <w:tcPr>
            <w:tcW w:w="8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Additional</w:t>
            </w:r>
          </w:p>
        </w:tc>
        <w:tc>
          <w:tcPr>
            <w:tcW w:w="1940" w:type="dxa"/>
            <w:vAlign w:val="bottom"/>
            <w:gridSpan w:val="3"/>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Treasury Stock</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Accumulated</w:t>
            </w:r>
          </w:p>
        </w:tc>
        <w:tc>
          <w:tcPr>
            <w:tcW w:w="140" w:type="dxa"/>
            <w:vAlign w:val="bottom"/>
          </w:tcPr>
          <w:p>
            <w:pPr>
              <w:spacing w:after="0"/>
              <w:rPr>
                <w:sz w:val="13"/>
                <w:szCs w:val="13"/>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9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data)</w:t>
            </w: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vMerge w:val="restart"/>
          </w:tcPr>
          <w:p>
            <w:pPr>
              <w:jc w:val="right"/>
              <w:ind w:right="208"/>
              <w:spacing w:after="0" w:line="145" w:lineRule="exact"/>
              <w:rPr>
                <w:sz w:val="20"/>
                <w:szCs w:val="20"/>
                <w:color w:val="auto"/>
              </w:rPr>
            </w:pPr>
            <w:r>
              <w:rPr>
                <w:rFonts w:ascii="Times New Roman" w:cs="Times New Roman" w:eastAsia="Times New Roman" w:hAnsi="Times New Roman"/>
                <w:sz w:val="14"/>
                <w:szCs w:val="14"/>
                <w:color w:val="auto"/>
              </w:rPr>
              <w:t>Paid-in</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vMerge w:val="restart"/>
          </w:tcPr>
          <w:p>
            <w:pPr>
              <w:jc w:val="right"/>
              <w:ind w:right="148"/>
              <w:spacing w:after="0" w:line="145" w:lineRule="exact"/>
              <w:rPr>
                <w:sz w:val="20"/>
                <w:szCs w:val="20"/>
                <w:color w:val="auto"/>
              </w:rPr>
            </w:pPr>
            <w:r>
              <w:rPr>
                <w:rFonts w:ascii="Times New Roman" w:cs="Times New Roman" w:eastAsia="Times New Roman" w:hAnsi="Times New Roman"/>
                <w:sz w:val="14"/>
                <w:szCs w:val="14"/>
                <w:color w:val="auto"/>
              </w:rPr>
              <w:t>Retained</w:t>
            </w:r>
          </w:p>
        </w:tc>
        <w:tc>
          <w:tcPr>
            <w:tcW w:w="140" w:type="dxa"/>
            <w:vAlign w:val="bottom"/>
          </w:tcPr>
          <w:p>
            <w:pPr>
              <w:spacing w:after="0" w:line="20" w:lineRule="exact"/>
              <w:rPr>
                <w:sz w:val="1"/>
                <w:szCs w:val="1"/>
                <w:color w:val="auto"/>
              </w:rPr>
            </w:pPr>
          </w:p>
        </w:tc>
        <w:tc>
          <w:tcPr>
            <w:tcW w:w="1100" w:type="dxa"/>
            <w:vAlign w:val="bottom"/>
            <w:vMerge w:val="restart"/>
          </w:tcPr>
          <w:p>
            <w:pPr>
              <w:jc w:val="center"/>
              <w:ind w:right="48"/>
              <w:spacing w:after="0" w:line="145" w:lineRule="exact"/>
              <w:rPr>
                <w:sz w:val="20"/>
                <w:szCs w:val="20"/>
                <w:color w:val="auto"/>
              </w:rPr>
            </w:pPr>
            <w:r>
              <w:rPr>
                <w:rFonts w:ascii="Times New Roman" w:cs="Times New Roman" w:eastAsia="Times New Roman" w:hAnsi="Times New Roman"/>
                <w:sz w:val="14"/>
                <w:szCs w:val="14"/>
                <w:color w:val="auto"/>
              </w:rPr>
              <w:t>Comprehensive</w:t>
            </w:r>
          </w:p>
        </w:tc>
        <w:tc>
          <w:tcPr>
            <w:tcW w:w="140" w:type="dxa"/>
            <w:vAlign w:val="bottom"/>
          </w:tcPr>
          <w:p>
            <w:pPr>
              <w:spacing w:after="0" w:line="20" w:lineRule="exact"/>
              <w:rPr>
                <w:sz w:val="1"/>
                <w:szCs w:val="1"/>
                <w:color w:val="auto"/>
              </w:rPr>
            </w:pPr>
          </w:p>
        </w:tc>
        <w:tc>
          <w:tcPr>
            <w:tcW w:w="980" w:type="dxa"/>
            <w:vAlign w:val="bottom"/>
            <w:vMerge w:val="restart"/>
          </w:tcPr>
          <w:p>
            <w:pPr>
              <w:jc w:val="center"/>
              <w:ind w:right="68"/>
              <w:spacing w:after="0" w:line="145" w:lineRule="exact"/>
              <w:rPr>
                <w:sz w:val="20"/>
                <w:szCs w:val="20"/>
                <w:color w:val="auto"/>
              </w:rPr>
            </w:pPr>
            <w:r>
              <w:rPr>
                <w:rFonts w:ascii="Times New Roman" w:cs="Times New Roman" w:eastAsia="Times New Roman" w:hAnsi="Times New Roman"/>
                <w:sz w:val="14"/>
                <w:szCs w:val="14"/>
                <w:color w:val="auto"/>
              </w:rPr>
              <w:t>Stockholders’</w:t>
            </w:r>
          </w:p>
        </w:tc>
        <w:tc>
          <w:tcPr>
            <w:tcW w:w="0" w:type="dxa"/>
            <w:vAlign w:val="bottom"/>
          </w:tcPr>
          <w:p>
            <w:pPr>
              <w:spacing w:after="0"/>
              <w:rPr>
                <w:sz w:val="1"/>
                <w:szCs w:val="1"/>
                <w:color w:val="auto"/>
              </w:rPr>
            </w:pPr>
          </w:p>
        </w:tc>
      </w:tr>
      <w:tr>
        <w:trPr>
          <w:trHeight w:val="102"/>
        </w:trPr>
        <w:tc>
          <w:tcPr>
            <w:tcW w:w="306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8"/>
                <w:szCs w:val="8"/>
                <w:color w:val="auto"/>
              </w:rPr>
            </w:pPr>
          </w:p>
        </w:tc>
        <w:tc>
          <w:tcPr>
            <w:tcW w:w="8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Par Value</w:t>
            </w:r>
          </w:p>
        </w:tc>
        <w:tc>
          <w:tcPr>
            <w:tcW w:w="14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8"/>
                <w:szCs w:val="8"/>
                <w:color w:val="auto"/>
              </w:rPr>
            </w:pPr>
          </w:p>
        </w:tc>
        <w:tc>
          <w:tcPr>
            <w:tcW w:w="8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306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Capital</w:t>
            </w:r>
          </w:p>
        </w:tc>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Earnings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8"/>
              </w:rPr>
              <w:t>Loss</w:t>
            </w: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201"/>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as of August 31, 2022</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41,653,218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1,190,350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3,608,462</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(930,715)</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1,179,739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1,331,408</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136,798</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136,798</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15,324</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15,324</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Common stock issued for employee stock plans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131,423</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23,422</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23,257</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Vesting of restricted stock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63,789</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25,450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w:t>
            </w:r>
          </w:p>
        </w:tc>
        <w:tc>
          <w:tcPr>
            <w:tcW w:w="0" w:type="dxa"/>
            <w:vAlign w:val="bottom"/>
          </w:tcPr>
          <w:p>
            <w:pPr>
              <w:spacing w:after="0"/>
              <w:rPr>
                <w:sz w:val="1"/>
                <w:szCs w:val="1"/>
                <w:color w:val="auto"/>
              </w:rPr>
            </w:pPr>
          </w:p>
        </w:tc>
      </w:tr>
      <w:tr>
        <w:trPr>
          <w:trHeight w:val="195"/>
        </w:trPr>
        <w:tc>
          <w:tcPr>
            <w:tcW w:w="3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12,175</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Dividends declared</w:t>
            </w:r>
          </w:p>
        </w:tc>
        <w:tc>
          <w:tcPr>
            <w:tcW w:w="9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(34,010)</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(34,010)</w:t>
            </w:r>
          </w:p>
        </w:tc>
        <w:tc>
          <w:tcPr>
            <w:tcW w:w="0" w:type="dxa"/>
            <w:vAlign w:val="bottom"/>
          </w:tcPr>
          <w:p>
            <w:pPr>
              <w:spacing w:after="0"/>
              <w:rPr>
                <w:sz w:val="1"/>
                <w:szCs w:val="1"/>
                <w:color w:val="auto"/>
              </w:rPr>
            </w:pPr>
          </w:p>
        </w:tc>
      </w:tr>
      <w:tr>
        <w:trPr>
          <w:trHeight w:val="19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as of November 30, 2022</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41,848,430</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1,225,947</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3,634,322</w:t>
            </w:r>
          </w:p>
        </w:tc>
        <w:tc>
          <w:tcPr>
            <w:tcW w:w="2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(941,705)</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1,282,527</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(93,059)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1,474,128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FactSet Research Systems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30,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1</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Description of Business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2</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w w:val="99"/>
              </w:rPr>
              <w:t>Summary of Significant Accounting Policies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3</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Revenue Recognition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4</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Fair Value Measures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5</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Derivative Instruments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16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6</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Goodwill</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7</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Intangible Assets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0000FF"/>
                <w:w w:val="98"/>
              </w:rPr>
              <w:t>Note 8</w:t>
            </w:r>
          </w:p>
        </w:tc>
        <w:tc>
          <w:tcPr>
            <w:tcW w:w="1340" w:type="dxa"/>
            <w:vAlign w:val="bottom"/>
            <w:gridSpan w:val="2"/>
          </w:tcPr>
          <w:p>
            <w:pPr>
              <w:spacing w:after="0"/>
              <w:rPr>
                <w:sz w:val="16"/>
                <w:szCs w:val="16"/>
                <w:color w:val="auto"/>
              </w:rPr>
            </w:pP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Income Taxes</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19</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Note 9</w:t>
            </w:r>
          </w:p>
        </w:tc>
        <w:tc>
          <w:tcPr>
            <w:tcW w:w="1340" w:type="dxa"/>
            <w:vAlign w:val="bottom"/>
            <w:gridSpan w:val="2"/>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Leases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20</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10</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Debt</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Note 11</w:t>
            </w:r>
          </w:p>
        </w:tc>
        <w:tc>
          <w:tcPr>
            <w:tcW w:w="1260" w:type="dxa"/>
            <w:vAlign w:val="bottom"/>
            <w:shd w:val="clear" w:color="auto" w:fill="CCEEFF"/>
          </w:tcPr>
          <w:p>
            <w:pPr>
              <w:spacing w:after="0"/>
              <w:rPr>
                <w:sz w:val="16"/>
                <w:szCs w:val="16"/>
                <w:color w:val="auto"/>
              </w:rPr>
            </w:pP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12</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Stockholders' Equity</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25</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13</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Earnings Per Share</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26</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4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rPr>
              <w:t>Note 14</w:t>
            </w:r>
          </w:p>
        </w:tc>
        <w:tc>
          <w:tcPr>
            <w:tcW w:w="4480" w:type="dxa"/>
            <w:vAlign w:val="bottom"/>
            <w:gridSpan w:val="16"/>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Stock-Based Compensation</w:t>
            </w:r>
          </w:p>
        </w:tc>
        <w:tc>
          <w:tcPr>
            <w:tcW w:w="488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Note 15</w:t>
            </w:r>
          </w:p>
        </w:tc>
        <w:tc>
          <w:tcPr>
            <w:tcW w:w="4480" w:type="dxa"/>
            <w:vAlign w:val="bottom"/>
            <w:gridSpan w:val="16"/>
            <w:shd w:val="clear" w:color="auto" w:fill="CCEEFF"/>
          </w:tcPr>
          <w:p>
            <w:pPr>
              <w:ind w:left="1260"/>
              <w:spacing w:after="0" w:line="189" w:lineRule="exact"/>
              <w:rPr>
                <w:sz w:val="20"/>
                <w:szCs w:val="20"/>
                <w:color w:val="auto"/>
              </w:rPr>
            </w:pPr>
            <w:r>
              <w:rPr>
                <w:rFonts w:ascii="Times New Roman" w:cs="Times New Roman" w:eastAsia="Times New Roman" w:hAnsi="Times New Roman"/>
                <w:sz w:val="18"/>
                <w:szCs w:val="18"/>
                <w:color w:val="0000FF"/>
              </w:rPr>
              <w:t>Segment Information</w:t>
            </w:r>
          </w:p>
        </w:tc>
        <w:tc>
          <w:tcPr>
            <w:tcW w:w="488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29</w:t>
            </w:r>
          </w:p>
        </w:tc>
        <w:tc>
          <w:tcPr>
            <w:tcW w:w="20" w:type="dxa"/>
            <w:vAlign w:val="bottom"/>
            <w:shd w:val="clear" w:color="auto" w:fill="CCEEFF"/>
          </w:tcPr>
          <w:p>
            <w:pPr>
              <w:spacing w:after="0"/>
              <w:rPr>
                <w:sz w:val="18"/>
                <w:szCs w:val="18"/>
                <w:color w:val="auto"/>
              </w:rPr>
            </w:pPr>
          </w:p>
        </w:tc>
      </w:tr>
      <w:tr>
        <w:trPr>
          <w:trHeight w:val="864"/>
        </w:trPr>
        <w:tc>
          <w:tcPr>
            <w:tcW w:w="20" w:type="dxa"/>
            <w:vAlign w:val="bottom"/>
            <w:tcBorders>
              <w:top w:val="single" w:sz="8" w:color="CCEE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260" w:type="dxa"/>
            <w:vAlign w:val="bottom"/>
            <w:tcBorders>
              <w:top w:val="single" w:sz="8" w:color="CCEEFF"/>
            </w:tcBorders>
          </w:tcPr>
          <w:p>
            <w:pPr>
              <w:spacing w:after="0"/>
              <w:rPr>
                <w:sz w:val="24"/>
                <w:szCs w:val="24"/>
                <w:color w:val="auto"/>
              </w:rPr>
            </w:pPr>
          </w:p>
        </w:tc>
        <w:tc>
          <w:tcPr>
            <w:tcW w:w="1540" w:type="dxa"/>
            <w:vAlign w:val="bottom"/>
            <w:tcBorders>
              <w:top w:val="single" w:sz="8" w:color="0000FF"/>
            </w:tcBorders>
            <w:gridSpan w:val="9"/>
          </w:tcPr>
          <w:p>
            <w:pPr>
              <w:spacing w:after="0"/>
              <w:rPr>
                <w:sz w:val="24"/>
                <w:szCs w:val="24"/>
                <w:color w:val="auto"/>
              </w:rPr>
            </w:pPr>
          </w:p>
        </w:tc>
        <w:tc>
          <w:tcPr>
            <w:tcW w:w="1680" w:type="dxa"/>
            <w:vAlign w:val="bottom"/>
            <w:tcBorders>
              <w:top w:val="single" w:sz="8" w:color="CCEEFF"/>
            </w:tcBorders>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9</w:t>
            </w:r>
          </w:p>
        </w:tc>
        <w:tc>
          <w:tcPr>
            <w:tcW w:w="4700" w:type="dxa"/>
            <w:vAlign w:val="bottom"/>
            <w:tcBorders>
              <w:top w:val="single" w:sz="8" w:color="CCEE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47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DESCRIPTION OF BUSINESS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drive the investment community to see more, think bigger and do its best work.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November 30, 2023, we had nearly 8,000 clients comprised of more than 207,000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back-office functions. Our platform and solutions are supported by our dedicated client service team.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asset managers, asset owners, and hedge fund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banking and sell-side research, corporate, and private equity and venture capital workflows,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workflows, and</w:t>
      </w:r>
    </w:p>
    <w:p>
      <w:pPr>
        <w:spacing w:after="0" w:line="198"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content providers, financial exchanges, and rating agencies. "CGS" is the exclusive issuer of Committee on Uniform Security Identification Procedures ("CUSIP") and CUSIP International Number System ("CINS") identifiers.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our chief operating decision maker ("CODM") continues to review our business and operating results based on our three segments, the Americas, EMEA and Asia Pacific, the realignment of our internal organization by firm types will not impact our segments for fiscal 2024. Refer to Note 15,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for further discussion on our segments and CODM.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SUMMARY OF SIGNIFICANT ACCOUNTING POLICIES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conduct business globally and manage our business on a geographic basis. The accompanying unaudited Consolidated Financial Statements and Notes to the Consolidated Financial Statements included in this Quarterly Report on Form 10-Q are prepared in accordance with generally accepted accounting principles in the United States ("GAAP") for interim financial information and the instructions to Form 10-Q and Article 10 of Regulation S-X. Accordingly, they do not include all information and footnotes required by GAAP for annual financial statements. As such, the information in this Quarterly Report on Form 10-Q should be read in conjunction with the audited Consolidated Financial Statements and notes thereto included in our Annual Report on Form 10-K for the fiscal year ended August 31, 2023. The accompanying unaudited Consolidated Financial Statements include our accounts and those of our wholly-owned subsidiaries; all intercompany activity and balances have been eliminated.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Consolidated Financial Statements include all normal recurring adjustments, transactions or events discretely impacting the interim periods considered necessary to present fairly our results of operations, financial position, cash flows and equity.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presented the components of Interest expense, net separately as Interest income and Interest expense in the Consolidated Statements of Income for the three months ended November 30, 2023. We conformed the comparative figures for the three months ended November 30, 2022 to the current period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and related disclosures in conformity with GAAP required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may include income taxes, stock-based compensation, goodwill and intangible assets, business combinations, long-lived assets, contingencies and impairment assessments. We base our estimates on historical experience and on various other assumptions that are believed to be reasonable, the results of which form the basis for making judgments about the carrying values of assets and liabilities. Actual results could differ from those estimates.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Credit risk arises from the potential nonperformance by counterparties to fulfill their financial obligations. Our financial instruments that potentially subject us to concentrations of credit risk consist primarily of our cash and cash equivalents, accounts receivable, investments in mutual funds and derivative instruments. The maximum credit exposure of our cash and cash equivalents, accounts receivable and investments in mutual funds is their carrying values as of the balance sheet date. The maximum credit exposure related to our derivative instruments is based upon their respective gross fair values as of the balance sheet date.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credit risk on our cash, cash equivalents and investments in mutual funds in the event of default by the financial institutions with which we transact. We invest in a manner that aligns with our restrictive cash investment practices, preserves capital and provides liquidity, while minimizing our exposure to credit risk. We limit our exposure to credit loss by investing with multiple financial institutions that we believe are high-quality and credit-worthy. We have not experienced any credit losses relating to our cash, cash equivalents and investments in mutual funds.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accounts receivable credit risk is dependent upon the financial stability of our individual clients. Our receivable reserve was $9.3 million and $7.8 million as of November 30, 2023 and August 31, 2023, respectively. We do not require collateral from our clients; however, no single client represented more than 3.5% of our total subscription revenues in any period presented. Our concentration of credit risk related to our accounts receivable is generally limited, due to our large and geographically dispersed client base.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use of derivative instruments exposes us to credit risk to the extent counterparties may be unable to meet the terms of their agreements. To mitigate credit risk, we limit counterparties to financial institutions we believe are credit-worthy and use several institutions to reduce concentration risk. We do not expect any losses as a result of default by our counterparties.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Data Providers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integrate data from various third-party sources into our hosted proprietary data and analytics platform. As certain data sources have a limited number of suppliers, we make every effort to assure that, where reasonable, alternative sources are available. We are not dependent on any individual third-party data supplier to meet the needs of our clients, with only two data suppliers each representing more than 10% of our total data costs for the three months ended November 30,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Cloud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clients rely on us for the delivery of time-sensitive, up-to-date data and applications. Our business is dependent on our ability to process substantial volumes of data and transactions rapidly and efficiently. We currently use multiple providers of cloud services; however, one supplier provided the majority of our cloud computing support for the three months ended November 30, 2023. We maintain back-up facilities and other redundancies at our major data centers, take security measures and have emergency planning procedures to minimize the risk that an event will disrupt our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adopt any new standards or updates issued by the Financial Accounting Standards Board ("FASB") during the three months ended November 30, 2023 that had a material impact on our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Not Yet Adopted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 - Improvements to Reportable Segment Disclosures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 Improvements to Reportable Segment Disclosures</w:t>
      </w:r>
      <w:r>
        <w:rPr>
          <w:rFonts w:ascii="Times New Roman" w:cs="Times New Roman" w:eastAsia="Times New Roman" w:hAnsi="Times New Roman"/>
          <w:sz w:val="18"/>
          <w:szCs w:val="18"/>
          <w:color w:val="auto"/>
        </w:rPr>
        <w:t>. This ASU enhances segment disclosures primarily around significant segment expenses for both interim and annual periods. The amendments in this ASU are to be applied retrospectively and are effective for our annual financial statements starting in fiscal 2025 and interim periods starting in fiscal 2026. Early adoption is permitted. This ASU is not expected to have a material impact on our Consolidated Financial Statements. We are currently assessing the impact of the new requirements on our disclosures.</w:t>
      </w:r>
    </w:p>
    <w:p>
      <w:pPr>
        <w:spacing w:after="0" w:line="14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Disclosure Improvements - Codification Amendment in Response to the Securities and Exchange Commission's ("SEC") Disclosure Update and Simplification Initiative</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 Codification Amendment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ASU incorporates several disclosure and presentation requirements currently residing in the SEC Regulations S-X and S-K.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amendments will be applied prospectively and are effective when the SEC removes the related requirements from Regulations S-X or S-K. Any amendments the SEC does not remove by June 30, 2027 will not be effective. As we are currently subject to these SEC requirements, this ASU is not expected to have a material impact on our Consolidated Financial Statements or related disclosures.</w:t>
      </w:r>
    </w:p>
    <w:p>
      <w:pPr>
        <w:spacing w:after="0" w:line="15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new accounting pronouncements issued or effective as of November 30, 2023 have had, or are expected to have, a material impact on our Consolidated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3. REVENUE RECOGNITION</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derive most of our revenues by providing client access to our multi-asset class solutions powered by our content refinery over the associated contractual term (referred to as the "Hosted Platform"). The Hosted Platform is a subscription-based service that provides client access to various combinations of products and services including workstations, portfolio analytics and enterprise solutions. We also derive revenues through our CGS platform, a subscription-based service that provides access to a database of universally recognized security identifiers and related descriptive data for issuers and their financial instruments (referred to as the "Identifier Platform").</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determined that the majority of each of our contracts with clients, whether for our Hosted Platform or Identifier Platform services, represents a single performance obligation covering a series of distinct products and services that are substantially the same and that have the same pattern of transfer to the client. We also determined the primary nature of the promise to the client is to provide daily access to each of these data and analytics platforms. These platforms provide integrated financial information, analytical applications and industry-leading service for the investment community. Based on the nature of the services and products offered by these platforms, we apply an output time-based measure of progress as the client is simultaneously receiving and consuming the benefits of the respective platform. We recognize revenue for the majority of these platforms in accordance with the 'as invoiced' practical expedient, because the consideration that we have the right to invoice corresponds directly with the value of our performance to date.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Due to our election of the practical expedient, we do not consider payment terms as a financing component within a client contract when, at contract inception, the period between the transfer of the promised services to the client and the payment timing for those services will be one year or less.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client contracts have a duration of one year or the amount we are entitled to receive, which corresponds directly with the value of performance obligations completed to date. Therefore, we do not disclose the value of the remaining unsatisfied performance obligations. There are no significant judgments that would impact the timing of revenue recognition.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Disaggregated Revenues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We disaggregate revenues from our client contracts by segment based on our clients' respective geographic locations. Our business segmentation by geography is aligned with the operational and economic characteristics of our business.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further information.</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segment:</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8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8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19"/>
                <w:szCs w:val="19"/>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2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5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348,367</w:t>
            </w:r>
          </w:p>
        </w:tc>
        <w:tc>
          <w:tcPr>
            <w:tcW w:w="5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323,367</w:t>
            </w:r>
          </w:p>
        </w:tc>
        <w:tc>
          <w:tcPr>
            <w:tcW w:w="0" w:type="dxa"/>
            <w:vAlign w:val="bottom"/>
          </w:tcPr>
          <w:p>
            <w:pPr>
              <w:spacing w:after="0"/>
              <w:rPr>
                <w:sz w:val="1"/>
                <w:szCs w:val="1"/>
                <w:color w:val="auto"/>
              </w:rPr>
            </w:pPr>
          </w:p>
        </w:tc>
      </w:tr>
      <w:tr>
        <w:trPr>
          <w:trHeight w:val="24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139,561</w:t>
            </w:r>
          </w:p>
        </w:tc>
        <w:tc>
          <w:tcPr>
            <w:tcW w:w="5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130,738</w:t>
            </w:r>
          </w:p>
        </w:tc>
        <w:tc>
          <w:tcPr>
            <w:tcW w:w="0" w:type="dxa"/>
            <w:vAlign w:val="bottom"/>
          </w:tcPr>
          <w:p>
            <w:pPr>
              <w:spacing w:after="0"/>
              <w:rPr>
                <w:sz w:val="1"/>
                <w:szCs w:val="1"/>
                <w:color w:val="auto"/>
              </w:rPr>
            </w:pPr>
          </w:p>
        </w:tc>
      </w:tr>
      <w:tr>
        <w:trPr>
          <w:trHeight w:val="27"/>
        </w:trPr>
        <w:tc>
          <w:tcPr>
            <w:tcW w:w="8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5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0" w:type="dxa"/>
            <w:vAlign w:val="bottom"/>
          </w:tcPr>
          <w:p>
            <w:pPr>
              <w:spacing w:after="0"/>
              <w:rPr>
                <w:sz w:val="1"/>
                <w:szCs w:val="1"/>
                <w:color w:val="auto"/>
              </w:rPr>
            </w:pPr>
          </w:p>
        </w:tc>
      </w:tr>
      <w:tr>
        <w:trPr>
          <w:trHeight w:val="228"/>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5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504,815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4. FAIR VALUE MEASURES</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from selling an asset or paid to transfer a liability (i.e., the "exit price") in an orderly transaction between market participants at the measurement date. In determining fair value, the use of various valuation methodologies, including market, income and cost approaches, are permissible. The inputs to these methodologies consider market comparable information, taking into account the principal or most advantageous market in which we would transact, when pricing the asset or liability.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Hierarchy</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measurements established a three-level fair value hierarchy that requires an entity to maximize the use of observable inputs and minimize the use of unobservable inputs when measuring fair value. The hierarchy ranks the reliability of the inputs, based upon the lowest level of input that is significant to the fair value measurement, used to determine fair value. Our assessment of the significance of a particular input to the fair value measurement requires judgment and may affect its placement within the fair value hierarchy. We have categorized our assets and liabilities within the fair value hierarchy as follows: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Level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quoted prices in active markets for identical assets or liabilities.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Level 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inputs other than quoted prices that are observable for the asset or liability such as quoted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53"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Level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applies to assets or liabilities for which there are unobservable inputs to the valuation methodology that are significant to the measurement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fair value of the assets or liabilities.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assumptions used in determining fair value represent our best estimates, but these estimates involve inherent uncertainties and the application of our judgment. As a result, if factors change, our fair value estimates could be materially different in the future and may adversely affect our business and financial results.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Assets and Liabilities Measured at Fair Value on a Recurring Basis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show, by level within the fair value hierarchy, our assets and liabilities that are measured at fair value on a recurring basis as of November 30, 2023, and August 31, 2023. We did not have any transfers between levels of fair value measurements during the periods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80" w:type="dxa"/>
            <w:vAlign w:val="bottom"/>
            <w:gridSpan w:val="6"/>
          </w:tcPr>
          <w:p>
            <w:pPr>
              <w:jc w:val="right"/>
              <w:ind w:right="90"/>
              <w:spacing w:after="0"/>
              <w:rPr>
                <w:sz w:val="20"/>
                <w:szCs w:val="20"/>
                <w:color w:val="auto"/>
              </w:rPr>
            </w:pPr>
            <w:r>
              <w:rPr>
                <w:rFonts w:ascii="Times New Roman" w:cs="Times New Roman" w:eastAsia="Times New Roman" w:hAnsi="Times New Roman"/>
                <w:sz w:val="18"/>
                <w:szCs w:val="18"/>
                <w:color w:val="auto"/>
              </w:rPr>
              <w:t>Fair Value Measurements at November 30, 2023</w:t>
            </w:r>
          </w:p>
        </w:tc>
        <w:tc>
          <w:tcPr>
            <w:tcW w:w="1120" w:type="dxa"/>
            <w:vAlign w:val="bottom"/>
          </w:tcPr>
          <w:p>
            <w:pPr>
              <w:spacing w:after="0"/>
              <w:rPr>
                <w:sz w:val="20"/>
                <w:szCs w:val="20"/>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Level 3</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40" w:type="dxa"/>
            <w:vAlign w:val="bottom"/>
            <w:gridSpan w:val="2"/>
          </w:tcPr>
          <w:p>
            <w:pPr>
              <w:jc w:val="right"/>
              <w:ind w:right="21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107,165</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32,072</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32,072</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107,165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33,994</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141,159</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1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8,490</w:t>
            </w:r>
          </w:p>
        </w:tc>
      </w:tr>
      <w:tr>
        <w:trPr>
          <w:trHeight w:val="765"/>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80" w:type="dxa"/>
            <w:vAlign w:val="bottom"/>
            <w:gridSpan w:val="6"/>
          </w:tcPr>
          <w:p>
            <w:pPr>
              <w:jc w:val="right"/>
              <w:ind w:right="210"/>
              <w:spacing w:after="0"/>
              <w:rPr>
                <w:sz w:val="20"/>
                <w:szCs w:val="20"/>
                <w:color w:val="auto"/>
              </w:rPr>
            </w:pPr>
            <w:r>
              <w:rPr>
                <w:rFonts w:ascii="Times New Roman" w:cs="Times New Roman" w:eastAsia="Times New Roman" w:hAnsi="Times New Roman"/>
                <w:sz w:val="18"/>
                <w:szCs w:val="18"/>
                <w:color w:val="auto"/>
              </w:rPr>
              <w:t>Fair Value Measurements at August 31, 2023</w:t>
            </w:r>
          </w:p>
        </w:tc>
        <w:tc>
          <w:tcPr>
            <w:tcW w:w="1120" w:type="dxa"/>
            <w:vAlign w:val="bottom"/>
          </w:tcPr>
          <w:p>
            <w:pPr>
              <w:spacing w:after="0"/>
              <w:rPr>
                <w:sz w:val="24"/>
                <w:szCs w:val="24"/>
                <w:color w:val="auto"/>
              </w:rPr>
            </w:pPr>
          </w:p>
        </w:tc>
      </w:tr>
      <w:tr>
        <w:trPr>
          <w:trHeight w:val="270"/>
        </w:trPr>
        <w:tc>
          <w:tcPr>
            <w:tcW w:w="20" w:type="dxa"/>
            <w:vAlign w:val="bottom"/>
            <w:tcBorders>
              <w:bottom w:val="single" w:sz="8" w:color="auto"/>
            </w:tcBorders>
          </w:tcPr>
          <w:p>
            <w:pPr>
              <w:spacing w:after="0"/>
              <w:rPr>
                <w:sz w:val="23"/>
                <w:szCs w:val="23"/>
                <w:color w:val="auto"/>
              </w:rPr>
            </w:pPr>
          </w:p>
        </w:tc>
        <w:tc>
          <w:tcPr>
            <w:tcW w:w="51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Level 1</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color w:val="auto"/>
              </w:rPr>
              <w:t>Level 2</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rPr>
              <w:t>Level 3</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Total</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w w:val="97"/>
              </w:rPr>
              <w:t>Assets</w:t>
            </w:r>
          </w:p>
        </w:tc>
        <w:tc>
          <w:tcPr>
            <w:tcW w:w="4640" w:type="dxa"/>
            <w:vAlign w:val="bottom"/>
            <w:tcBorders>
              <w:bottom w:val="single" w:sz="8" w:color="CCEEFF"/>
            </w:tcBorders>
            <w:gridSpan w:val="2"/>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Money market funds</w:t>
            </w:r>
            <w:r>
              <w:rPr>
                <w:rFonts w:ascii="Times New Roman" w:cs="Times New Roman" w:eastAsia="Times New Roman" w:hAnsi="Times New Roman"/>
                <w:sz w:val="23"/>
                <w:szCs w:val="23"/>
                <w:color w:val="auto"/>
                <w:vertAlign w:val="superscript"/>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bscript"/>
              </w:rPr>
              <w:t>$</w:t>
            </w:r>
          </w:p>
        </w:tc>
        <w:tc>
          <w:tcPr>
            <w:tcW w:w="1640" w:type="dxa"/>
            <w:vAlign w:val="bottom"/>
            <w:gridSpan w:val="2"/>
          </w:tcPr>
          <w:p>
            <w:pPr>
              <w:jc w:val="right"/>
              <w:ind w:right="21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137,125</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r>
              <w:rPr>
                <w:rFonts w:ascii="Times New Roman" w:cs="Times New Roman" w:eastAsia="Times New Roman" w:hAnsi="Times New Roman"/>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c>
          <w:tcPr>
            <w:tcW w:w="32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32,210</w:t>
            </w:r>
          </w:p>
        </w:tc>
      </w:tr>
      <w:tr>
        <w:trPr>
          <w:trHeight w:val="270"/>
        </w:trPr>
        <w:tc>
          <w:tcPr>
            <w:tcW w:w="20" w:type="dxa"/>
            <w:vAlign w:val="bottom"/>
            <w:tcBorders>
              <w:bottom w:val="single" w:sz="8" w:color="CCEEFF"/>
            </w:tcBorders>
          </w:tcPr>
          <w:p>
            <w:pPr>
              <w:spacing w:after="0"/>
              <w:rPr>
                <w:sz w:val="23"/>
                <w:szCs w:val="23"/>
                <w:color w:val="auto"/>
              </w:rPr>
            </w:pPr>
          </w:p>
        </w:tc>
        <w:tc>
          <w:tcPr>
            <w:tcW w:w="51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3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4,383</w:t>
            </w:r>
          </w:p>
        </w:tc>
      </w:tr>
      <w:tr>
        <w:trPr>
          <w:trHeight w:val="223"/>
        </w:trPr>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137,125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36,593</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173,718</w:t>
            </w:r>
          </w:p>
        </w:tc>
      </w:tr>
      <w:tr>
        <w:trPr>
          <w:trHeight w:val="216"/>
        </w:trPr>
        <w:tc>
          <w:tcPr>
            <w:tcW w:w="20" w:type="dxa"/>
            <w:vAlign w:val="bottom"/>
          </w:tcPr>
          <w:p>
            <w:pPr>
              <w:spacing w:after="0"/>
              <w:rPr>
                <w:sz w:val="18"/>
                <w:szCs w:val="18"/>
                <w:color w:val="auto"/>
              </w:rPr>
            </w:pPr>
          </w:p>
        </w:tc>
        <w:tc>
          <w:tcPr>
            <w:tcW w:w="5120" w:type="dxa"/>
            <w:vAlign w:val="bottom"/>
            <w:gridSpan w:val="3"/>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8"/>
              </w:rPr>
              <w:t>Liabilities</w:t>
            </w:r>
          </w:p>
        </w:tc>
        <w:tc>
          <w:tcPr>
            <w:tcW w:w="43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 instruments</w:t>
            </w:r>
            <w:r>
              <w:rPr>
                <w:rFonts w:ascii="Times New Roman" w:cs="Times New Roman" w:eastAsia="Times New Roman" w:hAnsi="Times New Roman"/>
                <w:sz w:val="23"/>
                <w:szCs w:val="23"/>
                <w:color w:val="auto"/>
                <w:vertAlign w:val="superscript"/>
              </w:rPr>
              <w:t>(3)</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21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270"/>
        </w:trPr>
        <w:tc>
          <w:tcPr>
            <w:tcW w:w="20" w:type="dxa"/>
            <w:vAlign w:val="bottom"/>
            <w:shd w:val="clear" w:color="auto" w:fill="CCEEFF"/>
          </w:tcPr>
          <w:p>
            <w:pPr>
              <w:spacing w:after="0"/>
              <w:rPr>
                <w:sz w:val="23"/>
                <w:szCs w:val="23"/>
                <w:color w:val="auto"/>
              </w:rPr>
            </w:pPr>
          </w:p>
        </w:tc>
        <w:tc>
          <w:tcPr>
            <w:tcW w:w="5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Liability</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4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r>
      <w:tr>
        <w:trPr>
          <w:trHeight w:val="228"/>
        </w:trPr>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4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8,616</w:t>
            </w:r>
          </w:p>
        </w:tc>
      </w:tr>
    </w:tbl>
    <w:p>
      <w:pPr>
        <w:spacing w:after="0" w:line="184" w:lineRule="exact"/>
        <w:rPr>
          <w:sz w:val="20"/>
          <w:szCs w:val="20"/>
          <w:color w:val="auto"/>
        </w:rPr>
      </w:pPr>
    </w:p>
    <w:p>
      <w:pPr>
        <w:ind w:left="260" w:hanging="252"/>
        <w:spacing w:after="0" w:line="280" w:lineRule="auto"/>
        <w:tabs>
          <w:tab w:leader="none" w:pos="252"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money market funds are readily convertible into cash and the net asset value of each fund on the last day of the reporting period is used to determine its fair value. Our money market funds are included in Cash and cash equivalents within the Consolidated Balance Sheets.</w:t>
      </w:r>
    </w:p>
    <w:p>
      <w:pPr>
        <w:spacing w:after="0" w:line="56"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mutual funds' fair value is based on the fair value of the underlying investments held by the mutual funds, allocated to each share of the mutual fund using a net asset value approach. The fair value of the underlying investments is based on observable inputs. Our mutual funds are included in Investments within the Consolidated Balance Sheets.</w:t>
      </w:r>
    </w:p>
    <w:p>
      <w:pPr>
        <w:spacing w:after="0" w:line="76" w:lineRule="exact"/>
        <w:rPr>
          <w:rFonts w:ascii="Times New Roman" w:cs="Times New Roman" w:eastAsia="Times New Roman" w:hAnsi="Times New Roman"/>
          <w:sz w:val="16"/>
          <w:szCs w:val="16"/>
          <w:color w:val="auto"/>
        </w:rPr>
      </w:pPr>
    </w:p>
    <w:p>
      <w:pPr>
        <w:jc w:val="both"/>
        <w:ind w:left="260" w:hanging="252"/>
        <w:spacing w:after="0" w:line="259" w:lineRule="auto"/>
        <w:tabs>
          <w:tab w:leader="none" w:pos="24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derivative instruments include our foreign exchange forward contracts and our 2022 Swap Agreement. We utilize the income approach to measure fair value for our foreign exchange forward contracts. The income approach uses pricing models that rely on market observable inputs such as spot, forward and interest rates, as well as credit default swap spreads. To estimate fair value for our interest rate swap agreement, we utilize a present value of future cash flows, leveraging a model-derived valuation that uses observable inputs such as interest rate yield curves. Refer to Note 5, Derivative Instruments, for more information on our derivative instruments and their classification within the Consolidated Balance Sheets.</w:t>
      </w:r>
    </w:p>
    <w:p>
      <w:pPr>
        <w:spacing w:after="0" w:line="87" w:lineRule="exact"/>
        <w:rPr>
          <w:rFonts w:ascii="Times New Roman" w:cs="Times New Roman" w:eastAsia="Times New Roman" w:hAnsi="Times New Roman"/>
          <w:sz w:val="16"/>
          <w:szCs w:val="16"/>
          <w:color w:val="auto"/>
        </w:rPr>
      </w:pPr>
    </w:p>
    <w:p>
      <w:pPr>
        <w:jc w:val="both"/>
        <w:ind w:left="260" w:hanging="252"/>
        <w:spacing w:after="0" w:line="258" w:lineRule="auto"/>
        <w:tabs>
          <w:tab w:leader="none" w:pos="267"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contingent liability resulted from the acquisition of a business during fiscal 2023. This liability reflects the present value of potential future payments that are contingent upon the achievement of certain specified milestones. The acquisition date fair value of the contingent liability was $7.9 million and was valued using a scenario-based method. This method incorporates unobservable inputs and assumptions made by management, including the probability of achieving specified milestones, expected time until payment and the discount rate. The fair value of the contingent liability is remeasured each reporting period until the contingency is resolved, with any changes in fair value recorded in Selling, general and administrative ("SG&amp;A") within the Consolidated Statements of Income. The change in the fair value of the contingent liability from the acquisition date through November 30, 2023 was driven by the passage of time, with no changes made to key assumptions used in our fair value estimates.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Assets and Liabilities Measured at Fair Value on a Non-Recurring Basis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Assets that are measured at fair value on a non-recurring basis primarily include our tangible fixed assets, lease right-of-use ("ROU") assets, goodwill and intangible assets. These assets are assessed for impairment whenever events or circumstances indicate their carrying value may not be fully recoverable, and at least annually for goodwill. The fair values of these non-financial assets are determined based on valuation techniques using the best information available, and may include quoted market prices, market comparable information and discounted cash flow projections.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 Assets and Liabilities Measured at Fair Value for Disclosure Purposes </w:t>
      </w:r>
      <w:r>
        <w:rPr>
          <w:rFonts w:ascii="Times New Roman" w:cs="Times New Roman" w:eastAsia="Times New Roman" w:hAnsi="Times New Roman"/>
          <w:sz w:val="18"/>
          <w:szCs w:val="18"/>
          <w:color w:val="auto"/>
        </w:rPr>
        <w:t>O</w:t>
      </w:r>
      <w:r>
        <w:rPr>
          <w:rFonts w:ascii="Times New Roman" w:cs="Times New Roman" w:eastAsia="Times New Roman" w:hAnsi="Times New Roman"/>
          <w:sz w:val="18"/>
          <w:szCs w:val="18"/>
          <w:b w:val="1"/>
          <w:bCs w:val="1"/>
          <w:i w:val="1"/>
          <w:iCs w:val="1"/>
          <w:color w:val="auto"/>
        </w:rPr>
        <w:t>nly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on the Consolidated Balance Sheet at fair value. The carrying value of our Long-term debt is net of related unamortized discounts and debt issuance costs.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Senior Notes are publicly traded; therefore, the fair value of our Senior Notes is estimated based on quoted prices in active markets as of the reporting date, which are considered Level 1 inputs. The fair value of our 2022 Credit Facilities is estimated based on quoted market prices for similar instruments, adjusted for unobservable inputs to ensure comparability to our investment rating, maturity terms and principal outstanding, which are considered Level 3 inputs.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definitions of these terms and more information on the Senior Notes and 2022 Credit Facilities.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information on our outstanding debt as of November 30, 2023 and August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2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November 30, 2023</w:t>
            </w:r>
          </w:p>
        </w:tc>
        <w:tc>
          <w:tcPr>
            <w:tcW w:w="180" w:type="dxa"/>
            <w:vAlign w:val="bottom"/>
          </w:tcPr>
          <w:p>
            <w:pPr>
              <w:spacing w:after="0"/>
              <w:rPr>
                <w:sz w:val="19"/>
                <w:szCs w:val="19"/>
                <w:color w:val="auto"/>
              </w:rPr>
            </w:pPr>
          </w:p>
        </w:tc>
        <w:tc>
          <w:tcPr>
            <w:tcW w:w="222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4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2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180" w:type="dxa"/>
            <w:vAlign w:val="bottom"/>
          </w:tcPr>
          <w:p>
            <w:pPr>
              <w:spacing w:after="0"/>
              <w:rPr>
                <w:sz w:val="16"/>
                <w:szCs w:val="16"/>
                <w:color w:val="auto"/>
              </w:rPr>
            </w:pPr>
          </w:p>
        </w:tc>
        <w:tc>
          <w:tcPr>
            <w:tcW w:w="102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Principal</w:t>
            </w:r>
          </w:p>
        </w:tc>
        <w:tc>
          <w:tcPr>
            <w:tcW w:w="120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Estimated Fair</w:t>
            </w:r>
          </w:p>
        </w:tc>
        <w:tc>
          <w:tcPr>
            <w:tcW w:w="0" w:type="dxa"/>
            <w:vAlign w:val="bottom"/>
          </w:tcPr>
          <w:p>
            <w:pPr>
              <w:spacing w:after="0"/>
              <w:rPr>
                <w:sz w:val="1"/>
                <w:szCs w:val="1"/>
                <w:color w:val="auto"/>
              </w:rPr>
            </w:pPr>
          </w:p>
        </w:tc>
      </w:tr>
      <w:tr>
        <w:trPr>
          <w:trHeight w:val="234"/>
        </w:trPr>
        <w:tc>
          <w:tcPr>
            <w:tcW w:w="4620" w:type="dxa"/>
            <w:vAlign w:val="bottom"/>
            <w:tcBorders>
              <w:bottom w:val="single" w:sz="8" w:color="auto"/>
            </w:tcBorders>
            <w:gridSpan w:val="2"/>
            <w:vMerge w:val="continue"/>
          </w:tcPr>
          <w:p>
            <w:pPr>
              <w:spacing w:after="0"/>
              <w:rPr>
                <w:sz w:val="20"/>
                <w:szCs w:val="20"/>
                <w:color w:val="auto"/>
              </w:rPr>
            </w:pPr>
          </w:p>
        </w:tc>
        <w:tc>
          <w:tcPr>
            <w:tcW w:w="182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Hierarchy</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0" w:type="dxa"/>
            <w:vAlign w:val="bottom"/>
          </w:tcPr>
          <w:p>
            <w:pPr>
              <w:spacing w:after="0"/>
              <w:rPr>
                <w:sz w:val="1"/>
                <w:szCs w:val="1"/>
                <w:color w:val="auto"/>
              </w:rPr>
            </w:pPr>
          </w:p>
        </w:tc>
      </w:tr>
      <w:tr>
        <w:trPr>
          <w:trHeight w:val="223"/>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461,435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460,890</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82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425,790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423,700</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Facility</w:t>
            </w:r>
          </w:p>
        </w:tc>
        <w:tc>
          <w:tcPr>
            <w:tcW w:w="182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313,281</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376,406</w:t>
            </w:r>
          </w:p>
        </w:tc>
        <w:tc>
          <w:tcPr>
            <w:tcW w:w="0" w:type="dxa"/>
            <w:vAlign w:val="bottom"/>
          </w:tcPr>
          <w:p>
            <w:pPr>
              <w:spacing w:after="0"/>
              <w:rPr>
                <w:sz w:val="1"/>
                <w:szCs w:val="1"/>
                <w:color w:val="auto"/>
              </w:rPr>
            </w:pPr>
          </w:p>
        </w:tc>
      </w:tr>
      <w:tr>
        <w:trPr>
          <w:trHeight w:val="229"/>
        </w:trPr>
        <w:tc>
          <w:tcPr>
            <w:tcW w:w="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2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Revolving Facility</w:t>
            </w:r>
          </w:p>
        </w:tc>
        <w:tc>
          <w:tcPr>
            <w:tcW w:w="1820" w:type="dxa"/>
            <w:vAlign w:val="bottom"/>
            <w:tcBorders>
              <w:bottom w:val="single" w:sz="8" w:color="CCEEFF"/>
            </w:tcBorders>
          </w:tcPr>
          <w:p>
            <w:pPr>
              <w:jc w:val="center"/>
              <w:ind w:left="470"/>
              <w:spacing w:after="0"/>
              <w:rPr>
                <w:sz w:val="20"/>
                <w:szCs w:val="20"/>
                <w:color w:val="auto"/>
              </w:rPr>
            </w:pPr>
            <w:r>
              <w:rPr>
                <w:rFonts w:ascii="Times New Roman" w:cs="Times New Roman" w:eastAsia="Times New Roman" w:hAnsi="Times New Roman"/>
                <w:sz w:val="18"/>
                <w:szCs w:val="18"/>
                <w:color w:val="auto"/>
                <w:w w:val="99"/>
              </w:rPr>
              <w:t>Level 3</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245,938</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246,875</w:t>
            </w:r>
          </w:p>
        </w:tc>
        <w:tc>
          <w:tcPr>
            <w:tcW w:w="0" w:type="dxa"/>
            <w:vAlign w:val="bottom"/>
          </w:tcPr>
          <w:p>
            <w:pPr>
              <w:spacing w:after="0"/>
              <w:rPr>
                <w:sz w:val="1"/>
                <w:szCs w:val="1"/>
                <w:color w:val="auto"/>
              </w:rPr>
            </w:pPr>
          </w:p>
        </w:tc>
      </w:tr>
      <w:tr>
        <w:trPr>
          <w:trHeight w:val="223"/>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principal amount</w:t>
            </w:r>
          </w:p>
        </w:tc>
        <w:tc>
          <w:tcPr>
            <w:tcW w:w="18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1,625,000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1,507,871</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24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(12,300)</w:t>
            </w: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carrying value of debt</w:t>
            </w:r>
          </w:p>
        </w:tc>
        <w:tc>
          <w:tcPr>
            <w:tcW w:w="18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1,551,134</w:t>
            </w: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CCEEFF"/>
            </w:tcBorders>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5. DERIVATIVE INSTRUMENTS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designing our hedging approach, we consider several factors, including offsetting exposures, the significance of exposures, the forecasting of risk and the potential effectiveness of the hedge to reduce the volatility of our earnings and cash flows. Factors considered in the decision to hedge an underlying market exposure include the materiality of the risk, the volatility of the market, the duration of the hedge, the degree to which the underlying exposure is committed, and the availability, effectiveness and cost of derivative instruments. Derivative instruments are only utilized for risk management purposes and are not used for speculative or trading purposes. We limit counterparties to financial institutions we believe are credit-worthy. Refer to Note 2, </w:t>
      </w:r>
      <w:r>
        <w:rPr>
          <w:rFonts w:ascii="Times New Roman" w:cs="Times New Roman" w:eastAsia="Times New Roman" w:hAnsi="Times New Roman"/>
          <w:sz w:val="18"/>
          <w:szCs w:val="18"/>
          <w:i w:val="1"/>
          <w:iCs w:val="1"/>
          <w:color w:val="auto"/>
        </w:rPr>
        <w:t>Summary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Significant Accounting Policies - Concentrations of Credit Risk</w:t>
      </w:r>
      <w:r>
        <w:rPr>
          <w:rFonts w:ascii="Times New Roman" w:cs="Times New Roman" w:eastAsia="Times New Roman" w:hAnsi="Times New Roman"/>
          <w:sz w:val="18"/>
          <w:szCs w:val="18"/>
          <w:color w:val="auto"/>
        </w:rPr>
        <w:t>, for further discussion on counterparty credit risk.</w:t>
      </w:r>
    </w:p>
    <w:p>
      <w:pPr>
        <w:spacing w:after="0" w:line="14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leverage foreign currency forward contracts and interest rate swap agreements to mitigate certain operational exposures from the impact of changes in foreign currency exchange rates and to manage our interest rate exposure. For a derivative that was designated and qualified as a cash flow hedge, the effective portion of the change in fair value of the derivative is recorded in Accumulated Other Comprehensive Loss ("AOCL"), net of tax, in the Consolidated Balance Sheets. Realized gains or losses resulting from settlement of our foreign currency forward contracts and interest rate swap agreements are subsequently reclassified into SG&amp;A and Interest expense, respectively, in the Consolidated Statements of Income when the hedges are settled. All of our derivatives qualified and were designated as cash flow hedges, and none of our derivatives were deemed ineffective, during the three months ended November 30, 2023 and November 30, 2022. There was no discontinuance of our cash flow hedges during the three months ended November 30, 2023 and November 30, 2022, and as such, no corresponding gains or losses related to changes in the value of our contracts were reclassified into earnings prior to settlement.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As of November 30, 2023, we maintained a series of foreign currency forward contracts to hedge a portion of our primary currency exposures, namely the British Pound Sterling, Indian Rupee, Euro and Philippine Peso. We entered into these contracts to hedge between 25% to 75% of the currency exposure related to our projected operating income in these primary currencies over their respective hedge periods. The hedge period maturities range from the second quarter of fiscal 2024 through the first quarter of fiscal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November 30, 2023</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9"/>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5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jc w:val="right"/>
              <w:ind w:right="170"/>
              <w:spacing w:after="0" w:line="189"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vMerge w:val="continue"/>
          </w:tcPr>
          <w:p>
            <w:pPr>
              <w:spacing w:after="0"/>
              <w:rPr>
                <w:sz w:val="20"/>
                <w:szCs w:val="20"/>
                <w:color w:val="auto"/>
              </w:rPr>
            </w:pPr>
          </w:p>
        </w:tc>
        <w:tc>
          <w:tcPr>
            <w:tcW w:w="3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55,208</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4,162,086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3,363,150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30"/>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1,878,107</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185,338</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further discussion of our exposure to foreign exchange rate fluctuations.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Swap Agreement</w:t>
      </w:r>
    </w:p>
    <w:p>
      <w:pPr>
        <w:spacing w:after="0" w:line="1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1, 2022, we entered into an interest rate swap agreement ("2022 Swap Agreement") with a notional amount of $800.0 million to hedge a portion of our outstanding floating Secured Overnight Financing Rate ("SOFR") rate debt with a fixed interest rate of 1.162%. The notional amount of the 2022 Swap Agreement declines by $100.0 million on a quarterly basis beginning May 31, 2022 and is maturing on February 28, 2024. Effective December 30, 2022, we partially novated our 2022 Swap Agreement to equally apportion the then outstanding notional amount of the interest rate swap between two</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counterparties. No other terms of the 2022 Swap Agreement were amended, terminated, or otherwise modified. As of November 30, 2023, the notional amount of the 2022 Swap Agreement was $100.0 million.</w:t>
      </w:r>
    </w:p>
    <w:p>
      <w:pPr>
        <w:spacing w:after="0" w:line="1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further discussion of our outstanding floating SOFR rate debt and refer to Part I, Item 3. </w:t>
      </w:r>
      <w:r>
        <w:rPr>
          <w:rFonts w:ascii="Times New Roman" w:cs="Times New Roman" w:eastAsia="Times New Roman" w:hAnsi="Times New Roman"/>
          <w:sz w:val="18"/>
          <w:szCs w:val="18"/>
          <w:i w:val="1"/>
          <w:iCs w:val="1"/>
          <w:color w:val="auto"/>
        </w:rPr>
        <w:t>Quantitative and Qualitative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About Market Risk </w:t>
      </w:r>
      <w:r>
        <w:rPr>
          <w:rFonts w:ascii="Times New Roman" w:cs="Times New Roman" w:eastAsia="Times New Roman" w:hAnsi="Times New Roman"/>
          <w:sz w:val="18"/>
          <w:szCs w:val="18"/>
          <w:color w:val="auto"/>
        </w:rPr>
        <w:t>of this Quarterly Report on Form 10-Q for further discussion of our exposure to interest rate risk on our long-term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Notional Value and Fair Value of Derivative Instruments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gross notional values of our derivative instruments: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3"/>
          </w:tcPr>
          <w:p>
            <w:pPr>
              <w:jc w:val="right"/>
              <w:ind w:right="890"/>
              <w:spacing w:after="0"/>
              <w:rPr>
                <w:sz w:val="20"/>
                <w:szCs w:val="20"/>
                <w:color w:val="auto"/>
              </w:rPr>
            </w:pPr>
            <w:r>
              <w:rPr>
                <w:rFonts w:ascii="Times New Roman" w:cs="Times New Roman" w:eastAsia="Times New Roman" w:hAnsi="Times New Roman"/>
                <w:sz w:val="18"/>
                <w:szCs w:val="18"/>
                <w:color w:val="auto"/>
              </w:rPr>
              <w:t>Gross Notional Value</w:t>
            </w:r>
          </w:p>
        </w:tc>
      </w:tr>
      <w:tr>
        <w:trPr>
          <w:trHeight w:val="304"/>
        </w:trPr>
        <w:tc>
          <w:tcPr>
            <w:tcW w:w="7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November 30, 2023</w:t>
            </w: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43"/>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r>
      <w:tr>
        <w:trPr>
          <w:trHeight w:val="24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7"/>
        </w:trPr>
        <w:tc>
          <w:tcPr>
            <w:tcW w:w="7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372,644</w:t>
            </w:r>
          </w:p>
        </w:tc>
      </w:tr>
      <w:tr>
        <w:trPr>
          <w:trHeight w:val="22"/>
        </w:trPr>
        <w:tc>
          <w:tcPr>
            <w:tcW w:w="7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fair values of our derivative instruments: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0" w:type="dxa"/>
            <w:vAlign w:val="bottom"/>
            <w:tcBorders>
              <w:bottom w:val="single" w:sz="8" w:color="auto"/>
            </w:tcBorders>
            <w:gridSpan w:val="4"/>
          </w:tcPr>
          <w:p>
            <w:pPr>
              <w:ind w:left="880"/>
              <w:spacing w:after="0"/>
              <w:rPr>
                <w:sz w:val="20"/>
                <w:szCs w:val="20"/>
                <w:color w:val="auto"/>
              </w:rPr>
            </w:pPr>
            <w:r>
              <w:rPr>
                <w:rFonts w:ascii="Times New Roman" w:cs="Times New Roman" w:eastAsia="Times New Roman" w:hAnsi="Times New Roman"/>
                <w:sz w:val="18"/>
                <w:szCs w:val="18"/>
                <w:color w:val="auto"/>
              </w:rPr>
              <w:t>Fair Value of Derivative Instruments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300" w:type="dxa"/>
            <w:vAlign w:val="bottom"/>
            <w:tcBorders>
              <w:bottom w:val="single" w:sz="8" w:color="auto"/>
            </w:tcBorders>
            <w:gridSpan w:val="3"/>
          </w:tcPr>
          <w:p>
            <w:pPr>
              <w:ind w:left="1680"/>
              <w:spacing w:after="0"/>
              <w:rPr>
                <w:sz w:val="20"/>
                <w:szCs w:val="20"/>
                <w:color w:val="auto"/>
              </w:rPr>
            </w:pPr>
            <w:r>
              <w:rPr>
                <w:rFonts w:ascii="Times New Roman" w:cs="Times New Roman" w:eastAsia="Times New Roman" w:hAnsi="Times New Roman"/>
                <w:sz w:val="18"/>
                <w:szCs w:val="18"/>
                <w:color w:val="auto"/>
              </w:rPr>
              <w:t>Derivative Assets</w:t>
            </w: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78"/>
        </w:trPr>
        <w:tc>
          <w:tcPr>
            <w:tcW w:w="246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Derivatives designated as</w:t>
            </w:r>
          </w:p>
        </w:tc>
        <w:tc>
          <w:tcPr>
            <w:tcW w:w="2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5"/>
                <w:szCs w:val="15"/>
                <w:color w:val="auto"/>
              </w:rPr>
            </w:pPr>
          </w:p>
        </w:tc>
        <w:tc>
          <w:tcPr>
            <w:tcW w:w="110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w w:val="97"/>
              </w:rPr>
              <w:t>November 30,</w:t>
            </w: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7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Balance Sheet</w:t>
            </w:r>
          </w:p>
        </w:tc>
        <w:tc>
          <w:tcPr>
            <w:tcW w:w="120" w:type="dxa"/>
            <w:vAlign w:val="bottom"/>
          </w:tcPr>
          <w:p>
            <w:pPr>
              <w:spacing w:after="0"/>
              <w:rPr>
                <w:sz w:val="15"/>
                <w:szCs w:val="15"/>
                <w:color w:val="auto"/>
              </w:rPr>
            </w:pPr>
          </w:p>
        </w:tc>
        <w:tc>
          <w:tcPr>
            <w:tcW w:w="1120" w:type="dxa"/>
            <w:vAlign w:val="bottom"/>
          </w:tcPr>
          <w:p>
            <w:pPr>
              <w:jc w:val="right"/>
              <w:ind w:right="10"/>
              <w:spacing w:after="0" w:line="177" w:lineRule="exact"/>
              <w:rPr>
                <w:sz w:val="20"/>
                <w:szCs w:val="20"/>
                <w:color w:val="auto"/>
              </w:rPr>
            </w:pPr>
            <w:r>
              <w:rPr>
                <w:rFonts w:ascii="Times New Roman" w:cs="Times New Roman" w:eastAsia="Times New Roman" w:hAnsi="Times New Roman"/>
                <w:sz w:val="18"/>
                <w:szCs w:val="18"/>
                <w:color w:val="auto"/>
                <w:w w:val="97"/>
              </w:rPr>
              <w:t>November 30,</w:t>
            </w:r>
          </w:p>
        </w:tc>
        <w:tc>
          <w:tcPr>
            <w:tcW w:w="160" w:type="dxa"/>
            <w:vAlign w:val="bottom"/>
          </w:tcPr>
          <w:p>
            <w:pPr>
              <w:spacing w:after="0"/>
              <w:rPr>
                <w:sz w:val="15"/>
                <w:szCs w:val="15"/>
                <w:color w:val="auto"/>
              </w:rPr>
            </w:pPr>
          </w:p>
        </w:tc>
        <w:tc>
          <w:tcPr>
            <w:tcW w:w="980" w:type="dxa"/>
            <w:vAlign w:val="bottom"/>
          </w:tcPr>
          <w:p>
            <w:pPr>
              <w:jc w:val="right"/>
              <w:ind w:right="70"/>
              <w:spacing w:after="0" w:line="177" w:lineRule="exact"/>
              <w:rPr>
                <w:sz w:val="20"/>
                <w:szCs w:val="20"/>
                <w:color w:val="auto"/>
              </w:rPr>
            </w:pPr>
            <w:r>
              <w:rPr>
                <w:rFonts w:ascii="Times New Roman" w:cs="Times New Roman" w:eastAsia="Times New Roman" w:hAnsi="Times New Roman"/>
                <w:sz w:val="18"/>
                <w:szCs w:val="18"/>
                <w:color w:val="auto"/>
              </w:rPr>
              <w:t>August 31,</w:t>
            </w:r>
          </w:p>
        </w:tc>
      </w:tr>
      <w:tr>
        <w:trPr>
          <w:trHeight w:val="234"/>
        </w:trPr>
        <w:tc>
          <w:tcPr>
            <w:tcW w:w="2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hedging instruments</w:t>
            </w: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31, 2023</w:t>
            </w:r>
          </w:p>
        </w:tc>
        <w:tc>
          <w:tcPr>
            <w:tcW w:w="1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Classification</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r>
      <w:tr>
        <w:trPr>
          <w:trHeight w:val="178"/>
        </w:trPr>
        <w:tc>
          <w:tcPr>
            <w:tcW w:w="246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Foreign currency forward</w:t>
            </w:r>
          </w:p>
        </w:tc>
        <w:tc>
          <w:tcPr>
            <w:tcW w:w="20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780" w:type="dxa"/>
            <w:vAlign w:val="bottom"/>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Accounts payable and</w:t>
            </w: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234"/>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contracts</w:t>
            </w: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r>
        <w:trPr>
          <w:trHeight w:val="184"/>
        </w:trPr>
        <w:tc>
          <w:tcPr>
            <w:tcW w:w="246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Prepaid expenses and other</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7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Accounts payable and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2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4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Recognition</w:t>
      </w:r>
    </w:p>
    <w:p>
      <w:pPr>
        <w:spacing w:after="0" w:line="189" w:lineRule="exact"/>
        <w:rPr>
          <w:sz w:val="20"/>
          <w:szCs w:val="20"/>
          <w:color w:val="auto"/>
        </w:rPr>
      </w:pPr>
    </w:p>
    <w:p>
      <w:pPr>
        <w:jc w:val="both"/>
        <w:ind w:right="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pre-tax effect of derivative instruments in cash flow hedging relationships for the three months ended November 30, 2023 and November 30,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rPr>
              <w:t>Gain (Loss) Recognized in</w:t>
            </w:r>
          </w:p>
        </w:tc>
        <w:tc>
          <w:tcPr>
            <w:tcW w:w="2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Gain (Loss) Reclassified from</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AOCL on Derivatives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w w:val="99"/>
              </w:rPr>
              <w:t>AOCL into Income</w:t>
            </w:r>
          </w:p>
        </w:tc>
        <w:tc>
          <w:tcPr>
            <w:tcW w:w="0" w:type="dxa"/>
            <w:vAlign w:val="bottom"/>
          </w:tcPr>
          <w:p>
            <w:pPr>
              <w:spacing w:after="0"/>
              <w:rPr>
                <w:sz w:val="1"/>
                <w:szCs w:val="1"/>
                <w:color w:val="auto"/>
              </w:rPr>
            </w:pPr>
          </w:p>
        </w:tc>
      </w:tr>
      <w:tr>
        <w:trPr>
          <w:trHeight w:val="27"/>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3"/>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3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280" w:type="dxa"/>
            <w:vAlign w:val="bottom"/>
            <w:gridSpan w:val="3"/>
          </w:tcPr>
          <w:p>
            <w:pPr>
              <w:jc w:val="center"/>
              <w:ind w:right="90"/>
              <w:spacing w:after="0"/>
              <w:rPr>
                <w:sz w:val="20"/>
                <w:szCs w:val="20"/>
                <w:color w:val="auto"/>
              </w:rPr>
            </w:pPr>
            <w:r>
              <w:rPr>
                <w:rFonts w:ascii="Times New Roman" w:cs="Times New Roman" w:eastAsia="Times New Roman" w:hAnsi="Times New Roman"/>
                <w:sz w:val="18"/>
                <w:szCs w:val="18"/>
                <w:color w:val="auto"/>
                <w:w w:val="99"/>
              </w:rPr>
              <w:t>November 30,</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Location of Gain (Loss)</w:t>
            </w:r>
          </w:p>
        </w:tc>
        <w:tc>
          <w:tcPr>
            <w:tcW w:w="140" w:type="dxa"/>
            <w:vAlign w:val="bottom"/>
          </w:tcPr>
          <w:p>
            <w:pPr>
              <w:spacing w:after="0"/>
              <w:rPr>
                <w:sz w:val="24"/>
                <w:szCs w:val="24"/>
                <w:color w:val="auto"/>
              </w:rPr>
            </w:pPr>
          </w:p>
        </w:tc>
        <w:tc>
          <w:tcPr>
            <w:tcW w:w="2380" w:type="dxa"/>
            <w:vAlign w:val="bottom"/>
            <w:gridSpan w:val="3"/>
          </w:tcPr>
          <w:p>
            <w:pPr>
              <w:jc w:val="center"/>
              <w:ind w:right="5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Reclassified from AOCL into</w:t>
            </w: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1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SG&amp;A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swap agreement</w:t>
            </w: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w:t>
            </w:r>
          </w:p>
        </w:tc>
        <w:tc>
          <w:tcPr>
            <w:tcW w:w="24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330"/>
              <w:spacing w:after="0"/>
              <w:rPr>
                <w:sz w:val="20"/>
                <w:szCs w:val="20"/>
                <w:color w:val="auto"/>
              </w:rPr>
            </w:pPr>
            <w:r>
              <w:rPr>
                <w:rFonts w:ascii="Times New Roman" w:cs="Times New Roman" w:eastAsia="Times New Roman" w:hAnsi="Times New Roman"/>
                <w:sz w:val="18"/>
                <w:szCs w:val="18"/>
                <w:color w:val="auto"/>
                <w:w w:val="98"/>
              </w:rPr>
              <w:t>2,897</w:t>
            </w:r>
          </w:p>
        </w:tc>
        <w:tc>
          <w:tcPr>
            <w:tcW w:w="0" w:type="dxa"/>
            <w:vAlign w:val="bottom"/>
          </w:tcPr>
          <w:p>
            <w:pPr>
              <w:spacing w:after="0"/>
              <w:rPr>
                <w:sz w:val="1"/>
                <w:szCs w:val="1"/>
                <w:color w:val="auto"/>
              </w:rPr>
            </w:pP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flow hedges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24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2023, we estimate that net pre-tax derivative gains of $1.5 million included in AOCL will be reclassified into earnings within the next 12 months. As of November 30, 2023, our cash flow hedges were highly effective with no amount of ineffectiveness recorded in the Consolidated Statements of Income. All components of each derivative’s gain or loss were included in the assessment of hedge effectiveness.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Offsetting of Derivative Instruments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enter into master netting arrangements designed to permit net settlement of derivative transactions among the respective counterparties, settled on the same date and in the same currency. As of November 30, 2023 and August 31, 2023, there were no material amounts recorded net in the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6. GOODWILL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carrying value of goodwill by segment for the three months ended November 30, 2023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Asia Pacific</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August 31, 2023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704,759</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297,734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1,004,736</w:t>
            </w:r>
          </w:p>
        </w:tc>
      </w:tr>
      <w:tr>
        <w:trPr>
          <w:trHeight w:val="230"/>
        </w:trPr>
        <w:tc>
          <w:tcPr>
            <w:tcW w:w="5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5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translations</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28"/>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November 30, 2023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704,940</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298,127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1,005,269</w:t>
            </w:r>
          </w:p>
        </w:tc>
      </w:tr>
    </w:tbl>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is not amortized as it is estimated to have an indefinite life. Goodwill impairment is tested at the reporting unit level, which is consistent with our reportable segments. We test goodwill annually during the fourth quarter of each fiscal year or more frequently if events and circumstances occur indicating that it is more likely than not that the fair value of any one of our reporting units is less than its respective carrying value. If the carrying value of the reporting unit exceeds the fair value, then the goodwill is considered impaired and written down to the reporting unit’s fair value.</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tested our goodwill for impairment during the fourth quarter of fiscal 2023 utilizing a quantitative analysis. We elected to bypass the optional qualitative assessment, and concluded there was no impairment as the fair value of each of our reporting units exceeded its carrying value. Our goodwill impairment test performed during the fourth quarter of 2022 utilized a qualitative analysis and concluded there was no impairment as it was more likely than not that the fair value of each of our reporting units was not less than its respective carrying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7. INTANGIBLE ASSETS</w:t>
      </w:r>
    </w:p>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amortize intangible assets on a straight line basis over their estimated useful lives. The estimated useful life, gross carrying amounts and accumulated amortization totals related to our identifiable intangible assets are as follows:</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2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w w:val="99"/>
              </w:rPr>
              <w:t>Estimated</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November 30, 2023</w:t>
            </w: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August 31, 2023</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useful</w:t>
            </w:r>
          </w:p>
        </w:tc>
        <w:tc>
          <w:tcPr>
            <w:tcW w:w="1260" w:type="dxa"/>
            <w:vAlign w:val="bottom"/>
            <w:vMerge w:val="continue"/>
          </w:tcPr>
          <w:p>
            <w:pPr>
              <w:spacing w:after="0"/>
              <w:rPr>
                <w:sz w:val="13"/>
                <w:szCs w:val="13"/>
                <w:color w:val="auto"/>
              </w:rPr>
            </w:pP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80" w:type="dxa"/>
            <w:vAlign w:val="bottom"/>
          </w:tcPr>
          <w:p>
            <w:pPr>
              <w:spacing w:after="0"/>
              <w:rPr>
                <w:sz w:val="13"/>
                <w:szCs w:val="13"/>
                <w:color w:val="auto"/>
              </w:rPr>
            </w:pPr>
          </w:p>
        </w:tc>
        <w:tc>
          <w:tcPr>
            <w:tcW w:w="11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60" w:type="dxa"/>
            <w:vAlign w:val="bottom"/>
          </w:tcPr>
          <w:p>
            <w:pPr>
              <w:spacing w:after="0"/>
              <w:rPr>
                <w:sz w:val="13"/>
                <w:szCs w:val="13"/>
                <w:color w:val="auto"/>
              </w:rPr>
            </w:pPr>
          </w:p>
        </w:tc>
        <w:tc>
          <w:tcPr>
            <w:tcW w:w="11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Net Carrying</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Gross Carrying</w:t>
            </w:r>
          </w:p>
        </w:tc>
        <w:tc>
          <w:tcPr>
            <w:tcW w:w="140" w:type="dxa"/>
            <w:vAlign w:val="bottom"/>
          </w:tcPr>
          <w:p>
            <w:pPr>
              <w:spacing w:after="0"/>
              <w:rPr>
                <w:sz w:val="13"/>
                <w:szCs w:val="13"/>
                <w:color w:val="auto"/>
              </w:rPr>
            </w:pPr>
          </w:p>
        </w:tc>
        <w:tc>
          <w:tcPr>
            <w:tcW w:w="12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Accumulated</w:t>
            </w:r>
          </w:p>
        </w:tc>
        <w:tc>
          <w:tcPr>
            <w:tcW w:w="140" w:type="dxa"/>
            <w:vAlign w:val="bottom"/>
          </w:tcPr>
          <w:p>
            <w:pPr>
              <w:spacing w:after="0"/>
              <w:rPr>
                <w:sz w:val="13"/>
                <w:szCs w:val="13"/>
                <w:color w:val="auto"/>
              </w:rPr>
            </w:pPr>
          </w:p>
        </w:tc>
        <w:tc>
          <w:tcPr>
            <w:tcW w:w="118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Net Carrying</w:t>
            </w: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Useful Life</w:t>
            </w:r>
          </w:p>
        </w:tc>
        <w:tc>
          <w:tcPr>
            <w:tcW w:w="11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2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lives)</w:t>
            </w: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(years)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Amount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Amount</w:t>
            </w: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Amortization</w:t>
            </w: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Amount</w:t>
            </w:r>
          </w:p>
        </w:tc>
        <w:tc>
          <w:tcPr>
            <w:tcW w:w="0" w:type="dxa"/>
            <w:vAlign w:val="bottom"/>
          </w:tcPr>
          <w:p>
            <w:pPr>
              <w:spacing w:after="0"/>
              <w:rPr>
                <w:sz w:val="1"/>
                <w:szCs w:val="1"/>
                <w:color w:val="auto"/>
              </w:rPr>
            </w:pPr>
          </w:p>
        </w:tc>
      </w:tr>
      <w:tr>
        <w:trPr>
          <w:trHeight w:val="226"/>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ABA business process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1,506,049</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1,517,042</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 relationships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 to 26</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265,453</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71,675</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193,778</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265,315</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196,614</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 to 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119,976</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50,159</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69,817</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109,222</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45,560</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63,662</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databases</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40,633</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41,400</w:t>
            </w:r>
          </w:p>
        </w:tc>
        <w:tc>
          <w:tcPr>
            <w:tcW w:w="0" w:type="dxa"/>
            <w:vAlign w:val="bottom"/>
          </w:tcPr>
          <w:p>
            <w:pPr>
              <w:spacing w:after="0"/>
              <w:rPr>
                <w:sz w:val="1"/>
                <w:szCs w:val="1"/>
                <w:color w:val="auto"/>
              </w:rPr>
            </w:pPr>
          </w:p>
        </w:tc>
      </w:tr>
      <w:tr>
        <w:trPr>
          <w:trHeight w:val="229"/>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technology</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 to 10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142,551</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111,195</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31,356</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142,395</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w:t>
            </w:r>
          </w:p>
        </w:tc>
        <w:tc>
          <w:tcPr>
            <w:tcW w:w="0" w:type="dxa"/>
            <w:vAlign w:val="bottom"/>
          </w:tcPr>
          <w:p>
            <w:pPr>
              <w:spacing w:after="0"/>
              <w:rPr>
                <w:sz w:val="1"/>
                <w:szCs w:val="1"/>
                <w:color w:val="auto"/>
              </w:rPr>
            </w:pP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Data content</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 to 20</w:t>
            </w: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28,954</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6,158</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35,021</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8"/>
        </w:trPr>
        <w:tc>
          <w:tcPr>
            <w:tcW w:w="2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2,192,382</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344,331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1,848,051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2,181,243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322,041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1,859,202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weighted average useful life of our intangible assets at November 30, 2023 was 32.5 years. Intangible assets are tested for impairment qualitatively on a quarterly basis or whenever events or changes in circumstances indicate that the carrying amount of an asset group is not recoverable. If indicators of impairment are present, amortizable intangible assets are tested for impairment by comparing the carrying value to undiscounted cash flows and, if impaired, written down to fair value based on discounted cash flows. We did not identify a material impairment nor a material change to the estimated remaining useful lives of our intangible assets during the three months ended November 30, 2023 and November 30, 2022. The intangible assets have no assigned residual values.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amortization expense for our intangible assets which is included in Cost of services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80" w:type="dxa"/>
            <w:vAlign w:val="bottom"/>
          </w:tcPr>
          <w:p>
            <w:pPr>
              <w:spacing w:after="0"/>
              <w:rPr>
                <w:sz w:val="19"/>
                <w:szCs w:val="19"/>
                <w:color w:val="auto"/>
              </w:rPr>
            </w:pPr>
          </w:p>
        </w:tc>
        <w:tc>
          <w:tcPr>
            <w:tcW w:w="2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5240" w:type="dxa"/>
            <w:vAlign w:val="bottom"/>
            <w:tcBorders>
              <w:bottom w:val="single" w:sz="8" w:color="auto"/>
            </w:tcBorders>
            <w:vMerge w:val="continue"/>
          </w:tcPr>
          <w:p>
            <w:pPr>
              <w:spacing w:after="0"/>
              <w:rPr>
                <w:sz w:val="20"/>
                <w:szCs w:val="20"/>
                <w:color w:val="auto"/>
              </w:rPr>
            </w:pPr>
          </w:p>
        </w:tc>
        <w:tc>
          <w:tcPr>
            <w:tcW w:w="38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22,165 $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2023, estimated intangible asset amortization expense for each of the next five years and thereafter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310"/>
        </w:trPr>
        <w:tc>
          <w:tcPr>
            <w:tcW w:w="8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August 31,</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Estimated Amortization Expense</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67,616</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88,877</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82,657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71,151</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63,997</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1,473,753</w:t>
            </w: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1,848,051</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8. INCOME TAXES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 Income tax expense is based on taxable income determined in accordance with current enacted laws and tax rates. Deferred income taxes are recorded for the temporary differences between the financial statement and the tax basis of assets and liabilities using currently enacted tax rates.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Taxes Provision and Effective Tax Rate</w:t>
            </w:r>
          </w:p>
        </w:tc>
        <w:tc>
          <w:tcPr>
            <w:tcW w:w="1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1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80" w:type="dxa"/>
            <w:vAlign w:val="bottom"/>
          </w:tcPr>
          <w:p>
            <w:pPr>
              <w:spacing w:after="0"/>
              <w:rPr>
                <w:sz w:val="19"/>
                <w:szCs w:val="19"/>
                <w:color w:val="auto"/>
              </w:rPr>
            </w:pPr>
          </w:p>
        </w:tc>
        <w:tc>
          <w:tcPr>
            <w:tcW w:w="23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November 30,</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200" w:type="dxa"/>
            <w:vAlign w:val="bottom"/>
            <w:tcBorders>
              <w:bottom w:val="single" w:sz="8" w:color="auto"/>
            </w:tcBorders>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175,196</w:t>
            </w: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157,885</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26,641</w:t>
            </w:r>
          </w:p>
        </w:tc>
        <w:tc>
          <w:tcPr>
            <w:tcW w:w="8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21,087</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1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November 30, 2023 was lower than the applicable U.S. corporate income tax rate mainly due to a net tax benefit from the employee exercise of stock options, research and development ("R&amp;D") tax credits and utilization of foreign tax credits, partially offset by our net state taxes. For the three months ended November 30, 2022, our effective tax rate was lower than the applicable U.S. corporate income tax rate mainly due to R&amp;D tax credits, a foreign derived intangible income ("FDII") deduction and a net tax benefit from the employee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November 30, 2023 was higher than for the three months ended November 30, 2022, due mainly to a reduction in the benefit from employee exercise of stock options, as well as a higher overall foreign tax rate, partially offset by increased utilization of foreign tax credits.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Foreign Earnings</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permanently reinvest all foreign undistributed earnings, except in jurisdictions where earnings can be repatriated substantially free of tax. It is not practicable to determine the deferred tax liability that would be payable if these earnings were repatriated to the U.S.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 of 2022</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2022, the Inflation Reduction Act ("IRA") was signed into law. The IRA contains several revisions to the Internal Revenue Code effective for taxable years beginning after December 31, 2022, including a 15% minimum income tax on certain large corporations. We do not expect this revision to have a material impact on our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9. LEASES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Our lease portfolio is primarily related to our office space, </w:t>
      </w:r>
      <w:r>
        <w:rPr>
          <w:rFonts w:ascii="Times New Roman" w:cs="Times New Roman" w:eastAsia="Times New Roman" w:hAnsi="Times New Roman"/>
          <w:sz w:val="18"/>
          <w:szCs w:val="18"/>
          <w:color w:val="212529"/>
        </w:rPr>
        <w:t>under various operating lease agreements.</w:t>
      </w:r>
      <w:r>
        <w:rPr>
          <w:rFonts w:ascii="Times New Roman" w:cs="Times New Roman" w:eastAsia="Times New Roman" w:hAnsi="Times New Roman"/>
          <w:sz w:val="18"/>
          <w:szCs w:val="18"/>
          <w:color w:val="auto"/>
        </w:rPr>
        <w:t xml:space="preserve"> We review new arrangements at inception to evaluate whether we obtain substantially all the economic benefits of and have the right to control the use of an asset. </w:t>
      </w:r>
      <w:r>
        <w:rPr>
          <w:rFonts w:ascii="Times New Roman" w:cs="Times New Roman" w:eastAsia="Times New Roman" w:hAnsi="Times New Roman"/>
          <w:sz w:val="18"/>
          <w:szCs w:val="18"/>
          <w:color w:val="212529"/>
        </w:rPr>
        <w:t>Our</w:t>
      </w:r>
      <w:r>
        <w:rPr>
          <w:rFonts w:ascii="Times New Roman" w:cs="Times New Roman" w:eastAsia="Times New Roman" w:hAnsi="Times New Roman"/>
          <w:sz w:val="18"/>
          <w:szCs w:val="18"/>
          <w:color w:val="auto"/>
        </w:rPr>
        <w:t xml:space="preserve"> lease ROU assets and lease liabilities are recognized based on </w:t>
      </w:r>
      <w:r>
        <w:rPr>
          <w:rFonts w:ascii="Times New Roman" w:cs="Times New Roman" w:eastAsia="Times New Roman" w:hAnsi="Times New Roman"/>
          <w:sz w:val="18"/>
          <w:szCs w:val="18"/>
          <w:color w:val="212529"/>
        </w:rPr>
        <w:t>the present value of future minimum lease payments at lease commencement (which includes fixed lease payments and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qualifying index-based variable payments) </w:t>
      </w:r>
      <w:r>
        <w:rPr>
          <w:rFonts w:ascii="Times New Roman" w:cs="Times New Roman" w:eastAsia="Times New Roman" w:hAnsi="Times New Roman"/>
          <w:sz w:val="18"/>
          <w:szCs w:val="18"/>
          <w:color w:val="000000"/>
        </w:rPr>
        <w:t>over the reasonably certain lease term, leveraging</w:t>
      </w:r>
      <w:r>
        <w:rPr>
          <w:rFonts w:ascii="Times New Roman" w:cs="Times New Roman" w:eastAsia="Times New Roman" w:hAnsi="Times New Roman"/>
          <w:sz w:val="18"/>
          <w:szCs w:val="18"/>
          <w:color w:val="212529"/>
        </w:rPr>
        <w:t xml:space="preserve"> an estimated </w:t>
      </w:r>
      <w:r>
        <w:rPr>
          <w:rFonts w:ascii="Times New Roman" w:cs="Times New Roman" w:eastAsia="Times New Roman" w:hAnsi="Times New Roman"/>
          <w:sz w:val="18"/>
          <w:szCs w:val="18"/>
          <w:color w:val="000000"/>
        </w:rPr>
        <w:t>incremental borrowing rate ("IBR")</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Certain</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adjustments to calculate our lease ROU assets may be required due to prepayments, lease incentives received and initial direct costs incurred. We account for lease and non-lease components as a single lease component, which we recognize over the expected term on a straight-line expense basis in occupancy costs (a component of SG&amp;A expense) in our Consolidated Statements of Income.</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 xml:space="preserve">As of </w:t>
      </w:r>
      <w:r>
        <w:rPr>
          <w:rFonts w:ascii="Times New Roman" w:cs="Times New Roman" w:eastAsia="Times New Roman" w:hAnsi="Times New Roman"/>
          <w:sz w:val="18"/>
          <w:szCs w:val="18"/>
          <w:color w:val="000000"/>
        </w:rPr>
        <w:t>November 30, 2023, we recognized $138.3 million of Lease ROU assets, net and $221.5 million of combined Current lease liabilities and Long-term</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lease liabilities in the Consolidated Balance Sheets. Such leases </w:t>
      </w:r>
      <w:r>
        <w:rPr>
          <w:rFonts w:ascii="Times New Roman" w:cs="Times New Roman" w:eastAsia="Times New Roman" w:hAnsi="Times New Roman"/>
          <w:sz w:val="18"/>
          <w:szCs w:val="18"/>
          <w:color w:val="212529"/>
        </w:rPr>
        <w:t>have a remaining lease term ranging from</w:t>
      </w:r>
      <w:r>
        <w:rPr>
          <w:rFonts w:ascii="Times New Roman" w:cs="Times New Roman" w:eastAsia="Times New Roman" w:hAnsi="Times New Roman"/>
          <w:sz w:val="18"/>
          <w:szCs w:val="18"/>
          <w:color w:val="000000"/>
        </w:rPr>
        <w:t xml:space="preserve"> less than one year to just over 12 years and did not include any renewal or termination options that were not yet reasonably certain to be exercised.</w:t>
      </w:r>
    </w:p>
    <w:p>
      <w:pPr>
        <w:spacing w:after="0" w:line="135"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212529"/>
        </w:rPr>
        <w:t xml:space="preserve">The following table presents our future minimum lease payments and a reconciliation to the combined </w:t>
      </w:r>
      <w:r>
        <w:rPr>
          <w:rFonts w:ascii="Times New Roman" w:cs="Times New Roman" w:eastAsia="Times New Roman" w:hAnsi="Times New Roman"/>
          <w:sz w:val="18"/>
          <w:szCs w:val="18"/>
          <w:color w:val="000000"/>
        </w:rPr>
        <w:t>Current lease liabilities and Long-term lease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liabilities in the Consolidated Balance Sheets </w:t>
      </w:r>
      <w:r>
        <w:rPr>
          <w:rFonts w:ascii="Times New Roman" w:cs="Times New Roman" w:eastAsia="Times New Roman" w:hAnsi="Times New Roman"/>
          <w:sz w:val="18"/>
          <w:szCs w:val="18"/>
          <w:color w:val="212529"/>
        </w:rPr>
        <w:t>as of</w:t>
      </w:r>
      <w:r>
        <w:rPr>
          <w:rFonts w:ascii="Times New Roman" w:cs="Times New Roman" w:eastAsia="Times New Roman" w:hAnsi="Times New Roman"/>
          <w:sz w:val="18"/>
          <w:szCs w:val="18"/>
          <w:color w:val="000000"/>
        </w:rPr>
        <w:t xml:space="preserve"> November 30, 2023</w:t>
      </w:r>
      <w:r>
        <w:rPr>
          <w:rFonts w:ascii="Times New Roman" w:cs="Times New Roman" w:eastAsia="Times New Roman" w:hAnsi="Times New Roman"/>
          <w:sz w:val="18"/>
          <w:szCs w:val="18"/>
          <w:color w:val="212529"/>
        </w:rPr>
        <w:t>:</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60" w:type="dxa"/>
            <w:vAlign w:val="bottom"/>
            <w:vMerge w:val="restart"/>
          </w:tcPr>
          <w:p>
            <w:pPr>
              <w:jc w:val="right"/>
              <w:ind w:right="930"/>
              <w:spacing w:after="0"/>
              <w:rPr>
                <w:sz w:val="20"/>
                <w:szCs w:val="20"/>
                <w:color w:val="auto"/>
              </w:rPr>
            </w:pPr>
            <w:r>
              <w:rPr>
                <w:rFonts w:ascii="Times New Roman" w:cs="Times New Roman" w:eastAsia="Times New Roman" w:hAnsi="Times New Roman"/>
                <w:sz w:val="18"/>
                <w:szCs w:val="18"/>
                <w:color w:val="auto"/>
              </w:rPr>
              <w:t>Minimum Lease</w:t>
            </w:r>
          </w:p>
        </w:tc>
        <w:tc>
          <w:tcPr>
            <w:tcW w:w="0" w:type="dxa"/>
            <w:vAlign w:val="bottom"/>
          </w:tcPr>
          <w:p>
            <w:pPr>
              <w:spacing w:after="0"/>
              <w:rPr>
                <w:sz w:val="1"/>
                <w:szCs w:val="1"/>
                <w:color w:val="auto"/>
              </w:rPr>
            </w:pPr>
          </w:p>
        </w:tc>
      </w:tr>
      <w:tr>
        <w:trPr>
          <w:trHeight w:val="36"/>
        </w:trPr>
        <w:tc>
          <w:tcPr>
            <w:tcW w:w="3900" w:type="dxa"/>
            <w:vAlign w:val="bottom"/>
          </w:tcPr>
          <w:p>
            <w:pPr>
              <w:spacing w:after="0"/>
              <w:rPr>
                <w:sz w:val="3"/>
                <w:szCs w:val="3"/>
                <w:color w:val="auto"/>
              </w:rPr>
            </w:pPr>
          </w:p>
        </w:tc>
        <w:tc>
          <w:tcPr>
            <w:tcW w:w="4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August 31,</w:t>
            </w:r>
          </w:p>
        </w:tc>
        <w:tc>
          <w:tcPr>
            <w:tcW w:w="4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tcPr>
          <w:p>
            <w:pPr>
              <w:jc w:val="right"/>
              <w:ind w:right="1170"/>
              <w:spacing w:after="0"/>
              <w:rPr>
                <w:sz w:val="20"/>
                <w:szCs w:val="20"/>
                <w:color w:val="auto"/>
              </w:rPr>
            </w:pPr>
            <w:r>
              <w:rPr>
                <w:rFonts w:ascii="Times New Roman" w:cs="Times New Roman" w:eastAsia="Times New Roman" w:hAnsi="Times New Roman"/>
                <w:sz w:val="18"/>
                <w:szCs w:val="18"/>
                <w:color w:val="auto"/>
              </w:rPr>
              <w:t>Payments</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4680" w:type="dxa"/>
            <w:vAlign w:val="bottom"/>
            <w:gridSpan w:val="2"/>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28,676</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37,856</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37,492</w:t>
            </w:r>
          </w:p>
        </w:tc>
        <w:tc>
          <w:tcPr>
            <w:tcW w:w="0" w:type="dxa"/>
            <w:vAlign w:val="bottom"/>
          </w:tcPr>
          <w:p>
            <w:pPr>
              <w:spacing w:after="0"/>
              <w:rPr>
                <w:sz w:val="1"/>
                <w:szCs w:val="1"/>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36,173</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88,987</w:t>
            </w:r>
          </w:p>
        </w:tc>
        <w:tc>
          <w:tcPr>
            <w:tcW w:w="0" w:type="dxa"/>
            <w:vAlign w:val="bottom"/>
          </w:tcPr>
          <w:p>
            <w:pPr>
              <w:spacing w:after="0"/>
              <w:rPr>
                <w:sz w:val="1"/>
                <w:szCs w:val="1"/>
                <w:color w:val="auto"/>
              </w:rPr>
            </w:pPr>
          </w:p>
        </w:tc>
      </w:tr>
      <w:tr>
        <w:trPr>
          <w:trHeight w:val="223"/>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4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260,776</w:t>
            </w: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39,295</w:t>
            </w:r>
          </w:p>
        </w:tc>
        <w:tc>
          <w:tcPr>
            <w:tcW w:w="0" w:type="dxa"/>
            <w:vAlign w:val="bottom"/>
          </w:tcPr>
          <w:p>
            <w:pPr>
              <w:spacing w:after="0"/>
              <w:rPr>
                <w:sz w:val="1"/>
                <w:szCs w:val="1"/>
                <w:color w:val="auto"/>
              </w:rPr>
            </w:pPr>
          </w:p>
        </w:tc>
      </w:tr>
      <w:tr>
        <w:trPr>
          <w:trHeight w:val="248"/>
        </w:trPr>
        <w:tc>
          <w:tcPr>
            <w:tcW w:w="3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4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221,481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412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20</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9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6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6"/>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includes components of our occupancy costs:</w:t>
            </w:r>
          </w:p>
        </w:tc>
        <w:tc>
          <w:tcPr>
            <w:tcW w:w="2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212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6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320" w:type="dxa"/>
            <w:vAlign w:val="bottom"/>
          </w:tcPr>
          <w:p>
            <w:pPr>
              <w:spacing w:after="0"/>
              <w:rPr>
                <w:sz w:val="19"/>
                <w:szCs w:val="19"/>
                <w:color w:val="auto"/>
              </w:rPr>
            </w:pPr>
          </w:p>
        </w:tc>
        <w:tc>
          <w:tcPr>
            <w:tcW w:w="212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6800" w:type="dxa"/>
            <w:vAlign w:val="bottom"/>
            <w:tcBorders>
              <w:bottom w:val="single" w:sz="8" w:color="auto"/>
            </w:tcBorders>
            <w:gridSpan w:val="2"/>
            <w:vMerge w:val="continue"/>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680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2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7,618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8,077</w:t>
            </w:r>
          </w:p>
        </w:tc>
        <w:tc>
          <w:tcPr>
            <w:tcW w:w="0" w:type="dxa"/>
            <w:vAlign w:val="bottom"/>
          </w:tcPr>
          <w:p>
            <w:pPr>
              <w:spacing w:after="0"/>
              <w:rPr>
                <w:sz w:val="1"/>
                <w:szCs w:val="1"/>
                <w:color w:val="auto"/>
              </w:rPr>
            </w:pPr>
          </w:p>
        </w:tc>
      </w:tr>
      <w:tr>
        <w:trPr>
          <w:trHeight w:val="312"/>
        </w:trPr>
        <w:tc>
          <w:tcPr>
            <w:tcW w:w="6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Variable lease cost</w:t>
            </w:r>
            <w:r>
              <w:rPr>
                <w:rFonts w:ascii="Times New Roman" w:cs="Times New Roman" w:eastAsia="Times New Roman" w:hAnsi="Times New Roman"/>
                <w:sz w:val="23"/>
                <w:szCs w:val="23"/>
                <w:color w:val="auto"/>
                <w:vertAlign w:val="superscript"/>
              </w:rPr>
              <w:t>(2)</w:t>
            </w:r>
          </w:p>
        </w:tc>
        <w:tc>
          <w:tcPr>
            <w:tcW w:w="2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3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60" w:right="20" w:hanging="252"/>
        <w:spacing w:after="0" w:line="283" w:lineRule="auto"/>
        <w:tabs>
          <w:tab w:leader="none" w:pos="25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Operating lease costs include costs associated with fixed lease payments and index-based variable payments that qualified for lease accounting under ASC 842,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and complied with the practical expedients and exceptions we elected.</w:t>
      </w:r>
    </w:p>
    <w:p>
      <w:pPr>
        <w:spacing w:after="0" w:line="67" w:lineRule="exact"/>
        <w:rPr>
          <w:rFonts w:ascii="Times New Roman" w:cs="Times New Roman" w:eastAsia="Times New Roman" w:hAnsi="Times New Roman"/>
          <w:sz w:val="16"/>
          <w:szCs w:val="16"/>
          <w:color w:val="auto"/>
        </w:rPr>
      </w:pPr>
    </w:p>
    <w:p>
      <w:pPr>
        <w:jc w:val="both"/>
        <w:ind w:left="260" w:right="20" w:hanging="252"/>
        <w:spacing w:after="0" w:line="272" w:lineRule="auto"/>
        <w:tabs>
          <w:tab w:leader="none" w:pos="2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Variable lease costs include costs that were not fixed at the lease commencement date and are not dependent on an index or rate. These costs were not included in the measurement of lease liabilities and primarily include variable non-lease costs, such as utilities, real estate taxes, insurance and maintenance, as well as lease costs for those leases that qualified for the short-term lease exception.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weighted average remaining lease term and weighted average discount rate related to our operating leases recorded on the Consolidated Balance Sheets: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As of November 30, 2023</w:t>
            </w:r>
          </w:p>
        </w:tc>
        <w:tc>
          <w:tcPr>
            <w:tcW w:w="23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As of August 31, 2023</w:t>
            </w:r>
          </w:p>
        </w:tc>
      </w:tr>
      <w:tr>
        <w:trPr>
          <w:trHeight w:val="22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remaining lease term </w:t>
            </w:r>
            <w:r>
              <w:rPr>
                <w:rFonts w:ascii="Times New Roman" w:cs="Times New Roman" w:eastAsia="Times New Roman" w:hAnsi="Times New Roman"/>
                <w:sz w:val="18"/>
                <w:szCs w:val="18"/>
                <w:i w:val="1"/>
                <w:iCs w:val="1"/>
                <w:color w:val="auto"/>
              </w:rPr>
              <w:t>(in years)</w:t>
            </w:r>
          </w:p>
        </w:tc>
        <w:tc>
          <w:tcPr>
            <w:tcW w:w="3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discount rate </w:t>
            </w:r>
            <w:r>
              <w:rPr>
                <w:rFonts w:ascii="Times New Roman" w:cs="Times New Roman" w:eastAsia="Times New Roman" w:hAnsi="Times New Roman"/>
                <w:sz w:val="18"/>
                <w:szCs w:val="18"/>
                <w:i w:val="1"/>
                <w:iCs w:val="1"/>
                <w:color w:val="auto"/>
              </w:rPr>
              <w:t>(IBR)</w:t>
            </w:r>
          </w:p>
        </w:tc>
        <w:tc>
          <w:tcPr>
            <w:tcW w:w="38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4.5 %</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supplemental cash flow information related to our operating leases: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November 30,</w:t>
            </w:r>
          </w:p>
        </w:tc>
        <w:tc>
          <w:tcPr>
            <w:tcW w:w="1220" w:type="dxa"/>
            <w:vAlign w:val="bottom"/>
            <w:vMerge w:val="restart"/>
          </w:tcPr>
          <w:p>
            <w:pPr>
              <w:jc w:val="right"/>
              <w:ind w:right="7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9"/>
        </w:trPr>
        <w:tc>
          <w:tcPr>
            <w:tcW w:w="6160" w:type="dxa"/>
            <w:vAlign w:val="bottom"/>
            <w:tcBorders>
              <w:bottom w:val="single" w:sz="8" w:color="auto"/>
            </w:tcBorders>
            <w:vMerge w:val="continue"/>
          </w:tcPr>
          <w:p>
            <w:pPr>
              <w:spacing w:after="0"/>
              <w:rPr>
                <w:sz w:val="19"/>
                <w:szCs w:val="19"/>
                <w:color w:val="auto"/>
              </w:rPr>
            </w:pPr>
          </w:p>
        </w:tc>
        <w:tc>
          <w:tcPr>
            <w:tcW w:w="228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8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9,850</w:t>
            </w:r>
          </w:p>
        </w:tc>
        <w:tc>
          <w:tcPr>
            <w:tcW w:w="82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9,697</w:t>
            </w:r>
          </w:p>
        </w:tc>
        <w:tc>
          <w:tcPr>
            <w:tcW w:w="0" w:type="dxa"/>
            <w:vAlign w:val="bottom"/>
          </w:tcPr>
          <w:p>
            <w:pPr>
              <w:spacing w:after="0"/>
              <w:rPr>
                <w:sz w:val="1"/>
                <w:szCs w:val="1"/>
                <w:color w:val="auto"/>
              </w:rPr>
            </w:pPr>
          </w:p>
        </w:tc>
      </w:tr>
      <w:tr>
        <w:trPr>
          <w:trHeight w:val="312"/>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ROU assets obtained in exchange for lease liabilities</w:t>
            </w:r>
            <w:r>
              <w:rPr>
                <w:rFonts w:ascii="Times New Roman" w:cs="Times New Roman" w:eastAsia="Times New Roman" w:hAnsi="Times New Roman"/>
                <w:sz w:val="23"/>
                <w:szCs w:val="23"/>
                <w:color w:val="auto"/>
                <w:vertAlign w:val="superscript"/>
              </w:rPr>
              <w:t>(1)</w:t>
            </w:r>
          </w:p>
        </w:tc>
        <w:tc>
          <w:tcPr>
            <w:tcW w:w="22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8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106" w:lineRule="exact"/>
        <w:rPr>
          <w:sz w:val="20"/>
          <w:szCs w:val="20"/>
          <w:color w:val="auto"/>
        </w:rPr>
      </w:pPr>
    </w:p>
    <w:p>
      <w:pPr>
        <w:ind w:left="260" w:right="20" w:hanging="252"/>
        <w:spacing w:after="0" w:line="280" w:lineRule="auto"/>
        <w:tabs>
          <w:tab w:leader="none" w:pos="2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new lease arrangements entered into during the respective period and contract modifications that extend our lease terms and/or provide additional rights.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10. DEBT</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elected not to carry our Long-term debt at fair value. The carrying value of our debt is net of related unamortized discounts and debt issuance costs. Our total debt obligations as of November 30, 2023 and August 31, 2023 consisted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Contractual</w:t>
            </w:r>
          </w:p>
        </w:tc>
        <w:tc>
          <w:tcPr>
            <w:tcW w:w="12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November 30,</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50"/>
        </w:trPr>
        <w:tc>
          <w:tcPr>
            <w:tcW w:w="5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Issuance Date</w:t>
            </w:r>
          </w:p>
        </w:tc>
        <w:tc>
          <w:tcPr>
            <w:tcW w:w="164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16"/>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Credit Agreement</w:t>
            </w:r>
          </w:p>
        </w:tc>
        <w:tc>
          <w:tcPr>
            <w:tcW w:w="12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Facility</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3/1/2022</w:t>
            </w:r>
          </w:p>
        </w:tc>
        <w:tc>
          <w:tcPr>
            <w:tcW w:w="164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3/1/2025 $</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375,000</w:t>
            </w:r>
          </w:p>
        </w:tc>
      </w:tr>
      <w:tr>
        <w:trPr>
          <w:trHeight w:val="229"/>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2022</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Facility</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3/1/2022</w:t>
            </w: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3/1/2027</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r>
      <w:tr>
        <w:trPr>
          <w:trHeight w:val="203"/>
        </w:trPr>
        <w:tc>
          <w:tcPr>
            <w:tcW w:w="548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30"/>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30"/>
        </w:trPr>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2027</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3/1/2022</w:t>
            </w:r>
          </w:p>
        </w:tc>
        <w:tc>
          <w:tcPr>
            <w:tcW w:w="15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9"/>
              </w:rPr>
              <w:t>3/1/2027</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30"/>
        </w:trPr>
        <w:tc>
          <w:tcPr>
            <w:tcW w:w="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9"/>
              </w:rPr>
              <w:t>2032</w:t>
            </w:r>
          </w:p>
        </w:tc>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w:t>
            </w:r>
          </w:p>
        </w:tc>
        <w:tc>
          <w:tcPr>
            <w:tcW w:w="1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3/1/2022</w:t>
            </w:r>
          </w:p>
        </w:tc>
        <w:tc>
          <w:tcPr>
            <w:tcW w:w="150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99"/>
              </w:rPr>
              <w:t>3/1/2032</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03"/>
        </w:trPr>
        <w:tc>
          <w:tcPr>
            <w:tcW w:w="5480" w:type="dxa"/>
            <w:vAlign w:val="bottom"/>
            <w:gridSpan w:val="2"/>
          </w:tcPr>
          <w:p>
            <w:pPr>
              <w:spacing w:after="0"/>
              <w:rPr>
                <w:sz w:val="17"/>
                <w:szCs w:val="17"/>
                <w:color w:val="auto"/>
              </w:rPr>
            </w:pPr>
          </w:p>
        </w:tc>
        <w:tc>
          <w:tcPr>
            <w:tcW w:w="12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unamortized discounts and debt issuance costs</w:t>
            </w:r>
          </w:p>
        </w:tc>
        <w:tc>
          <w:tcPr>
            <w:tcW w:w="1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(11,366)</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w:t>
            </w:r>
          </w:p>
        </w:tc>
      </w:tr>
      <w:tr>
        <w:trPr>
          <w:trHeight w:val="270"/>
        </w:trPr>
        <w:tc>
          <w:tcPr>
            <w:tcW w:w="5480" w:type="dxa"/>
            <w:vAlign w:val="bottom"/>
            <w:tcBorders>
              <w:bottom w:val="single" w:sz="8" w:color="CCEEFF"/>
            </w:tcBorders>
            <w:gridSpan w:val="2"/>
          </w:tcPr>
          <w:p>
            <w:pPr>
              <w:spacing w:after="0"/>
              <w:rPr>
                <w:sz w:val="23"/>
                <w:szCs w:val="23"/>
                <w:color w:val="auto"/>
              </w:rPr>
            </w:pPr>
          </w:p>
        </w:tc>
        <w:tc>
          <w:tcPr>
            <w:tcW w:w="1280" w:type="dxa"/>
            <w:vAlign w:val="bottom"/>
            <w:tcBorders>
              <w:bottom w:val="single" w:sz="8" w:color="CCEEFF"/>
            </w:tcBorders>
          </w:tcPr>
          <w:p>
            <w:pPr>
              <w:spacing w:after="0"/>
              <w:rPr>
                <w:sz w:val="23"/>
                <w:szCs w:val="23"/>
                <w:color w:val="auto"/>
              </w:rPr>
            </w:pPr>
          </w:p>
        </w:tc>
        <w:tc>
          <w:tcPr>
            <w:tcW w:w="15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r>
      <w:tr>
        <w:trPr>
          <w:trHeight w:val="248"/>
        </w:trPr>
        <w:tc>
          <w:tcPr>
            <w:tcW w:w="5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1,551,134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1,612,700</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November 30, 2023, annual maturities on our total debt obligations, based on contractual maturity date,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8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270"/>
        </w:trPr>
        <w:tc>
          <w:tcPr>
            <w:tcW w:w="6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Years Ended August 31,</w:t>
            </w:r>
          </w:p>
        </w:tc>
        <w:tc>
          <w:tcPr>
            <w:tcW w:w="108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Maturities</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nine months)</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tcPr>
          <w:p>
            <w:pPr>
              <w:spacing w:after="0"/>
              <w:rPr>
                <w:sz w:val="19"/>
                <w:szCs w:val="19"/>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shd w:val="clear" w:color="auto" w:fill="CCEEFF"/>
          </w:tcPr>
          <w:p>
            <w:pPr>
              <w:spacing w:after="0"/>
              <w:rPr>
                <w:sz w:val="19"/>
                <w:szCs w:val="19"/>
                <w:color w:val="auto"/>
              </w:rPr>
            </w:pPr>
          </w:p>
        </w:tc>
        <w:tc>
          <w:tcPr>
            <w:tcW w:w="3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3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1,562,500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November 30, 2023.</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fiscal 2022, we incurred approximately $9.5 million in debt issuance costs related to the 2022 Credit Facilities. Debt issuance costs are presented in the Consolidated Balance Sheets as a direct deduction from the carrying amount of the debt liability. Debt issuance costs are amortized to Interest expense in the Consolidated Statements of Income on a straight-line basis over the contractual term of the debt, which approximates the effective interest method.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months ended November 30, 2023, we repaid $62.5 million under the 2022 Term Facility, inclusive of voluntary prepayments of $50.0 million. Since loan inception on March 1, 2022, we have repaid $687.5 million under the 2022 Term Facility, inclusive of voluntary prepayments of $612.5 million.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2023, the outstanding borrowings under the 2022 Credit Facilities bore interest at a rate equal to the applicable one-month Term SOFR rate plus a 1.1% spread (comprised of a 1.0% interest rate margin based on a debt leverage pricing grid plus a 0.1% credit spread adjustment). The spread remained consistent from the borrowing date through November 30, 2023. Interest on the 2022 Credit Facilities is currently payable on the last business day of each month, in arrears.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3.75 to 1.00 as of November 30, 2023. We were in compliance with all covenants and requirements of the 2022 Credit Agreement as of November 30, 2023.</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Swap Agreement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 2022, we entered into the 2022 Swap Agreement to hedge a portion of our outstanding floating SOFR rate debt with a fixed interest rate of 1.162%. Effective December 30, 2022, we apportioned the then outstanding notional amount of the 2022 Swap Agreement between two counterparties.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2022 Swap Agreement.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 (the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Senior Notes were issued at an aggregate discount of $2.8 million and we incurred approximately $9.1 million in debt issuance costs. Debt discounts and debt issuance costs are presented in the Consolidated Balance Sheets as a net direct deduction from the carrying amount of the debt liability. The debt discounts and debt issuance costs are amortized to Interest expense in the Consolidated Statements of Income over the contractual term of the debt, leveraging the effective interest method.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interest expense on our outstanding debt which is a component of Interest expense in our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0"/>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80" w:type="dxa"/>
            <w:vAlign w:val="bottom"/>
          </w:tcPr>
          <w:p>
            <w:pPr>
              <w:spacing w:after="0"/>
              <w:rPr>
                <w:sz w:val="19"/>
                <w:szCs w:val="19"/>
                <w:color w:val="auto"/>
              </w:rPr>
            </w:pPr>
          </w:p>
        </w:tc>
        <w:tc>
          <w:tcPr>
            <w:tcW w:w="2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5840" w:type="dxa"/>
            <w:vAlign w:val="bottom"/>
            <w:tcBorders>
              <w:bottom w:val="single" w:sz="8" w:color="auto"/>
            </w:tcBorders>
            <w:vMerge w:val="continue"/>
          </w:tcPr>
          <w:p>
            <w:pPr>
              <w:spacing w:after="0"/>
              <w:rPr>
                <w:sz w:val="20"/>
                <w:szCs w:val="20"/>
                <w:color w:val="auto"/>
              </w:rPr>
            </w:pPr>
          </w:p>
        </w:tc>
        <w:tc>
          <w:tcPr>
            <w:tcW w:w="3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Interest expense on outstanding debt</w:t>
            </w:r>
            <w:r>
              <w:rPr>
                <w:rFonts w:ascii="Times New Roman" w:cs="Times New Roman" w:eastAsia="Times New Roman" w:hAnsi="Times New Roman"/>
                <w:sz w:val="23"/>
                <w:szCs w:val="23"/>
                <w:color w:val="auto"/>
                <w:vertAlign w:val="superscript"/>
              </w:rPr>
              <w:t>(1)</w:t>
            </w:r>
          </w:p>
        </w:tc>
        <w:tc>
          <w:tcPr>
            <w:tcW w:w="3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529"/>
              </w:rPr>
              <w:t xml:space="preserve">16,729 </w:t>
            </w:r>
            <w:r>
              <w:rPr>
                <w:rFonts w:ascii="Times New Roman" w:cs="Times New Roman" w:eastAsia="Times New Roman" w:hAnsi="Times New Roman"/>
                <w:sz w:val="18"/>
                <w:szCs w:val="18"/>
                <w:color w:val="00000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16,528</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(1)</w:t>
        <w:tab/>
        <w:t>Interest expense on our outstanding debt includes the related amortization of debt issuance costs and debt discounts, net of the effects of the 2022 Swap Agreement.</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Including the related amortization of debt issuance costs and debt discounts, net of the effects of the 2022 Swap Agreement, the year-to-date weighted average interest rate on amounts outstanding under our outstanding debt was 3.94% and 3.44% as of November 30, 2023 and August 31, 2023, respectively.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for further discussion of the 2022 Swap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11. COMMITMENTS AND CONTINGENCIES</w:t>
      </w:r>
    </w:p>
    <w:p>
      <w:pPr>
        <w:spacing w:after="0" w:line="17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Commitments represent obligations, such as those for future purchases of goods or services, that are not yet recorded on the balance sheet as liabilities. We record liabilities for commitments when incurred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when the goods or services are received).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accrue non-income-tax liabilities for contingencies when we believe that a loss is probable, and the amount can be reasonably estimated. Judgment is required to determine both the probability and the estimated amount of loss. If the reasonable estimate of a probable loss is a range, we record the most probable estimate of the loss, or the minimum amount when no amount within the range is a better estimate than any other amount. We review accruals on a quarterly basis and adjust, as necessary, to reflect the impact of negotiations, settlements, rulings, advice of legal counsel and other current information. Contingent gains are recognized only when realized.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Uncertain income tax positions are accounted for in accordance with applicable accounting guidance, refer to Note 10,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2023 for further details.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Commitments with Suppliers and Vendors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2023, we had total purchase obligations with suppliers of $362.2 million. Our total purchase obligations as of August 31, 2023 primarily related to hosting services, acquisition of data, and, to a lesser extent, third-party software providers. Hosting services support our hybrid cloud strategy, which relies in large part on third-party hosting providers. Data is an integral component of the value we provide to our clients. Our commitments to third-party software providers mainly include internal-use software licenses.</w:t>
      </w:r>
    </w:p>
    <w:p>
      <w:pPr>
        <w:spacing w:after="0" w:line="14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lease commitments and outstanding debt obligations,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November 30, 2023, there were no material changes to our contractual obligations.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2023 and August 31, 2023, we had outstanding capital commitments related to an investment of $0.6 million and $0.7 million,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Letters of Credit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are required to obtain letters of credit in the ordinary course of business. As of November 30, 2023 and August 31, 2023, we had $0.5 million and $0.6 million of standby letters of credit outstanding, respectively. No liabilities related to these arrangements are reflected in the Consolidated Balance Sheets.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2022 Revolving Facility allows for the availability of up to $100.0 million in the form of letters of credit, which was unused as of both November 30, 2023 and August 31, 2023.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information regarding the 2022 Revolving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Contingencies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Matters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engaged in various legal proceedings, claims and litigation that have arisen in the ordinary course of business. The outcome of all the matters against us are subject to future resolution, including the uncertainties of litigation. Based on information available at November 30, 2023, our management believes that the ultimate outcome of these unresolved matters against us, individually or in the aggregate, will not have a material adverse effect on our consolidated financial position, our results of operations or our cash flows.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multinational company operating in many states and countries, we are routinely audited by various taxing authorities and have reserved for potential adjustments to our provision for income taxes that may result from examinations by, or any negotiated settlements with, these tax authorities. We believe that the final outcome of these examinations or settlements will not have a material effect on our consolidated financial position, results of operations or our cash flows. If events occur which indicate payment of these amounts is unnecessary, the reversal of the liabilities would result in the recognition of tax benefits in the period we determine the liabilities are no longer necessary. If our estimates of the federal, state and foreign income tax liabilities are less than the ultimate assessment, additional expense would result.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Tax Matters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8, 2019, we received a Notice of Intent to Assess (the "First Notice") additional sales taxes, interest and underpayment penalties (the "Sales Taxes") from the Commonwealth of Massachusetts Department of Revenue (the "Commonwealth") relating to the tax periods from January 1, 2006 through December 31, 2013. On July 20, 2021, we received a Notice of Intent to Assess (the "Second Notice") additional Sales Taxes from the Commonwealth relating to the tax periods from January 1, 2014 through December 31, 2018. On December 29, 2022, we received a Notice of Intent to Assess (the "Third Notice"; cumulatively with the First and Second Notices, the "Notices") additional Sales Taxes from the Commonwealth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relating to the tax periods from January 1, 2019 through June 30, 2021. We requested pre-assessment conferences with the Department of Revenue's Office of Appeals to appeal the Notices, and on May 24, 2023, we received a Letter of Determination from the Commonwealth upholding the Notices, along with a Notice of Assessment for all the periods covered by the Notices. On June 22, 2023, we filed an Application for Abatement with the Commonwealth disputing all amounts assessed, which was subsequently denied. We have filed petitions with the Appellate Tax Board to appeal all amounts assessed by the Commonwealth and believe that we will ultimately prevail; however, if we do not prevail, the amount of these assessments could have a material impact on our consolidated financial position, results of operations and cash flows.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concluded that some payment to the Commonwealth is probable. We have recorded an accrual which is not material to our Consolidated Financial Statements. While we believe that the assumptions and estimates used to determine the accrual are reasonable, future developments could result in adjustments being made to this accrual.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permitted or required under Delaware law and to the maximum extent allowable under that law, we have certain obligations to indemnify each of our current and former officers and directors for certain events or occurrences while the officer or director is, or was, serving at our request in such capacity. These indemnification obligations are valid as long as the director or officer acted in good faith and in a manner the person reasonably believed to be in, or not opposed to, the best interests of FactSet, and with respect to any criminal action or proceeding, had no reasonable cause to believe his or her conduct was unlawful. It is not possible to determine the maximum potential amount for claims made under the indemnification obligations due to the unique set of facts and circumstances likely to be involved in each particular claim and indemnification provision; however, we have purchased a director and officer insurance policy that mitigates our exposure and may enable us to recover a portion of any future amounts paid. We do not believe, based on historical experience and information currently available, that it is probable that any material amounts will be required to be paid under such indemnification obligations.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12. STOCKHOLDERS' EQUITY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3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 Months Ended</w:t>
            </w:r>
          </w:p>
        </w:tc>
      </w:tr>
      <w:tr>
        <w:trPr>
          <w:trHeight w:val="234"/>
        </w:trPr>
        <w:tc>
          <w:tcPr>
            <w:tcW w:w="68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300" w:type="dxa"/>
            <w:vAlign w:val="bottom"/>
            <w:gridSpan w:val="2"/>
          </w:tcPr>
          <w:p>
            <w:pPr>
              <w:jc w:val="center"/>
              <w:ind w:right="210"/>
              <w:spacing w:after="0"/>
              <w:rPr>
                <w:sz w:val="20"/>
                <w:szCs w:val="20"/>
                <w:color w:val="auto"/>
              </w:rPr>
            </w:pPr>
            <w:r>
              <w:rPr>
                <w:rFonts w:ascii="Times New Roman" w:cs="Times New Roman" w:eastAsia="Times New Roman" w:hAnsi="Times New Roman"/>
                <w:sz w:val="18"/>
                <w:szCs w:val="18"/>
                <w:color w:val="auto"/>
              </w:rPr>
              <w:t>November 30,</w:t>
            </w:r>
          </w:p>
        </w:tc>
      </w:tr>
      <w:tr>
        <w:trPr>
          <w:trHeight w:val="270"/>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tc>
        <w:tc>
          <w:tcPr>
            <w:tcW w:w="2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8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Repurchases of common stock under the share repurchase program</w:t>
            </w:r>
            <w:r>
              <w:rPr>
                <w:rFonts w:ascii="Times New Roman" w:cs="Times New Roman" w:eastAsia="Times New Roman" w:hAnsi="Times New Roman"/>
                <w:sz w:val="23"/>
                <w:szCs w:val="23"/>
                <w:color w:val="auto"/>
                <w:vertAlign w:val="superscript"/>
              </w:rPr>
              <w:t>(1)</w:t>
            </w:r>
          </w:p>
        </w:tc>
        <w:tc>
          <w:tcPr>
            <w:tcW w:w="2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135,950</w:t>
            </w:r>
          </w:p>
        </w:tc>
        <w:tc>
          <w:tcPr>
            <w:tcW w:w="100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r>
      <w:tr>
        <w:trPr>
          <w:trHeight w:val="30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 repurchased</w:t>
            </w:r>
            <w:r>
              <w:rPr>
                <w:rFonts w:ascii="Times New Roman" w:cs="Times New Roman" w:eastAsia="Times New Roman" w:hAnsi="Times New Roman"/>
                <w:sz w:val="23"/>
                <w:szCs w:val="23"/>
                <w:color w:val="auto"/>
                <w:vertAlign w:val="superscript"/>
              </w:rPr>
              <w:t>(1)</w:t>
            </w:r>
          </w:p>
        </w:tc>
        <w:tc>
          <w:tcPr>
            <w:tcW w:w="2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59,910 $</w:t>
            </w:r>
          </w:p>
        </w:tc>
        <w:tc>
          <w:tcPr>
            <w:tcW w:w="10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w:t>
            </w:r>
          </w:p>
        </w:tc>
      </w:tr>
    </w:tbl>
    <w:p>
      <w:pPr>
        <w:spacing w:after="0" w:line="98" w:lineRule="exact"/>
        <w:rPr>
          <w:sz w:val="20"/>
          <w:szCs w:val="20"/>
          <w:color w:val="auto"/>
        </w:rPr>
      </w:pPr>
    </w:p>
    <w:p>
      <w:pPr>
        <w:ind w:left="260" w:hanging="252"/>
        <w:spacing w:after="0" w:line="298" w:lineRule="auto"/>
        <w:tabs>
          <w:tab w:leader="none" w:pos="254"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do not include repurchases of common stock primarily to satisfy tax withholding obligations due upon vesting of stock-based awards of 30,384 shares ($13.5 million) and 25,450 shares ($10.8 million) during the three months ended November 30, 2023 and November 30, 2022, respectively.</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We suspended our share repurchase program beginning in the second quarter of fiscal 2022 through the second quarter of fiscal 2023 to prioritize the repayment of debt under the 2022 Credit Facilities. As such, we did not repurchase any shares of our common stock under the share repurchase program during the three months ended November 30, 2022.</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As of November 30, 2023, we had $240.1 million authorized under our share repurchase program for future share repurchases. Refer to Part II, Item 2. </w:t>
      </w:r>
      <w:r>
        <w:rPr>
          <w:rFonts w:ascii="Times New Roman" w:cs="Times New Roman" w:eastAsia="Times New Roman" w:hAnsi="Times New Roman"/>
          <w:sz w:val="18"/>
          <w:szCs w:val="18"/>
          <w:i w:val="1"/>
          <w:iCs w:val="1"/>
          <w:color w:val="auto"/>
        </w:rPr>
        <w:t>Unregistered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Awards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14,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xml:space="preserve"> for more information on equity awards issued during the three months ended November 30, 2023 and November 30, 2022.</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2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Our Board of Directors approved the following dividends:</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2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Dividends per</w:t>
            </w:r>
          </w:p>
        </w:tc>
        <w:tc>
          <w:tcPr>
            <w:tcW w:w="1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 Amount</w:t>
            </w: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Year Ended</w:t>
            </w:r>
          </w:p>
        </w:tc>
        <w:tc>
          <w:tcPr>
            <w:tcW w:w="160" w:type="dxa"/>
            <w:vAlign w:val="bottom"/>
          </w:tcPr>
          <w:p>
            <w:pPr>
              <w:spacing w:after="0"/>
              <w:rPr>
                <w:sz w:val="15"/>
                <w:szCs w:val="15"/>
                <w:color w:val="auto"/>
              </w:rPr>
            </w:pPr>
          </w:p>
        </w:tc>
        <w:tc>
          <w:tcPr>
            <w:tcW w:w="1460" w:type="dxa"/>
            <w:vAlign w:val="bottom"/>
          </w:tcPr>
          <w:p>
            <w:pPr>
              <w:jc w:val="center"/>
              <w:ind w:right="150"/>
              <w:spacing w:after="0" w:line="181" w:lineRule="exact"/>
              <w:rPr>
                <w:sz w:val="20"/>
                <w:szCs w:val="20"/>
                <w:color w:val="auto"/>
              </w:rPr>
            </w:pPr>
            <w:r>
              <w:rPr>
                <w:rFonts w:ascii="Times New Roman" w:cs="Times New Roman" w:eastAsia="Times New Roman" w:hAnsi="Times New Roman"/>
                <w:sz w:val="18"/>
                <w:szCs w:val="18"/>
                <w:color w:val="auto"/>
              </w:rPr>
              <w:t>Share of</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Record Date</w:t>
            </w:r>
          </w:p>
        </w:tc>
        <w:tc>
          <w:tcPr>
            <w:tcW w:w="3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86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Payment Date</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rPr>
              <w:t>Common Stock</w:t>
            </w:r>
          </w:p>
        </w:tc>
        <w:tc>
          <w:tcPr>
            <w:tcW w:w="17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2024</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0.98</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30, 2023</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37,299</w:t>
            </w: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21, 2023</w:t>
            </w:r>
          </w:p>
        </w:tc>
        <w:tc>
          <w:tcPr>
            <w:tcW w:w="0" w:type="dxa"/>
            <w:vAlign w:val="bottom"/>
          </w:tcPr>
          <w:p>
            <w:pPr>
              <w:spacing w:after="0"/>
              <w:rPr>
                <w:sz w:val="1"/>
                <w:szCs w:val="1"/>
                <w:color w:val="auto"/>
              </w:rPr>
            </w:pPr>
          </w:p>
        </w:tc>
      </w:tr>
      <w:tr>
        <w:trPr>
          <w:trHeight w:val="230"/>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2023</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2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First Quarter</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0.89</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November 30, 2022</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34,010</w:t>
            </w:r>
          </w:p>
        </w:tc>
        <w:tc>
          <w:tcPr>
            <w:tcW w:w="18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December 15, 2022</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Future cash dividend payments will depend on our earnings, capital requirements, financial condition and other factors considered relevant by us and are subject to final determination by our Board of Directors.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391"/>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AOCL are as follows:</w:t>
            </w: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57"/>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November 30, 2023</w:t>
            </w: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unrealized gains (losses) on cash flow hedges, net of tax</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w:t>
            </w:r>
          </w:p>
        </w:tc>
      </w:tr>
      <w:tr>
        <w:trPr>
          <w:trHeight w:val="230"/>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foreign currency translation adjustments</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(88,113)</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(90,021)</w:t>
            </w:r>
          </w:p>
        </w:tc>
      </w:tr>
      <w:tr>
        <w:trPr>
          <w:trHeight w:val="223"/>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AOCL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(86,887)</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(87,141)</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13. EARNINGS PER SHARE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 per common share ("Basic EPS") is computed by dividing net income by the number of weighted average common shares outstanding during the period. Diluted earnings per common share ("Diluted EPS") is computed using the treasury stock method, by dividing net income by the cumulative weighted average common shares that are outstanding or are issuable upon the exercise of outstanding stock-based compensation awards during the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weighted average shares outstanding used in the Basic EPS and Diluted EPS computation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440" w:type="dxa"/>
            <w:vAlign w:val="bottom"/>
          </w:tcPr>
          <w:p>
            <w:pPr>
              <w:spacing w:after="0"/>
              <w:rPr>
                <w:sz w:val="19"/>
                <w:szCs w:val="19"/>
                <w:color w:val="auto"/>
              </w:rPr>
            </w:pPr>
          </w:p>
        </w:tc>
        <w:tc>
          <w:tcPr>
            <w:tcW w:w="22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November 30,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460" w:type="dxa"/>
            <w:vAlign w:val="bottom"/>
            <w:tcBorders>
              <w:bottom w:val="single" w:sz="8" w:color="auto"/>
            </w:tcBorders>
            <w:vMerge w:val="continue"/>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223"/>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EPS and Diluted EPS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8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0" w:type="dxa"/>
            <w:vAlign w:val="bottom"/>
          </w:tcPr>
          <w:p>
            <w:pPr>
              <w:spacing w:after="0"/>
              <w:rPr>
                <w:sz w:val="1"/>
                <w:szCs w:val="1"/>
                <w:color w:val="auto"/>
              </w:rPr>
            </w:pPr>
          </w:p>
        </w:tc>
      </w:tr>
      <w:tr>
        <w:trPr>
          <w:trHeight w:val="21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the calculation of Basic EPS</w:t>
            </w:r>
          </w:p>
        </w:tc>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38,016</w:t>
            </w:r>
          </w:p>
        </w:tc>
        <w:tc>
          <w:tcPr>
            <w:tcW w:w="8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38,122</w:t>
            </w:r>
          </w:p>
        </w:tc>
        <w:tc>
          <w:tcPr>
            <w:tcW w:w="0" w:type="dxa"/>
            <w:vAlign w:val="bottom"/>
          </w:tcPr>
          <w:p>
            <w:pPr>
              <w:spacing w:after="0"/>
              <w:rPr>
                <w:sz w:val="1"/>
                <w:szCs w:val="1"/>
                <w:color w:val="auto"/>
              </w:rPr>
            </w:pPr>
          </w:p>
        </w:tc>
      </w:tr>
      <w:tr>
        <w:trPr>
          <w:trHeight w:val="230"/>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 associated with stock-based compensation plan</w:t>
            </w: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8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0" w:type="dxa"/>
            <w:vAlign w:val="bottom"/>
          </w:tcPr>
          <w:p>
            <w:pPr>
              <w:spacing w:after="0"/>
              <w:rPr>
                <w:sz w:val="1"/>
                <w:szCs w:val="1"/>
                <w:color w:val="auto"/>
              </w:rPr>
            </w:pPr>
          </w:p>
        </w:tc>
      </w:tr>
      <w:tr>
        <w:trPr>
          <w:trHeight w:val="223"/>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EPS</w:t>
            </w:r>
          </w:p>
        </w:tc>
        <w:tc>
          <w:tcPr>
            <w:tcW w:w="4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0" w:type="dxa"/>
            <w:vAlign w:val="bottom"/>
          </w:tcPr>
          <w:p>
            <w:pPr>
              <w:spacing w:after="0"/>
              <w:rPr>
                <w:sz w:val="1"/>
                <w:szCs w:val="1"/>
                <w:color w:val="auto"/>
              </w:rPr>
            </w:pPr>
          </w:p>
        </w:tc>
      </w:tr>
      <w:tr>
        <w:trPr>
          <w:trHeight w:val="248"/>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EPS</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EPS</w:t>
            </w: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3.84</w:t>
            </w:r>
          </w:p>
        </w:tc>
        <w:tc>
          <w:tcPr>
            <w:tcW w:w="800" w:type="dxa"/>
            <w:vAlign w:val="bottom"/>
            <w:tcBorders>
              <w:bottom w:val="single" w:sz="8" w:color="auto"/>
            </w:tcBorders>
          </w:tcPr>
          <w:p>
            <w:pPr>
              <w:jc w:val="right"/>
              <w:ind w:right="5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 options that were out-of-the-money and performance share units ("PSUs") in which the performance criteria have not been met as of the end of the respective reporting period are omitted from the calculation of Diluted EPS as their impact was antidilutive. The following table presents those awards that were excluded from Diluted EPS for the periods presented:</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spacing w:after="0"/>
              <w:rPr>
                <w:sz w:val="19"/>
                <w:szCs w:val="19"/>
                <w:color w:val="auto"/>
              </w:rPr>
            </w:pPr>
          </w:p>
        </w:tc>
        <w:tc>
          <w:tcPr>
            <w:tcW w:w="484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840" w:type="dxa"/>
            <w:vAlign w:val="bottom"/>
          </w:tcPr>
          <w:p>
            <w:pPr>
              <w:jc w:val="center"/>
              <w:ind w:left="3050"/>
              <w:spacing w:after="0"/>
              <w:rPr>
                <w:sz w:val="20"/>
                <w:szCs w:val="20"/>
                <w:color w:val="auto"/>
              </w:rPr>
            </w:pPr>
            <w:r>
              <w:rPr>
                <w:rFonts w:ascii="Times New Roman" w:cs="Times New Roman" w:eastAsia="Times New Roman" w:hAnsi="Times New Roman"/>
                <w:sz w:val="18"/>
                <w:szCs w:val="18"/>
                <w:color w:val="auto"/>
                <w:w w:val="99"/>
              </w:rPr>
              <w:t>November 30,</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000" w:type="dxa"/>
            <w:vAlign w:val="bottom"/>
            <w:tcBorders>
              <w:bottom w:val="single" w:sz="8" w:color="auto"/>
            </w:tcBorders>
            <w:vMerge w:val="continue"/>
          </w:tcPr>
          <w:p>
            <w:pPr>
              <w:spacing w:after="0"/>
              <w:rPr>
                <w:sz w:val="20"/>
                <w:szCs w:val="20"/>
                <w:color w:val="auto"/>
              </w:rPr>
            </w:pPr>
          </w:p>
        </w:tc>
        <w:tc>
          <w:tcPr>
            <w:tcW w:w="4840" w:type="dxa"/>
            <w:vAlign w:val="bottom"/>
            <w:tcBorders>
              <w:bottom w:val="single" w:sz="8" w:color="auto"/>
            </w:tcBorders>
          </w:tcPr>
          <w:p>
            <w:pPr>
              <w:jc w:val="right"/>
              <w:ind w:right="1710"/>
              <w:spacing w:after="0"/>
              <w:rPr>
                <w:sz w:val="20"/>
                <w:szCs w:val="20"/>
                <w:color w:val="auto"/>
              </w:rPr>
            </w:pPr>
            <w:r>
              <w:rPr>
                <w:rFonts w:ascii="Times New Roman" w:cs="Times New Roman" w:eastAsia="Times New Roman" w:hAnsi="Times New Roman"/>
                <w:sz w:val="18"/>
                <w:szCs w:val="18"/>
                <w:color w:val="auto"/>
              </w:rPr>
              <w:t>2023</w:t>
            </w:r>
          </w:p>
        </w:tc>
        <w:tc>
          <w:tcPr>
            <w:tcW w:w="140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Out-of-the-money stock options</w:t>
            </w:r>
          </w:p>
        </w:tc>
        <w:tc>
          <w:tcPr>
            <w:tcW w:w="4840" w:type="dxa"/>
            <w:vAlign w:val="bottom"/>
            <w:shd w:val="clear" w:color="auto" w:fill="CCEEFF"/>
          </w:tcPr>
          <w:p>
            <w:pPr>
              <w:ind w:left="37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34"/>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4840" w:type="dxa"/>
            <w:vAlign w:val="bottom"/>
          </w:tcPr>
          <w:p>
            <w:pPr>
              <w:ind w:left="3740"/>
              <w:spacing w:after="0"/>
              <w:rPr>
                <w:sz w:val="20"/>
                <w:szCs w:val="20"/>
                <w:color w:val="auto"/>
              </w:rPr>
            </w:pPr>
            <w:r>
              <w:rPr>
                <w:rFonts w:ascii="Times New Roman" w:cs="Times New Roman" w:eastAsia="Times New Roman" w:hAnsi="Times New Roman"/>
                <w:sz w:val="18"/>
                <w:szCs w:val="18"/>
                <w:color w:val="auto"/>
              </w:rPr>
              <w:t>96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14. STOCK-BASED COMPENSATION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stock-based awards include stock options, restricted stock units ("RSUs"), PSUs and common stock purchased by eligible employees under our employee stock purchase plan ("ESPP"). We measure and recognize stock-based compensation for all stock-based awards granted to our employees and our non-employee members of the Board of Directors ("non-employee directors") based on their estimated grant date fair value. To estimate the grant date fair value, we utilize a lattice-binomial option-pricing model ("binomial model") for our employee stock options and the Black-Scholes model for non-employee director stock options and common stock purchased by eligible employees under our ESPP.</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RSUs and PSUs (collectively, "Restricted Stock Awards"), the grant date fair value is measured by reducing the grant date price of our common stock by the present value of future dividend payments on the underlying stock during the requisite service period. The number of PSUs granted assumes target-level achievement of the specified performance levels within the payout range. The ultimate number of common shares that may be earned from a PSU is determined based on the actual achievement of the specified performance levels within the payout range.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stock option and RSU awards is recognized over the requisite service period using the straight-line method. For granted stock options and RSUs, the amount of stock-based compensation expense recognized on any date is at least equal to the vested portion of the award on that date.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PSUs require us to make assumptions regarding the probability of achieving specified performance levels established at the time of grant and we recognize stock-based compensation expense using the straight-line method over the requisite service period. The probability of achieving the specified performance levels is reviewed on a quarterly basis to ensure the amount of stock-based compensation expense appropriately reflects the expected achievement. The ultimate number of common shares that may be earned pursuant to these PSU awards range from 0% to 150% of the number of target shares for the November 2022 annual grant and 0% to 200% of the number of target shares for the November 2023 annual grant, depending on the level of our achievement of stated financial performance objectives.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ESPP, stock-based compensation expense is recognized on a straight-line basis over the offering period.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Stock-based awards are subject to the continued employment and continued service at the time of vesting by employees and non-employee directors, respectively. Compensation expense for stock-based awards is recorded net of estimated forfeitures, which are based on historical forfeiture rates and are revised if actual forfeitures differ from those estimates.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the stock-based compensation for the periods presented:</w:t>
            </w:r>
          </w:p>
        </w:tc>
        <w:tc>
          <w:tcPr>
            <w:tcW w:w="16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75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29"/>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0" w:type="dxa"/>
            <w:vAlign w:val="bottom"/>
          </w:tcPr>
          <w:p>
            <w:pPr>
              <w:spacing w:after="0"/>
              <w:rPr>
                <w:sz w:val="19"/>
                <w:szCs w:val="19"/>
                <w:color w:val="auto"/>
              </w:rPr>
            </w:pPr>
          </w:p>
        </w:tc>
        <w:tc>
          <w:tcPr>
            <w:tcW w:w="2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7520" w:type="dxa"/>
            <w:vAlign w:val="bottom"/>
            <w:tcBorders>
              <w:bottom w:val="single" w:sz="8" w:color="auto"/>
            </w:tcBorders>
            <w:vMerge w:val="continue"/>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212529"/>
              </w:rPr>
              <w:t>$</w:t>
            </w:r>
          </w:p>
        </w:tc>
        <w:tc>
          <w:tcPr>
            <w:tcW w:w="12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212529"/>
              </w:rPr>
              <w:t xml:space="preserve">14,310 </w:t>
            </w:r>
            <w:r>
              <w:rPr>
                <w:rFonts w:ascii="Times New Roman" w:cs="Times New Roman" w:eastAsia="Times New Roman" w:hAnsi="Times New Roman"/>
                <w:sz w:val="18"/>
                <w:szCs w:val="18"/>
                <w:color w:val="00000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stock-based compensation costs capitalized in any periods presented. As of November 30, 2023, $167.6 million of total unrecognized compensation expense related to non-vested stock-based awards is expected to be recognized over a weighted average vesting period of 3.4 years.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2023, we had 3.7 million employee stock-based awards available for grant under the FactSet Research Systems Inc. Stock Option and Award Plan, as Amended and Restated (the "LTIP"). As of November 30, 2023, we had 0.2 million non-employee stock-based awards available for grant under the FactSet Research Systems Inc. Non-Employee Directors’ Stock Option and Award Plan as Amended and Restated (the "Director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Option Awards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annual employee stock option grant, made during the first quarter of each fiscal year, makes up the majority of our stock options granted under the LTIP in each fiscal year.</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employee stock options granted under the LTIP for the three months ended November 30, 2023 and November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4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Three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3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November 30,</w:t>
            </w:r>
          </w:p>
        </w:tc>
        <w:tc>
          <w:tcPr>
            <w:tcW w:w="11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w w:val="94"/>
              </w:rPr>
              <w:t>2022</w:t>
            </w:r>
          </w:p>
        </w:tc>
        <w:tc>
          <w:tcPr>
            <w:tcW w:w="0" w:type="dxa"/>
            <w:vAlign w:val="bottom"/>
          </w:tcPr>
          <w:p>
            <w:pPr>
              <w:spacing w:after="0"/>
              <w:rPr>
                <w:sz w:val="1"/>
                <w:szCs w:val="1"/>
                <w:color w:val="auto"/>
              </w:rPr>
            </w:pPr>
          </w:p>
        </w:tc>
      </w:tr>
      <w:tr>
        <w:trPr>
          <w:trHeight w:val="229"/>
        </w:trPr>
        <w:tc>
          <w:tcPr>
            <w:tcW w:w="5140" w:type="dxa"/>
            <w:vAlign w:val="bottom"/>
            <w:tcBorders>
              <w:bottom w:val="single" w:sz="8" w:color="auto"/>
            </w:tcBorders>
          </w:tcPr>
          <w:p>
            <w:pPr>
              <w:spacing w:after="0"/>
              <w:rPr>
                <w:sz w:val="19"/>
                <w:szCs w:val="19"/>
                <w:color w:val="auto"/>
              </w:rPr>
            </w:pPr>
          </w:p>
        </w:tc>
        <w:tc>
          <w:tcPr>
            <w:tcW w:w="3440" w:type="dxa"/>
            <w:vAlign w:val="bottom"/>
            <w:tcBorders>
              <w:bottom w:val="single" w:sz="8" w:color="auto"/>
            </w:tcBorders>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Stock options granted</w:t>
            </w:r>
            <w:r>
              <w:rPr>
                <w:rFonts w:ascii="Times New Roman" w:cs="Times New Roman" w:eastAsia="Times New Roman" w:hAnsi="Times New Roman"/>
                <w:sz w:val="23"/>
                <w:szCs w:val="23"/>
                <w:color w:val="auto"/>
                <w:vertAlign w:val="superscript"/>
              </w:rPr>
              <w:t>(1)</w:t>
            </w:r>
          </w:p>
        </w:tc>
        <w:tc>
          <w:tcPr>
            <w:tcW w:w="3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242,371</w:t>
            </w:r>
          </w:p>
        </w:tc>
        <w:tc>
          <w:tcPr>
            <w:tcW w:w="8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267,296</w:t>
            </w:r>
          </w:p>
        </w:tc>
        <w:tc>
          <w:tcPr>
            <w:tcW w:w="0" w:type="dxa"/>
            <w:vAlign w:val="bottom"/>
          </w:tcPr>
          <w:p>
            <w:pPr>
              <w:spacing w:after="0"/>
              <w:rPr>
                <w:sz w:val="1"/>
                <w:szCs w:val="1"/>
                <w:color w:val="auto"/>
              </w:rPr>
            </w:pP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436.57</w:t>
            </w:r>
          </w:p>
        </w:tc>
        <w:tc>
          <w:tcPr>
            <w:tcW w:w="80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0" w:type="dxa"/>
            <w:vAlign w:val="bottom"/>
          </w:tcPr>
          <w:p>
            <w:pPr>
              <w:spacing w:after="0"/>
              <w:rPr>
                <w:sz w:val="1"/>
                <w:szCs w:val="1"/>
                <w:color w:val="auto"/>
              </w:rPr>
            </w:pP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440" w:type="dxa"/>
            <w:vAlign w:val="bottom"/>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c>
          <w:tcPr>
            <w:tcW w:w="80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125.59</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260" w:hanging="252"/>
        <w:spacing w:after="0" w:line="298" w:lineRule="auto"/>
        <w:tabs>
          <w:tab w:leader="none" w:pos="24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annual employee grant on November 1, 2023 and November 1, 2022 of 242,371 and 266,051 stock options, respectively. These annual employee grants both vest 20% annually on the anniversary date of the grant and are fully vested after five years, expiring ten years from the date of grant.</w:t>
      </w:r>
    </w:p>
    <w:p>
      <w:pPr>
        <w:spacing w:after="0" w:line="1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the November 1, 2023 annual employee grant, the estimated grant date fair value, using the binomial model, leveraged the following assumptions: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1, 2023 Annual Employee Grant Details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5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 - 5.53%</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 (years)</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0.90%</w:t>
            </w: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Estimated fair value</w:t>
            </w:r>
          </w:p>
        </w:tc>
        <w:tc>
          <w:tcPr>
            <w:tcW w:w="5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w:t>
            </w:r>
          </w:p>
        </w:tc>
      </w:tr>
      <w:tr>
        <w:trPr>
          <w:trHeight w:val="234"/>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5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$436.57</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Restricted Stock Awards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Restricted Stock Awards are granted to our employees under the LTIP. These awards entitle the holders to shares of common stock as the Restricted Stock Awards vest, but not to dividends declared on the underlying shares while the stock subject to the Restricted Stock Awards is unvested.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Restricted Stock Awards granted during the three months ended November 30, 2023 and November 30, 2022 primarily related to our annual grants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2023 and November 1, 2022, respectively, and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 November 30,</w:t>
            </w: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2"/>
          </w:tcPr>
          <w:p>
            <w:pPr>
              <w:jc w:val="right"/>
              <w:ind w:right="131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178"/>
        </w:trPr>
        <w:tc>
          <w:tcPr>
            <w:tcW w:w="4980" w:type="dxa"/>
            <w:vAlign w:val="bottom"/>
          </w:tcPr>
          <w:p>
            <w:pPr>
              <w:spacing w:after="0"/>
              <w:rPr>
                <w:sz w:val="15"/>
                <w:szCs w:val="15"/>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5"/>
                <w:szCs w:val="15"/>
                <w:color w:val="auto"/>
              </w:rPr>
            </w:pPr>
          </w:p>
        </w:tc>
        <w:tc>
          <w:tcPr>
            <w:tcW w:w="17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Weighted Average</w:t>
            </w:r>
          </w:p>
        </w:tc>
        <w:tc>
          <w:tcPr>
            <w:tcW w:w="112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15"/>
                <w:szCs w:val="15"/>
                <w:color w:val="auto"/>
              </w:rPr>
            </w:pPr>
          </w:p>
        </w:tc>
        <w:tc>
          <w:tcPr>
            <w:tcW w:w="1800" w:type="dxa"/>
            <w:vAlign w:val="bottom"/>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w w:val="97"/>
              </w:rPr>
              <w:t>Weighted Average</w:t>
            </w:r>
          </w:p>
        </w:tc>
        <w:tc>
          <w:tcPr>
            <w:tcW w:w="0" w:type="dxa"/>
            <w:vAlign w:val="bottom"/>
          </w:tcPr>
          <w:p>
            <w:pPr>
              <w:spacing w:after="0"/>
              <w:rPr>
                <w:sz w:val="1"/>
                <w:szCs w:val="1"/>
                <w:color w:val="auto"/>
              </w:rPr>
            </w:pPr>
          </w:p>
        </w:tc>
      </w:tr>
      <w:tr>
        <w:trPr>
          <w:trHeight w:val="180"/>
        </w:trPr>
        <w:tc>
          <w:tcPr>
            <w:tcW w:w="49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tcPr>
          <w:p>
            <w:pPr>
              <w:jc w:val="center"/>
              <w:ind w:right="30"/>
              <w:spacing w:after="0" w:line="181"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1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tcPr>
          <w:p>
            <w:pPr>
              <w:jc w:val="center"/>
              <w:ind w:right="90"/>
              <w:spacing w:after="0" w:line="181" w:lineRule="exact"/>
              <w:rPr>
                <w:sz w:val="20"/>
                <w:szCs w:val="20"/>
                <w:color w:val="auto"/>
              </w:rPr>
            </w:pPr>
            <w:r>
              <w:rPr>
                <w:rFonts w:ascii="Times New Roman" w:cs="Times New Roman" w:eastAsia="Times New Roman" w:hAnsi="Times New Roman"/>
                <w:sz w:val="18"/>
                <w:szCs w:val="18"/>
                <w:color w:val="auto"/>
                <w:w w:val="98"/>
              </w:rPr>
              <w:t>Grant Date Fair Value</w:t>
            </w:r>
          </w:p>
        </w:tc>
        <w:tc>
          <w:tcPr>
            <w:tcW w:w="0" w:type="dxa"/>
            <w:vAlign w:val="bottom"/>
          </w:tcPr>
          <w:p>
            <w:pPr>
              <w:spacing w:after="0"/>
              <w:rPr>
                <w:sz w:val="1"/>
                <w:szCs w:val="1"/>
                <w:color w:val="auto"/>
              </w:rPr>
            </w:pPr>
          </w:p>
        </w:tc>
      </w:tr>
      <w:tr>
        <w:trPr>
          <w:trHeight w:val="230"/>
        </w:trPr>
        <w:tc>
          <w:tcPr>
            <w:tcW w:w="49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 Award</w:t>
            </w: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Per Award</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RSUs Granted</w:t>
            </w:r>
            <w:r>
              <w:rPr>
                <w:rFonts w:ascii="Times New Roman" w:cs="Times New Roman" w:eastAsia="Times New Roman" w:hAnsi="Times New Roman"/>
                <w:sz w:val="23"/>
                <w:szCs w:val="23"/>
                <w:color w:val="auto"/>
                <w:vertAlign w:val="superscript"/>
              </w:rPr>
              <w:t>(1)</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64,187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PSUs Granted</w:t>
            </w:r>
            <w:r>
              <w:rPr>
                <w:rFonts w:ascii="Times New Roman" w:cs="Times New Roman" w:eastAsia="Times New Roman" w:hAnsi="Times New Roman"/>
                <w:sz w:val="23"/>
                <w:szCs w:val="23"/>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415.31</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Performance adjustment - PSUs</w:t>
            </w:r>
            <w:r>
              <w:rPr>
                <w:rFonts w:ascii="Times New Roman" w:cs="Times New Roman" w:eastAsia="Times New Roman" w:hAnsi="Times New Roman"/>
                <w:sz w:val="23"/>
                <w:szCs w:val="23"/>
                <w:color w:val="auto"/>
                <w:vertAlign w:val="superscript"/>
              </w:rPr>
              <w:t>(3)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306.33</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245.67</w:t>
            </w:r>
          </w:p>
        </w:tc>
        <w:tc>
          <w:tcPr>
            <w:tcW w:w="0" w:type="dxa"/>
            <w:vAlign w:val="bottom"/>
          </w:tcPr>
          <w:p>
            <w:pPr>
              <w:spacing w:after="0"/>
              <w:rPr>
                <w:sz w:val="1"/>
                <w:szCs w:val="1"/>
                <w:color w:val="auto"/>
              </w:rPr>
            </w:pPr>
          </w:p>
        </w:tc>
      </w:tr>
      <w:tr>
        <w:trPr>
          <w:trHeight w:val="228"/>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Restricted Stock Awards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115,519</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90,062</w:t>
            </w: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240" w:hanging="232"/>
        <w:spacing w:after="0"/>
        <w:tabs>
          <w:tab w:leader="none" w:pos="2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RSUs vest 20% annually on the anniversary date of the grant and are fully vested after five years.</w:t>
      </w:r>
    </w:p>
    <w:p>
      <w:pPr>
        <w:spacing w:after="0" w:line="59" w:lineRule="exact"/>
        <w:rPr>
          <w:rFonts w:ascii="Times New Roman" w:cs="Times New Roman" w:eastAsia="Times New Roman" w:hAnsi="Times New Roman"/>
          <w:sz w:val="16"/>
          <w:szCs w:val="16"/>
          <w:color w:val="auto"/>
        </w:rPr>
      </w:pPr>
    </w:p>
    <w:p>
      <w:pPr>
        <w:jc w:val="both"/>
        <w:ind w:left="260" w:hanging="252"/>
        <w:spacing w:after="0" w:line="272" w:lineRule="auto"/>
        <w:tabs>
          <w:tab w:leader="none" w:pos="268"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PSUs cliff vest on the third anniversary of the grant date, subject to the achievement of certain performance metrics. The ultimate number of common shares that may be earned pursuant to these PSU awards range from 0% to 150% of the number of target shares for the November 2022 annual grant and 0% to 200% of the number of target shares for the November 2023 annual grant, depending on the level of our achievement of stated financial performance objectives.</w:t>
      </w:r>
    </w:p>
    <w:p>
      <w:pPr>
        <w:spacing w:after="0" w:line="22" w:lineRule="exact"/>
        <w:rPr>
          <w:rFonts w:ascii="Times New Roman" w:cs="Times New Roman" w:eastAsia="Times New Roman" w:hAnsi="Times New Roman"/>
          <w:sz w:val="16"/>
          <w:szCs w:val="16"/>
          <w:color w:val="auto"/>
        </w:rPr>
      </w:pPr>
    </w:p>
    <w:p>
      <w:pPr>
        <w:ind w:left="260" w:hanging="252"/>
        <w:spacing w:after="0" w:line="280" w:lineRule="auto"/>
        <w:tabs>
          <w:tab w:leader="none" w:pos="27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months ended November 30, 2023 and November 30, 2022, additional PSUs were granted based on performance above the specified target level of achievement for PSUs granted on November 9, 2020 and November 1, 2019,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Shares of FactSet common stock may be purchased by eligible employees under our ESPP in three-month intervals. The purchase price is equal to 85% of the lesser of the fair market value of our common stock on the first day or the last day of each</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three-month offering period. Employee purchases may not exceed 10% of their gross compensation, and there is a $25,000 contribution limit per employee for each calendar year. Shares purchased through our ESPP cannot be sold or otherwise transferred for 18 months after purchase. Dividends paid on shares held in our ESPP are used to purchase additional ESPP shares at the market price on the dividend payment date.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our ESPP was $0.6 million for the three months ended November 30, 2023 and $0.7 million for the three months ended November 30, 2022. As of November 30, 2023, our ESPP had 54,761 shares reserved for future issuance.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15. SEGMENT INFORMATION</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that have the following characteristics: (i) they engage in business activities from which they may earn revenue and incur expense, (ii) their operating results are regularly reviewed by the CODM for resource allocation decisions and performance assessment, and (iii) their discrete financial information is available. Our Chief Executive Officer functions as our CODM.</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operating segments: Americas, EMEA and Asia Pacific. This is how we and our CODM manage our business and the geographic markets in which we operate. These operating segments are consistent with our reportable 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Americas segment serves our clients throughout North, Central, and South America. The EMEA segment serves our clients in Europe, the Middle East, and Africa. The Asia Pacific segment serves our clients in Asia and Australasia. Segment revenues reflect sales to our clients based on their respective geographic locations.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segment records expenses related to its individual operations with the exception of expenditures associated with our data centers, third-party data costs and corporate headquarters charges, which are recorded by the Americas segment and are not allocated to the other segments. The expenses incurred at our content collection centers, located in India, the Philippines and Latvia, are allocated to each segment based on their respective percentage of revenues as this reflects the benefits provided by each segment.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tables reflect the results of operations of our segments: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2023</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54,288</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542,216</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80,848</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68,865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39,327</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189,040</w:t>
            </w:r>
          </w:p>
        </w:tc>
      </w:tr>
      <w:tr>
        <w:trPr>
          <w:trHeight w:val="30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14,778</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r>
      <w:tr>
        <w:trPr>
          <w:trHeight w:val="423"/>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Americas</w:t>
            </w: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EMEA</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Asia Pacific</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three months ended November 30, 2022</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323,367</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50,710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504,815</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67,322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171,895</w:t>
            </w:r>
          </w:p>
        </w:tc>
      </w:tr>
      <w:tr>
        <w:trPr>
          <w:trHeight w:val="306"/>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expenditures</w:t>
            </w:r>
            <w:r>
              <w:rPr>
                <w:rFonts w:ascii="Times New Roman" w:cs="Times New Roman" w:eastAsia="Times New Roman" w:hAnsi="Times New Roman"/>
                <w:sz w:val="23"/>
                <w:szCs w:val="23"/>
                <w:color w:val="auto"/>
                <w:vertAlign w:val="superscript"/>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15,754</w:t>
            </w:r>
          </w:p>
        </w:tc>
        <w:tc>
          <w:tcPr>
            <w:tcW w:w="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17,960</w:t>
            </w:r>
          </w:p>
        </w:tc>
      </w:tr>
    </w:tbl>
    <w:p>
      <w:pPr>
        <w:spacing w:after="0" w:line="139" w:lineRule="exact"/>
        <w:rPr>
          <w:sz w:val="20"/>
          <w:szCs w:val="20"/>
          <w:color w:val="auto"/>
        </w:rPr>
      </w:pPr>
    </w:p>
    <w:p>
      <w:pPr>
        <w:ind w:left="240" w:hanging="232"/>
        <w:spacing w:after="0"/>
        <w:tabs>
          <w:tab w:leader="none" w:pos="24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expenditures includes purchases of property, equipment and leasehold improvements and capitalized internal-use software.</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21"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96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Total Assets</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405"/>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reflects the total assets for our segments as of:</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57"/>
        </w:trPr>
        <w:tc>
          <w:tcPr>
            <w:tcW w:w="5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November 30, 2023</w:t>
            </w:r>
          </w:p>
        </w:tc>
        <w:tc>
          <w:tcPr>
            <w:tcW w:w="2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August 31, 2023</w:t>
            </w:r>
          </w:p>
        </w:tc>
      </w:tr>
      <w:tr>
        <w:trPr>
          <w:trHeight w:val="223"/>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Segment Assets</w:t>
            </w:r>
          </w:p>
        </w:tc>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3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Americas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3,112,779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3,148,192</w:t>
            </w:r>
          </w:p>
        </w:tc>
      </w:tr>
      <w:tr>
        <w:trPr>
          <w:trHeight w:val="229"/>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EMEA</w:t>
            </w:r>
          </w:p>
        </w:tc>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584,811</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558,393</w:t>
            </w:r>
          </w:p>
        </w:tc>
      </w:tr>
      <w:tr>
        <w:trPr>
          <w:trHeight w:val="230"/>
        </w:trPr>
        <w:tc>
          <w:tcPr>
            <w:tcW w:w="516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Asia Pacific</w:t>
            </w:r>
          </w:p>
        </w:tc>
        <w:tc>
          <w:tcPr>
            <w:tcW w:w="20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253,636</w:t>
            </w: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256,337</w:t>
            </w:r>
          </w:p>
        </w:tc>
      </w:tr>
      <w:tr>
        <w:trPr>
          <w:trHeight w:val="223"/>
        </w:trPr>
        <w:tc>
          <w:tcPr>
            <w:tcW w:w="5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3,951,226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3,962,922</w:t>
            </w:r>
          </w:p>
        </w:tc>
      </w:tr>
      <w:tr>
        <w:trPr>
          <w:trHeight w:val="1242"/>
        </w:trPr>
        <w:tc>
          <w:tcPr>
            <w:tcW w:w="12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8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15"/>
        </w:trPr>
        <w:tc>
          <w:tcPr>
            <w:tcW w:w="1280" w:type="dxa"/>
            <w:vAlign w:val="bottom"/>
            <w:tcBorders>
              <w:bottom w:val="single" w:sz="8" w:color="9A9A9A"/>
            </w:tcBorders>
          </w:tcPr>
          <w:p>
            <w:pPr>
              <w:spacing w:after="0"/>
              <w:rPr>
                <w:sz w:val="10"/>
                <w:szCs w:val="10"/>
                <w:color w:val="auto"/>
              </w:rPr>
            </w:pPr>
          </w:p>
        </w:tc>
        <w:tc>
          <w:tcPr>
            <w:tcW w:w="38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7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40"/>
        <w:spacing w:after="0" w:line="287" w:lineRule="auto"/>
        <w:rPr>
          <w:sz w:val="20"/>
          <w:szCs w:val="20"/>
          <w:color w:val="auto"/>
        </w:rPr>
      </w:pPr>
      <w:r>
        <w:rPr>
          <w:rFonts w:ascii="Times New Roman" w:cs="Times New Roman" w:eastAsia="Times New Roman" w:hAnsi="Times New Roman"/>
          <w:sz w:val="25"/>
          <w:szCs w:val="25"/>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This Management’s Discussion and Analysis of Financial Condition and Results of Operations ("MD&amp;A") should be read in conjunction with the Consolidated Financial Statements and related Notes included in this Quarterly Report on Form 10-Q, our Annual Report on Form 10-K for the fiscal year ended August 31, 2023, our Current Reports on Form 8-K and our other filings with the Securities and Exchange Commission. This discussion contains forward-looking statements that involve risks and uncertainties. Our actual results could differ materially from those discussed below. Factors that could cause such differences include, but are not limited to, those identified below and those discussed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our Annual Report on Form 10-K for the fiscal year ended August 31, 2023.</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MD&amp;A is designed to provide a reader of our financial statements with a narrative from the perspective of our management on our financial condition, results of operations, liquidity and certain other factors that may affect our future results. Our MD&amp;A is presented in the following sections:</w:t>
      </w:r>
    </w:p>
    <w:p>
      <w:pPr>
        <w:spacing w:after="0" w:line="135" w:lineRule="exact"/>
        <w:rPr>
          <w:sz w:val="20"/>
          <w:szCs w:val="20"/>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Overview</w:t>
      </w:r>
    </w:p>
    <w:p>
      <w:pPr>
        <w:spacing w:after="0" w:line="27"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Subscription Value ("ASV")</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Client and User Additions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Headcount</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Measures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Arrangements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Exposure</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9"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Accounting Pronouncements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Executive Overview</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FactSet Research Systems Inc. and its wholly-owned subsidiaries (collectively, "we," "our," "us," the "Company" or "FactSet") is a global financial digital platform and enterprise solutions provider with open and flexible technologies that drive the investment community to see more, think bigger and do its best work.</w:t>
      </w:r>
    </w:p>
    <w:p>
      <w:pPr>
        <w:spacing w:after="0" w:line="12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platform delivers expansive data, sophisticated analytics, and flexible technology used by global financial professionals to power their critical investment workflows. As of November 30, 2023, we had nearly 8,000 clients comprised of more than 207,000 investment professionals, including institutional asset managers, bankers, wealth managers, asset owners, partners, hedge funds, corporate users, and private equity and venture capital professionals. Our revenues are primarily derived from subscriptions to our multi-asset class data and solutions powered by our connected content, referred to as our "content refinery." Our products and services include workstations, portfolio analytics and enterprise solutions.</w:t>
      </w:r>
    </w:p>
    <w:p>
      <w:pPr>
        <w:spacing w:after="0" w:line="14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drive our business based on our detailed understanding of our clients' workflows, which helps us to solve their most complex challenges. We provide financial data and market intelligence on securities, companies, industries and people to enable our clients to research investment ideas, as well as to analyze, monitor and manage their portfolios. Our on- and off-platform solutions span the investment life cycle of investment research, portfolio construction and analysis, trade execution, performance measurement, risk management and reporting. We provide open and flexible technology offerings, including a configurable desktop and mobile platform, comprehensive data feeds, cloud-based digital solutions and application programming interfaces ("APIs"). Our CUSIP Global Services ("CGS") business supports security master files relied on by the investment industry for critical front, middle and back-office functions. Our platform and solutions are supported by our dedicated client service team.</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operate our business through three reportable segments ("segments"): the Americas, EMEA and Asia Pacific. During fiscal 2024, we revised our internal organization within each segment to offer data, products and analytical applications by firm type:</w:t>
      </w:r>
    </w:p>
    <w:p>
      <w:pPr>
        <w:spacing w:after="0" w:line="121"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"Institutional Buyside" focuses on asset managers, asset owners, and hedge fund companies,</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"Dealmakers" focuses on banking and sell-side research, corporate, and private equity and venture capital workflows,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"Wealth" focuses on wealth management workflows,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and CGS": "Partnerships" delivers solutions to content providers, financial exchanges, and rating agencies. "CGS" is the exclusive issuer of Committee on Uniform Security Identification Procedures ("CUSIP") and CUSIP International Number System ("CINS") identifiers.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our chief operating decision maker ("CODM") continues to review our business and operating results based on our three segments, the Americas, EMEA and Asia Pacific, the realignment of our internal organization by firm types will not impact our segments for fiscal 2024. Refer to Note 15,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in the Notes to the Consolidated Financial Statements included in Part I, Item 1. of this Quarterly Report on Form 10-Q for more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our segments and CODM.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strategy is to build the leading open content and analytics platform and powerful enterprise solutions that deliver a differentiated advantage for our clients’ success. By offering personalized digital products, we strive to be a trusted partner and service provider, delivering relevant insights and research ideas tailored to our clients' specific business models.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focused on growing our global business through three strategically aligned geographic segments: the Americas, EMEA and Asia Pacific. This approach allows us to better manage resources, target solutions and interact with clients effectively. To execute our strategy, we have outlined the following key initiatives:</w:t>
      </w:r>
    </w:p>
    <w:p>
      <w:pPr>
        <w:spacing w:after="0" w:line="145" w:lineRule="exact"/>
        <w:rPr>
          <w:sz w:val="20"/>
          <w:szCs w:val="20"/>
          <w:color w:val="auto"/>
        </w:rPr>
      </w:pPr>
    </w:p>
    <w:p>
      <w:pPr>
        <w:jc w:val="both"/>
        <w:ind w:left="660" w:hanging="328"/>
        <w:spacing w:after="0" w:line="257"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Expanding our Digital Platform</w:t>
      </w:r>
      <w:r>
        <w:rPr>
          <w:rFonts w:ascii="Times New Roman" w:cs="Times New Roman" w:eastAsia="Times New Roman" w:hAnsi="Times New Roman"/>
          <w:sz w:val="18"/>
          <w:szCs w:val="18"/>
          <w:color w:val="auto"/>
        </w:rPr>
        <w:t>: We are scaling up our content refinery to provide a comprehensive inventory of industry, proprietary and third-party data. This includes granular data for key industry verticals, real-time data, fund data and sustainable finance. Through an open ecosystem of cloud-based data and analytics, we aim to offer flexible solutions and content accessible through various delivery methods. In addition, we are working to expand our use of artificial intelligence to drive efficiencies for our clients, with anticipated initiatives including automation of tasks and integration of natural language queries. We believe that our breadth of high-quality, connected content will be a critical raw material for large language models.</w:t>
      </w:r>
    </w:p>
    <w:p>
      <w:pPr>
        <w:spacing w:after="0" w:line="141"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Ensuring Execution Excellence</w:t>
      </w:r>
      <w:r>
        <w:rPr>
          <w:rFonts w:ascii="Times New Roman" w:cs="Times New Roman" w:eastAsia="Times New Roman" w:hAnsi="Times New Roman"/>
          <w:sz w:val="18"/>
          <w:szCs w:val="18"/>
          <w:color w:val="auto"/>
        </w:rPr>
        <w:t>: Innovation and collaboration are at the core of our approach. We employ technology to accelerate content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collection, data connectivity and the development of summaries and themes. Our sales force is committed to enhancing price realization, productivity, efficiency and improved client outcomes. We are also optimizing operations and managing expenses to improve returns on our investments.</w:t>
      </w:r>
    </w:p>
    <w:p>
      <w:pPr>
        <w:spacing w:after="0" w:line="135"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Fostering a Growth Mindset</w:t>
      </w:r>
      <w:r>
        <w:rPr>
          <w:rFonts w:ascii="Times New Roman" w:cs="Times New Roman" w:eastAsia="Times New Roman" w:hAnsi="Times New Roman"/>
          <w:sz w:val="18"/>
          <w:szCs w:val="18"/>
          <w:color w:val="auto"/>
        </w:rPr>
        <w:t>: We prioritize recruiting, training and empowering a diverse and efficient workforce. We are driving sustainable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growth by investing in talent that can create leading technological solutions and efficiently execute our strategy. Additionally, strategic partnerships and acquisitions help to accelerate our expansion in key areas.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2024 First Quarter in Review</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Revenues in the first quarter of fiscal 2024 were $542.2 million, an increase of 7.4% from the comparable prior year period. Revenues increased in all our segments, primarily in the Americas and, to a lesser extent, EMEA and Asia Pacific. The increased revenues were driven by higher demand for our workstations, middle office solutions, data feeds and our CGS subscriptions. The increased revenues reflected 7.2% growth in organic revenues during the first quarter of fiscal 2024 compared with the prior year period. Refer to Part I, Item 2.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Non-GAAP Financial Measures, </w:t>
      </w:r>
      <w:r>
        <w:rPr>
          <w:rFonts w:ascii="Times New Roman" w:cs="Times New Roman" w:eastAsia="Times New Roman" w:hAnsi="Times New Roman"/>
          <w:sz w:val="18"/>
          <w:szCs w:val="18"/>
          <w:color w:val="auto"/>
        </w:rPr>
        <w:t>of this Quarterly Report on Form 10-Q for a definition of organic revenues and a reconciliation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revenues and organic revenues.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November 30, 2023, organic annual subscription value ("Organic ASV") plus Professional Services totaled $2,185.0 million, an increase of 7.1% over the prior year. Organic ASV increased in all our segments, with the majority of the increase related to the Americas and, to a lesser extent, EMEA and Asia Pacific. This increase was primarily driven by higher demand for our workstations and, to a lesser extent, our middle office solutions and data feeds. Refer to Part I, Item 2. </w:t>
      </w:r>
      <w:r>
        <w:rPr>
          <w:rFonts w:ascii="Times New Roman" w:cs="Times New Roman" w:eastAsia="Times New Roman" w:hAnsi="Times New Roman"/>
          <w:sz w:val="18"/>
          <w:szCs w:val="18"/>
          <w:i w:val="1"/>
          <w:iCs w:val="1"/>
          <w:color w:val="auto"/>
        </w:rPr>
        <w:t>Management's Discussion and Analysis of Financial Condition and Results of Operations, Annual Subscription Value,</w:t>
      </w:r>
      <w:r>
        <w:rPr>
          <w:rFonts w:ascii="Times New Roman" w:cs="Times New Roman" w:eastAsia="Times New Roman" w:hAnsi="Times New Roman"/>
          <w:sz w:val="18"/>
          <w:szCs w:val="18"/>
          <w:color w:val="auto"/>
        </w:rPr>
        <w:t xml:space="preserve"> of this Quarterly Report on Form 10-Q for the definitions of Organic ASV and Organic ASV plus Professional Services.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margin increased to 34.9% during the three months ended November 30, 2023, compared with 34.1% in the prior year period. This increase was mainly due to growth in revenues and, when expressed as a percentage of revenues, a benefit from the net settlement of our derivative instruments and a decrease in professional fees, partially offset by higher computer-related expenses and royalty fees. Diluted earnings per common share ("Diluted EPS") for the three months ended November 30, 2023 was $3.84, an increase of 9.1%, compared with the prior 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Annual Subscription Value ("ASV")</w:t>
      </w:r>
    </w:p>
    <w:p>
      <w:pPr>
        <w:spacing w:after="0" w:line="2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ASV reflects our ability to grow recurring revenues and generate positive cash flows and serves as a key indicator of the successful execution of our business strategy.</w:t>
      </w:r>
    </w:p>
    <w:p>
      <w:pPr>
        <w:spacing w:after="0" w:line="189" w:lineRule="exact"/>
        <w:rPr>
          <w:sz w:val="20"/>
          <w:szCs w:val="20"/>
          <w:color w:val="auto"/>
        </w:rPr>
      </w:pPr>
    </w:p>
    <w:p>
      <w:pPr>
        <w:ind w:left="660" w:hanging="324"/>
        <w:spacing w:after="0" w:line="261" w:lineRule="auto"/>
        <w:rPr>
          <w:sz w:val="20"/>
          <w:szCs w:val="20"/>
          <w:color w:val="auto"/>
        </w:rPr>
      </w:pPr>
      <w:r>
        <w:rPr>
          <w:rFonts w:ascii="Times New Roman" w:cs="Times New Roman" w:eastAsia="Times New Roman" w:hAnsi="Times New Roman"/>
          <w:sz w:val="18"/>
          <w:szCs w:val="18"/>
          <w:color w:val="auto"/>
        </w:rPr>
        <w:t>– "ASV" at any point in time represents our forward-looking revenues for the next 12 months from all subscription services currently being supplied to clients, excluding revenues from Professional Services.</w:t>
      </w:r>
    </w:p>
    <w:p>
      <w:pPr>
        <w:ind w:left="660" w:hanging="324"/>
        <w:spacing w:after="0" w:line="250" w:lineRule="auto"/>
        <w:rPr>
          <w:sz w:val="20"/>
          <w:szCs w:val="20"/>
          <w:color w:val="auto"/>
        </w:rPr>
      </w:pPr>
      <w:r>
        <w:rPr>
          <w:rFonts w:ascii="Times New Roman" w:cs="Times New Roman" w:eastAsia="Times New Roman" w:hAnsi="Times New Roman"/>
          <w:sz w:val="18"/>
          <w:szCs w:val="18"/>
          <w:color w:val="auto"/>
        </w:rPr>
        <w:t>– "Organic ASV" at any point in time equals our ASV excluding ASV from acquisitions and dispositions completed within the last 12 months and the effects of foreign currency movements.</w:t>
      </w:r>
    </w:p>
    <w:p>
      <w:pPr>
        <w:ind w:left="340"/>
        <w:spacing w:after="0"/>
        <w:rPr>
          <w:sz w:val="20"/>
          <w:szCs w:val="20"/>
          <w:color w:val="auto"/>
        </w:rPr>
      </w:pPr>
      <w:r>
        <w:rPr>
          <w:rFonts w:ascii="Times New Roman" w:cs="Times New Roman" w:eastAsia="Times New Roman" w:hAnsi="Times New Roman"/>
          <w:sz w:val="18"/>
          <w:szCs w:val="18"/>
          <w:color w:val="auto"/>
        </w:rPr>
        <w:t>–   "Professional Services" are revenues derived from project-based consulting and implementation, annualized over the past 12 months.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"Organic ASV plus Professional Services" at any point in time equals the sum of Organic ASV and Professional Services.</w:t>
      </w:r>
    </w:p>
    <w:p>
      <w:pPr>
        <w:spacing w:after="0" w:line="166" w:lineRule="exact"/>
        <w:rPr>
          <w:sz w:val="20"/>
          <w:szCs w:val="20"/>
          <w:color w:val="auto"/>
        </w:rPr>
      </w:pPr>
    </w:p>
    <w:p>
      <w:pPr>
        <w:ind w:right="1240"/>
        <w:spacing w:after="0" w:line="485" w:lineRule="auto"/>
        <w:rPr>
          <w:sz w:val="20"/>
          <w:szCs w:val="20"/>
          <w:color w:val="auto"/>
        </w:rPr>
      </w:pPr>
      <w:r>
        <w:rPr>
          <w:rFonts w:ascii="Times New Roman" w:cs="Times New Roman" w:eastAsia="Times New Roman" w:hAnsi="Times New Roman"/>
          <w:sz w:val="18"/>
          <w:szCs w:val="18"/>
          <w:color w:val="auto"/>
        </w:rPr>
        <w:t xml:space="preserve">Prior year ASV has been revised to include certain CGS revenues not previously reflected as ASV to better align with our legacy business. </w:t>
      </w:r>
      <w:r>
        <w:rPr>
          <w:rFonts w:ascii="Times New Roman" w:cs="Times New Roman" w:eastAsia="Times New Roman" w:hAnsi="Times New Roman"/>
          <w:sz w:val="18"/>
          <w:szCs w:val="18"/>
          <w:b w:val="1"/>
          <w:bCs w:val="1"/>
          <w:color w:val="auto"/>
        </w:rPr>
        <w:t>Organic ASV plus Professional Services</w:t>
      </w:r>
    </w:p>
    <w:p>
      <w:pPr>
        <w:spacing w:after="0" w:line="2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8"/>
          <w:szCs w:val="18"/>
          <w:color w:val="auto"/>
        </w:rPr>
        <w:t>The following table presents the calculation of Organic ASV plus Professional Services as of November 30, 2023. With proper notice provided as contractually required, our clients can add to, delete portions of, or terminate service, subject to certain limitations.</w:t>
      </w:r>
    </w:p>
    <w:tbl>
      <w:tblPr>
        <w:tblLayout w:type="fixed"/>
        <w:tblInd w:w="0" w:type="dxa"/>
        <w:tblCellMar>
          <w:top w:w="0" w:type="dxa"/>
          <w:left w:w="0" w:type="dxa"/>
          <w:bottom w:w="0" w:type="dxa"/>
          <w:right w:w="0" w:type="dxa"/>
        </w:tblCellMar>
      </w:tblPr>
      <w:tr>
        <w:trPr>
          <w:trHeight w:val="236"/>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millions)</w:t>
            </w:r>
          </w:p>
        </w:tc>
        <w:tc>
          <w:tcPr>
            <w:tcW w:w="2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As of November 30, 2023</w:t>
            </w:r>
          </w:p>
        </w:tc>
      </w:tr>
      <w:tr>
        <w:trPr>
          <w:trHeight w:val="223"/>
        </w:trPr>
        <w:tc>
          <w:tcPr>
            <w:tcW w:w="65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As reported ASV plus Professional Services</w:t>
            </w:r>
            <w:r>
              <w:rPr>
                <w:rFonts w:ascii="Times New Roman" w:cs="Times New Roman" w:eastAsia="Times New Roman" w:hAnsi="Times New Roman"/>
                <w:sz w:val="23"/>
                <w:szCs w:val="23"/>
                <w:color w:val="auto"/>
                <w:vertAlign w:val="superscript"/>
              </w:rPr>
              <w:t>(1)</w:t>
            </w:r>
          </w:p>
        </w:tc>
        <w:tc>
          <w:tcPr>
            <w:tcW w:w="2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2,184.6</w:t>
            </w:r>
          </w:p>
        </w:tc>
      </w:tr>
      <w:tr>
        <w:trPr>
          <w:trHeight w:val="230"/>
        </w:trPr>
        <w:tc>
          <w:tcPr>
            <w:tcW w:w="65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Currency impact</w:t>
            </w:r>
            <w:r>
              <w:rPr>
                <w:rFonts w:ascii="Times New Roman" w:cs="Times New Roman" w:eastAsia="Times New Roman" w:hAnsi="Times New Roman"/>
                <w:sz w:val="23"/>
                <w:szCs w:val="23"/>
                <w:color w:val="auto"/>
                <w:vertAlign w:val="superscript"/>
              </w:rPr>
              <w:t>(2)</w:t>
            </w:r>
          </w:p>
        </w:tc>
        <w:tc>
          <w:tcPr>
            <w:tcW w:w="2420" w:type="dxa"/>
            <w:vAlign w:val="bottom"/>
          </w:tcPr>
          <w:p>
            <w:pPr>
              <w:spacing w:after="0"/>
              <w:rPr>
                <w:sz w:val="19"/>
                <w:szCs w:val="19"/>
                <w:color w:val="auto"/>
              </w:rPr>
            </w:pPr>
          </w:p>
        </w:tc>
        <w:tc>
          <w:tcPr>
            <w:tcW w:w="22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ASV plus Professional Services</w:t>
            </w:r>
          </w:p>
        </w:tc>
        <w:tc>
          <w:tcPr>
            <w:tcW w:w="2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2,185.0</w:t>
            </w: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Organic ASV plus Professional Services annual growth rate</w:t>
            </w:r>
          </w:p>
        </w:tc>
        <w:tc>
          <w:tcPr>
            <w:tcW w:w="2420" w:type="dxa"/>
            <w:vAlign w:val="bottom"/>
          </w:tcPr>
          <w:p>
            <w:pPr>
              <w:spacing w:after="0"/>
              <w:rPr>
                <w:sz w:val="20"/>
                <w:szCs w:val="20"/>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7.1 %</w:t>
            </w:r>
          </w:p>
        </w:tc>
      </w:tr>
    </w:tbl>
    <w:p>
      <w:pPr>
        <w:spacing w:after="0" w:line="168" w:lineRule="exact"/>
        <w:rPr>
          <w:sz w:val="20"/>
          <w:szCs w:val="20"/>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$22.2 million in Professional Services as of November 30, 2023.</w:t>
      </w:r>
    </w:p>
    <w:p>
      <w:pPr>
        <w:spacing w:after="0" w:line="126"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from foreign currency movements.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2023, Organic ASV plus Professional Services was $2,185.0 million, an increase of 7.1% compared with November 30, 2022. This increase in Organic ASV was primarily driven by higher sales to existing clients and, to a lesser extent, price increases to existing clients and sales to new clients, partially offset by existing client cancellations.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Organic ASV increased in all our segments, with the majority of the increase related to the Americas, and, to a lesser extent, EMEA and Asia Pacific. This increase was primarily driven by higher demand for our workstations and, to a lesser extent, our middle office solutions and data feeds.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ASV</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2023, ASV from the Americas represented 64% of total ASV and was $1,395.0 million, an increase from $1,293.1 million as of November 30, 2022. Americas Organic ASV was $1,395.1 million as of November 30, 2023, a 7.9% increase from the prior year period. The Organic ASV increase in the Americas was primarily driven by higher demand for our workstations and, to a lesser extent, our middle office solutions, data feeds and CGS subscriptions.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2023, ASV from EMEA represented 26% of total ASV and was $552.4 million, an increase from $522.0 million as of November 30, 2022. EMEA Organic ASV was $552.2 million as of November 30, 2023, a 5.4% increase from the prior year period. The EMEA Organic ASV increase was primarily driven by an increase in our data feeds, middle office solutions and, to a lesser extent, higher demand for our workstations.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November 30, 2023, ASV from Asia Pacific represented 10% of total ASV and was $215.0 million, an increase from $201.0 million as of November 30, 2022. Asia Pacific Organic ASV was $215.5 million as of November 30, 2023, an 8.0% increase from the prior year period. The Asia Pacific Organic ASV increase was primarily driven by higher demand for our workstations, data feeds and middle office solutions.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Buy-side and Sell-side Organic ASV Growth</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buy-side and sell-side Organic ASV annual growth rates as of November 30, 2023 were 7.2% and 7.6%, respectively. Buy-side clients account for approximately 82% of our Organic ASV, compared to 83% in the prior year, and primarily include institutional asset managers, wealth managers, asset owners, partners, hedge funds and corporate firms. The remainder of our Organic ASV is derived from sell-side firms and primarily include broker-dealers, banking and advisory, and private equity and venture capital firms.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Client and User Additions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our total clients and users:</w:t>
            </w:r>
          </w:p>
        </w:tc>
        <w:tc>
          <w:tcPr>
            <w:tcW w:w="30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57"/>
        </w:trPr>
        <w:tc>
          <w:tcPr>
            <w:tcW w:w="46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As of November 30, 2023</w:t>
            </w:r>
          </w:p>
        </w:tc>
        <w:tc>
          <w:tcPr>
            <w:tcW w:w="24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As of November 30, 2022</w:t>
            </w:r>
          </w:p>
        </w:tc>
        <w:tc>
          <w:tcPr>
            <w:tcW w:w="11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Change</w:t>
            </w:r>
          </w:p>
        </w:tc>
      </w:tr>
      <w:tr>
        <w:trPr>
          <w:trHeight w:val="223"/>
        </w:trPr>
        <w:tc>
          <w:tcPr>
            <w:tcW w:w="46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Clients</w:t>
            </w:r>
            <w:r>
              <w:rPr>
                <w:rFonts w:ascii="Times New Roman" w:cs="Times New Roman" w:eastAsia="Times New Roman" w:hAnsi="Times New Roman"/>
                <w:sz w:val="23"/>
                <w:szCs w:val="23"/>
                <w:color w:val="auto"/>
                <w:vertAlign w:val="superscript"/>
              </w:rPr>
              <w:t>(1)</w:t>
            </w:r>
          </w:p>
        </w:tc>
        <w:tc>
          <w:tcPr>
            <w:tcW w:w="30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7,945</w:t>
            </w:r>
          </w:p>
        </w:tc>
        <w:tc>
          <w:tcPr>
            <w:tcW w:w="24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7,631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Users</w:t>
            </w:r>
          </w:p>
        </w:tc>
        <w:tc>
          <w:tcPr>
            <w:tcW w:w="3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207,083</w:t>
            </w:r>
          </w:p>
        </w:tc>
        <w:tc>
          <w:tcPr>
            <w:tcW w:w="24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180,959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The client count includes clients with ASV of $10,000 and above.</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client count was 7,945 as of November 30, 2023, a net increase of 4.1% or 314 clients in the last 12 months, mainly due to an increase in corporate clients and, to a lesser extent, wealth management clients and partners.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2023, there were 207,083 professionals using FactSet, representing a net increase of 14.4% or 26,124 users in the last 12 months, primarily driven by an increase in wealth users, and, to a lesser extent, sell-side users from our banking clients.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Annual ASV retention was greater than 95% of ASV for the three months ended November 30, 2023 and November 30, 2022. When expressed as a percentage of clients, annual retention was approximately 90% for the three months ended November 30, 2023, compared with approximately 92% for the three months ended November 30, 2022.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Employee Headcount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2023, our employee headcount was 12,515, an increase of 7.6% compared with 11,627 employees as of November 30, 2022. This growth in headcount was primarily due to our continued investment in our centers of excellence ("COEs"), particularly through expanding our talent pool in our India and Philippines locations. Our COEs account for approximately 68% of our employees.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headcount growth by segment as of November 30, 2023 compared to November 30, 2022 was 11.7% in Asia Pacific and 0.2% in the Americas, partially offset by a decrease of 1.0% in EMEA. As of November 30, 2023, we had 8,595 employees located in Asia Pacific, 2,500 in the Americas and 1,420 in EMEA.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an understanding of the significant factors that influenced our performance for the three months ended November 30, 2023 and November 30, 2022, the following discussion should be read in conjunction with the Consolidated Financial Statements and related Notes presented in Part I, Item 1.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5"/>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the results of operations for the periods described:</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Pr>
          <w:p>
            <w:pPr>
              <w:spacing w:after="0"/>
              <w:rPr>
                <w:sz w:val="23"/>
                <w:szCs w:val="23"/>
                <w:color w:val="auto"/>
              </w:rPr>
            </w:pPr>
          </w:p>
        </w:tc>
        <w:tc>
          <w:tcPr>
            <w:tcW w:w="6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November 30,</w:t>
            </w: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8"/>
        </w:trPr>
        <w:tc>
          <w:tcPr>
            <w:tcW w:w="7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and per share data)</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251,621</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227,042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0" w:type="dxa"/>
            <w:vAlign w:val="bottom"/>
          </w:tcPr>
          <w:p>
            <w:pPr>
              <w:spacing w:after="0"/>
              <w:rPr>
                <w:sz w:val="1"/>
                <w:szCs w:val="1"/>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100,711</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9"/>
        </w:trPr>
        <w:tc>
          <w:tcPr>
            <w:tcW w:w="7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199.3 %</w:t>
            </w: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171,895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70"/>
        </w:trPr>
        <w:tc>
          <w:tcPr>
            <w:tcW w:w="784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4"/>
        </w:trPr>
        <w:tc>
          <w:tcPr>
            <w:tcW w:w="7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4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38,643</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38,914</w:t>
            </w:r>
          </w:p>
        </w:tc>
        <w:tc>
          <w:tcPr>
            <w:tcW w:w="11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EPS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for the three months ended November 30, 2023 were $542.2 million, an increase of 7.4%. The increase in revenues was primarily driven by increased sales to existing clients and, to a lesser extent, price increases to existing clients and sales to new clients, partially offset by existing client cancellations. Revenues increased in all our segments, primarily from the Americas and, to a lesser extent, EMEA and Asia Pacific. The increased revenues was driven by higher demand for our workstations, middle office solutions, data feeds and our CGS subscriptions. Organic revenues increased to $541.4 million for the three months ended November 30, 2023, a 7.2% increase over the prior year period.</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growth in revenues of 7.4% was reflective of a 7.2% increase in organic revenues and a 0.2% increase due to the effects of foreign currency exchange rate fluctuations.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 by Segment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91"/>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revenues by segment:</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45"/>
        </w:trPr>
        <w:tc>
          <w:tcPr>
            <w:tcW w:w="6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74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4"/>
                <w:szCs w:val="24"/>
                <w:color w:val="auto"/>
              </w:rPr>
            </w:pPr>
          </w:p>
        </w:tc>
      </w:tr>
      <w:tr>
        <w:trPr>
          <w:trHeight w:val="270"/>
        </w:trPr>
        <w:tc>
          <w:tcPr>
            <w:tcW w:w="6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10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6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348,367</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323,367</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0"/>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64.3 %</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64.1 %</w:t>
            </w:r>
          </w:p>
        </w:tc>
        <w:tc>
          <w:tcPr>
            <w:tcW w:w="1180" w:type="dxa"/>
            <w:vAlign w:val="bottom"/>
          </w:tcPr>
          <w:p>
            <w:pPr>
              <w:spacing w:after="0"/>
              <w:rPr>
                <w:sz w:val="19"/>
                <w:szCs w:val="19"/>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139,561</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130,738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r>
      <w:tr>
        <w:trPr>
          <w:trHeight w:val="230"/>
        </w:trPr>
        <w:tc>
          <w:tcPr>
            <w:tcW w:w="6960" w:type="dxa"/>
            <w:vAlign w:val="bottom"/>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25.7 %</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25.9 %</w:t>
            </w:r>
          </w:p>
        </w:tc>
        <w:tc>
          <w:tcPr>
            <w:tcW w:w="1180" w:type="dxa"/>
            <w:vAlign w:val="bottom"/>
          </w:tcPr>
          <w:p>
            <w:pPr>
              <w:spacing w:after="0"/>
              <w:rPr>
                <w:sz w:val="19"/>
                <w:szCs w:val="19"/>
                <w:color w:val="auto"/>
              </w:rPr>
            </w:pPr>
          </w:p>
        </w:tc>
      </w:tr>
      <w:tr>
        <w:trPr>
          <w:trHeight w:val="230"/>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54,288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50,710</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0"/>
        </w:trPr>
        <w:tc>
          <w:tcPr>
            <w:tcW w:w="69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i w:val="1"/>
                <w:iCs w:val="1"/>
                <w:color w:val="auto"/>
              </w:rPr>
              <w:t>% of revenues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10.0 %</w:t>
            </w:r>
          </w:p>
        </w:tc>
        <w:tc>
          <w:tcPr>
            <w:tcW w:w="1180" w:type="dxa"/>
            <w:vAlign w:val="bottom"/>
            <w:tcBorders>
              <w:bottom w:val="single" w:sz="8" w:color="CCEEFF"/>
            </w:tcBorders>
          </w:tcPr>
          <w:p>
            <w:pPr>
              <w:spacing w:after="0"/>
              <w:rPr>
                <w:sz w:val="19"/>
                <w:szCs w:val="19"/>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542,216</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504,815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bl>
    <w:p>
      <w:pPr>
        <w:spacing w:after="0" w:line="250" w:lineRule="exact"/>
        <w:rPr>
          <w:sz w:val="20"/>
          <w:szCs w:val="20"/>
          <w:color w:val="auto"/>
        </w:rPr>
      </w:pPr>
    </w:p>
    <w:p>
      <w:pPr>
        <w:ind w:right="4300"/>
        <w:spacing w:after="0" w:line="455" w:lineRule="auto"/>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 Americas</w:t>
      </w: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revenues increased 7.7% to $348.3 million during the three months ended November 30, 2023, compared with $323.4 million from the same period a year ago. The increased revenues were primarily driven by higher demand for our workstations and, to a lesser extent, our middle office solutions, data feeds and our CGS subscriptions. The growth in revenues of 7.7% was reflective of organic growth.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EMEA revenues increased 6.7% to $139.6 million during the three months ended November 30, 2023, compared with $130.7 million from the same period a year ago. The increased revenues were primarily driven by higher sales in our middle office solutions and data feeds. The growth in revenues of 6.7% was reflective of a 6.1% increase in organic revenues and a 0.6% increase due to the effects of foreign currency exchange rate fluctuations.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Asia Pacific revenues increased 7.1% to $54.3 million during the three months ended November 30, 2023, compared with $50.7 million from the same period a year ago. The increased revenues were primarily driven by higher demand for our workstations. The growth in revenues of 7.1% was reflective of a 7.5% increase in organic revenues, partially offset by a decrease of 0.4% due to the effects of foreign currency exchange rate fluctuations.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Principal Operating Expenses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services </w:t>
      </w:r>
      <w:r>
        <w:rPr>
          <w:rFonts w:ascii="Times New Roman" w:cs="Times New Roman" w:eastAsia="Times New Roman" w:hAnsi="Times New Roman"/>
          <w:sz w:val="18"/>
          <w:szCs w:val="18"/>
          <w:color w:val="auto"/>
        </w:rPr>
        <w:t>is mainly comprised of employee compensation costs and also includes expenses related to data costs, computer-related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identifiable intangible assets, royalty fees, client-related communication costs and computer depreciation.</w:t>
      </w:r>
    </w:p>
    <w:p>
      <w:pPr>
        <w:spacing w:after="0" w:line="12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("SG&amp;A") </w:t>
      </w:r>
      <w:r>
        <w:rPr>
          <w:rFonts w:ascii="Times New Roman" w:cs="Times New Roman" w:eastAsia="Times New Roman" w:hAnsi="Times New Roman"/>
          <w:sz w:val="18"/>
          <w:szCs w:val="18"/>
          <w:color w:val="auto"/>
        </w:rPr>
        <w:t>consists primarily of employee compensation costs and also includes expenses related to occupancy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professional fees, depreciation of furniture and fixtures, amortization of leasehold improvements, travel and entertainment expenses, marketing costs, other employee-related expenses, internal communication costs and bad debt expense.</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Employee compensation costs are a major component of both our Cost of services and SG&amp;A. These expenses primarily include costs related to salaries, incentive compensation and sales commissions, stock-based compensation, benefits, employment taxes, and any applicable restructuring costs.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assign employee compensation costs between Cost of services and SG&amp;A based on the roles and activities associated with each employee. We categorize employees within the content collection, consulting, product development, software and systems engineering groups as Cost of services personnel. Employees included in our sales department and those that serve in various other support departments, including marketing, finance, legal, human resources and administrative services, are classified as SG&amp;A.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Asset impairments </w:t>
      </w:r>
      <w:r>
        <w:rPr>
          <w:rFonts w:ascii="Times New Roman" w:cs="Times New Roman" w:eastAsia="Times New Roman" w:hAnsi="Times New Roman"/>
          <w:sz w:val="18"/>
          <w:szCs w:val="18"/>
          <w:color w:val="auto"/>
        </w:rPr>
        <w:t>consist primarily of expenses recognized when the carrying value of an asset exceeds its fair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our total operating expenses and operating margin:</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6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Three Months Ended</w:t>
            </w:r>
          </w:p>
        </w:tc>
        <w:tc>
          <w:tcPr>
            <w:tcW w:w="1160" w:type="dxa"/>
            <w:vAlign w:val="bottom"/>
          </w:tcPr>
          <w:p>
            <w:pPr>
              <w:spacing w:after="0"/>
              <w:rPr>
                <w:sz w:val="20"/>
                <w:szCs w:val="20"/>
                <w:color w:val="auto"/>
              </w:rPr>
            </w:pPr>
          </w:p>
        </w:tc>
      </w:tr>
      <w:tr>
        <w:trPr>
          <w:trHeight w:val="270"/>
        </w:trPr>
        <w:tc>
          <w:tcPr>
            <w:tcW w:w="7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c>
          <w:tcPr>
            <w:tcW w:w="5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2022</w:t>
            </w:r>
          </w:p>
        </w:tc>
        <w:tc>
          <w:tcPr>
            <w:tcW w:w="11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251,621</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227,042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w:t>
            </w:r>
          </w:p>
        </w:tc>
        <w:tc>
          <w:tcPr>
            <w:tcW w:w="340" w:type="dxa"/>
            <w:vAlign w:val="bottom"/>
          </w:tcPr>
          <w:p>
            <w:pPr>
              <w:spacing w:after="0"/>
              <w:rPr>
                <w:sz w:val="19"/>
                <w:szCs w:val="19"/>
                <w:color w:val="auto"/>
              </w:rPr>
            </w:pP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100,711</w:t>
            </w:r>
          </w:p>
        </w:tc>
        <w:tc>
          <w:tcPr>
            <w:tcW w:w="520" w:type="dxa"/>
            <w:vAlign w:val="bottom"/>
          </w:tcPr>
          <w:p>
            <w:pPr>
              <w:spacing w:after="0"/>
              <w:rPr>
                <w:sz w:val="19"/>
                <w:szCs w:val="19"/>
                <w:color w:val="auto"/>
              </w:rPr>
            </w:pP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105,596</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844</w:t>
            </w: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282</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199.3 %</w:t>
            </w: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353,176</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332,920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70"/>
        </w:trPr>
        <w:tc>
          <w:tcPr>
            <w:tcW w:w="7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189,040</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171,895</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9"/>
        </w:trPr>
        <w:tc>
          <w:tcPr>
            <w:tcW w:w="7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34.9 %</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34.1 %</w:t>
            </w:r>
          </w:p>
        </w:tc>
        <w:tc>
          <w:tcPr>
            <w:tcW w:w="1160" w:type="dxa"/>
            <w:vAlign w:val="bottom"/>
            <w:shd w:val="clear" w:color="auto" w:fill="CCEEFF"/>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services increased 10.8% to $251.6 million for the three months ended November 30, 2023, compared with $227.0 million for the same period a year ago, primarily due to an increase in employee compensation costs and computer-related expenses.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services, when expressed as a percentage of revenues, was 46.4% for the three months ended November 30, 2023, an increase of 140 basis points over the prior year. This increase was primarily due to higher computer-related expenses, employee compensation costs and royalty fees. When expressed as a percentage of revenues:</w:t>
      </w:r>
    </w:p>
    <w:p>
      <w:pPr>
        <w:spacing w:after="0" w:line="149" w:lineRule="exact"/>
        <w:rPr>
          <w:sz w:val="20"/>
          <w:szCs w:val="20"/>
          <w:color w:val="auto"/>
        </w:rPr>
      </w:pPr>
    </w:p>
    <w:p>
      <w:pPr>
        <w:ind w:left="660" w:hanging="328"/>
        <w:spacing w:after="0" w:line="28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Computer-related expenses increased 80 basis points primarily due to higher spending related to cloud-based hosting services and licensed software arrangements.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increased by 50 basis points primarily due to higher annual base salaries, net of capitalization of compensation costs related to the development of our internal-use software, and variable compensation. The increase in annual base salaries was primarily driven by annual merit increases and a net headcount increase in Cost of services of 869 employees, primarily located in our COEs.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fees increased by 30 basis points primarily driven by an increase in both CGS sales and the applicable royalty rate.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SG&amp;A expenses decreased 4.6% to $100.7 million for the three months ended November 30, 2023, compared with $105.6 million from the same period a year ago, primarily driven by the net settlement of our derivative instruments and a decrease in professional fees.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SG&amp;A expenses, when expressed as a percentage of revenues, were 18.6% for the three months ended November 30, 2023, a decrease of 230 basis points over the prior year period. This decrease was primarily driven by the net settlement of our derivative instruments, lower employee compensation costs and professional fees. When expressed as a percentage of revenues:</w:t>
      </w:r>
    </w:p>
    <w:p>
      <w:pPr>
        <w:spacing w:after="0" w:line="135" w:lineRule="exact"/>
        <w:rPr>
          <w:sz w:val="20"/>
          <w:szCs w:val="20"/>
          <w:color w:val="auto"/>
        </w:rPr>
      </w:pPr>
    </w:p>
    <w:p>
      <w:pPr>
        <w:ind w:left="660" w:right="20" w:hanging="328"/>
        <w:spacing w:after="0" w:line="26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settlement of derivative instruments for the three months ended November 30, 2023 compared with the three months ended November 30, 2022 resulted in a decrease in SG&amp;A of 110 basis points.</w:t>
      </w:r>
    </w:p>
    <w:p>
      <w:pPr>
        <w:jc w:val="both"/>
        <w:ind w:left="660" w:hanging="328"/>
        <w:spacing w:after="0" w:line="25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compensation costs decreased by 70 basis points primarily due to growth of our revenues outpacing the increase in employee compensation costs. This decrease was also driven by the release of certain restructuring and related payroll tax accruals, partially offset by higher variable compensation and annual base salaries. The increase in annual base salaries was primarily driven by annual merit increases, partially offset by a shift of employees to lower cost locations.</w:t>
      </w:r>
    </w:p>
    <w:p>
      <w:pPr>
        <w:spacing w:after="0" w:line="1"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decreased by 40 basis points primarily due to transition costs related to the CGS acquisition incurred during the prior year period.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and Operating Margin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income increased 10.0% to $189.0 million for the three months ended November 30, 2023, compared with $171.9 million in the prior period. This increase was primarily driven by growth in revenues, partially offset by higher employee compensation costs and computer-related expenses. Foreign currency exchange rate fluctuations, net of hedge activity, increased operating income by $1.9 million for the three months ended November 30, 2023 compared with the three months ended November 30, 2022.</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margin increased to 34.9% during the three months ended November 30, 2023, compared with 34.1% in the prior year period. This increase was mainly due to growth in revenues and, when expressed as a percentage of revenues, a benefit from the net settlement of our derivative instruments and a decrease in professional fees, partially offset by higher computer-related expenses and royalty fees.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 by Segment</w:t>
      </w:r>
    </w:p>
    <w:p>
      <w:pPr>
        <w:spacing w:after="0" w:line="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We operate our business through three segments: the Americas; EMEA; and Asia Pacific. Refer to Note 15,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regarding our segments. The following table summarizes our operating income by segment: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color w:val="auto"/>
              </w:rPr>
              <w:t>Three Months Ended</w:t>
            </w:r>
          </w:p>
        </w:tc>
        <w:tc>
          <w:tcPr>
            <w:tcW w:w="1180" w:type="dxa"/>
            <w:vAlign w:val="bottom"/>
          </w:tcPr>
          <w:p>
            <w:pPr>
              <w:spacing w:after="0"/>
              <w:rPr>
                <w:sz w:val="20"/>
                <w:szCs w:val="20"/>
                <w:color w:val="auto"/>
              </w:rPr>
            </w:pPr>
          </w:p>
        </w:tc>
      </w:tr>
      <w:tr>
        <w:trPr>
          <w:trHeight w:val="270"/>
        </w:trPr>
        <w:tc>
          <w:tcPr>
            <w:tcW w:w="77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8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color w:val="auto"/>
              </w:rPr>
              <w:t>November 30,</w:t>
            </w:r>
          </w:p>
        </w:tc>
        <w:tc>
          <w:tcPr>
            <w:tcW w:w="1180" w:type="dxa"/>
            <w:vAlign w:val="bottom"/>
          </w:tcPr>
          <w:p>
            <w:pPr>
              <w:spacing w:after="0"/>
              <w:rPr>
                <w:sz w:val="23"/>
                <w:szCs w:val="23"/>
                <w:color w:val="auto"/>
              </w:rPr>
            </w:pPr>
          </w:p>
        </w:tc>
      </w:tr>
      <w:tr>
        <w:trPr>
          <w:trHeight w:val="270"/>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80,848</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67,531</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68,865</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67,322</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39,327</w:t>
            </w: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37,042</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2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189,040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171,895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45" w:lineRule="exact"/>
        <w:rPr>
          <w:sz w:val="20"/>
          <w:szCs w:val="20"/>
          <w:color w:val="auto"/>
        </w:rPr>
      </w:pPr>
    </w:p>
    <w:p>
      <w:pPr>
        <w:ind w:right="4300"/>
        <w:spacing w:after="0" w:line="462" w:lineRule="auto"/>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 Americas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Americas operating income increased 19.7% to $80.8 million during the three months ended November 30, 2023, compared with $67.5 million in the same period a year ago. This increase was primarily due to growth in revenues of 7.7%, partially offset by higher computer-related expenses and, to a lesser extent, an increase in royalty fees.</w:t>
      </w:r>
    </w:p>
    <w:p>
      <w:pPr>
        <w:spacing w:after="0" w:line="13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3"/>
          <w:szCs w:val="13"/>
          <w:b w:val="1"/>
          <w:bCs w:val="1"/>
          <w:i w:val="1"/>
          <w:iCs w:val="1"/>
          <w:color w:val="212529"/>
        </w:rPr>
      </w:pPr>
      <w:r>
        <w:rPr>
          <w:rFonts w:ascii="Times New Roman" w:cs="Times New Roman" w:eastAsia="Times New Roman" w:hAnsi="Times New Roman"/>
          <w:sz w:val="17"/>
          <w:szCs w:val="17"/>
          <w:color w:val="auto"/>
        </w:rPr>
        <w:t>Computer-related expenses increased primarily due to higher spending related to cloud-based hosting services and licensed software arrangements.</w:t>
      </w:r>
    </w:p>
    <w:p>
      <w:pPr>
        <w:spacing w:after="0" w:line="38" w:lineRule="exact"/>
        <w:rPr>
          <w:rFonts w:ascii="Times New Roman" w:cs="Times New Roman" w:eastAsia="Times New Roman" w:hAnsi="Times New Roman"/>
          <w:sz w:val="13"/>
          <w:szCs w:val="13"/>
          <w:b w:val="1"/>
          <w:bCs w:val="1"/>
          <w:i w:val="1"/>
          <w:iCs w:val="1"/>
          <w:color w:val="212529"/>
        </w:rPr>
      </w:pPr>
    </w:p>
    <w:p>
      <w:pPr>
        <w:ind w:left="660" w:hanging="328"/>
        <w:spacing w:after="0"/>
        <w:tabs>
          <w:tab w:leader="none" w:pos="660" w:val="left"/>
        </w:tabs>
        <w:numPr>
          <w:ilvl w:val="0"/>
          <w:numId w:val="20"/>
        </w:numPr>
        <w:rPr>
          <w:rFonts w:ascii="Times New Roman" w:cs="Times New Roman" w:eastAsia="Times New Roman" w:hAnsi="Times New Roman"/>
          <w:sz w:val="14"/>
          <w:szCs w:val="14"/>
          <w:b w:val="1"/>
          <w:bCs w:val="1"/>
          <w:i w:val="1"/>
          <w:iCs w:val="1"/>
          <w:color w:val="212529"/>
        </w:rPr>
      </w:pPr>
      <w:r>
        <w:rPr>
          <w:rFonts w:ascii="Times New Roman" w:cs="Times New Roman" w:eastAsia="Times New Roman" w:hAnsi="Times New Roman"/>
          <w:sz w:val="18"/>
          <w:szCs w:val="18"/>
          <w:color w:val="auto"/>
        </w:rPr>
        <w:t>Royalty fees increased primarily due to an increase in both CGS sales and the applicable royalty rate.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EMEA operating income increased 2.3% to $68.9 million during the three months ended November 30, 2023, compared with $67.3 million in the same period a year ago. This increase was primarily due to growth in revenues of 6.7%, partially offset by an increase in employee compensation costs and data costs. Employee compensation costs increased primarily due to higher annual base salaries from annual merit increases, partially offset by a net headcount decrease of 14 employees. Data costs increased compared to the three months ended November 30, 2022 as the prior year period included the release of certain accruals related to the successful resolution of exchange audits that reduced data costs.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 Pacific</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Asia Pacific operating income increased 6.2% to $39.3 million during the three months ended November 30, 2023, compared with $37.0 million from the prior year. This increase was mainly due to growth in revenues of 7.1%, partially offset by higher employee compensation costs. Employee compensation costs increased primarily due to higher annual base salaries, variable compensation and post-employment benefits. The increase in annual base salaries was mainly driven by annual merit increases and a net headcount increase of 897 employees.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8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66"/>
        </w:trPr>
        <w:tc>
          <w:tcPr>
            <w:tcW w:w="12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4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provision for income taxes and the effective tax rate are as follows:</w:t>
            </w: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128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1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860" w:type="dxa"/>
            <w:vAlign w:val="bottom"/>
          </w:tcPr>
          <w:p>
            <w:pPr>
              <w:spacing w:after="0"/>
              <w:rPr>
                <w:sz w:val="19"/>
                <w:szCs w:val="19"/>
                <w:color w:val="auto"/>
              </w:rPr>
            </w:pPr>
          </w:p>
        </w:tc>
        <w:tc>
          <w:tcPr>
            <w:tcW w:w="23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November 30,</w:t>
            </w:r>
          </w:p>
        </w:tc>
        <w:tc>
          <w:tcPr>
            <w:tcW w:w="1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600" w:type="dxa"/>
            <w:vAlign w:val="bottom"/>
            <w:tcBorders>
              <w:bottom w:val="single" w:sz="8" w:color="auto"/>
            </w:tcBorders>
            <w:gridSpan w:val="2"/>
            <w:vMerge w:val="continue"/>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2023</w:t>
            </w:r>
          </w:p>
        </w:tc>
        <w:tc>
          <w:tcPr>
            <w:tcW w:w="8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99"/>
              </w:rPr>
              <w:t>2022</w:t>
            </w:r>
          </w:p>
        </w:tc>
        <w:tc>
          <w:tcPr>
            <w:tcW w:w="11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175,196</w:t>
            </w:r>
          </w:p>
        </w:tc>
        <w:tc>
          <w:tcPr>
            <w:tcW w:w="8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157,885</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26,641</w:t>
            </w:r>
          </w:p>
        </w:tc>
        <w:tc>
          <w:tcPr>
            <w:tcW w:w="8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21,087</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0" w:type="dxa"/>
            <w:vAlign w:val="bottom"/>
          </w:tcPr>
          <w:p>
            <w:pPr>
              <w:spacing w:after="0"/>
              <w:rPr>
                <w:sz w:val="1"/>
                <w:szCs w:val="1"/>
                <w:color w:val="auto"/>
              </w:rPr>
            </w:pPr>
          </w:p>
        </w:tc>
      </w:tr>
      <w:tr>
        <w:trPr>
          <w:trHeight w:val="223"/>
        </w:trPr>
        <w:tc>
          <w:tcPr>
            <w:tcW w:w="56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Effective tax rate</w:t>
            </w:r>
          </w:p>
        </w:tc>
        <w:tc>
          <w:tcPr>
            <w:tcW w:w="8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8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13.4 %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subject to taxation in the United States and various foreign jurisdictions in which we conduct our business.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provision for income taxes for interim periods is calculated by applying an estimate of our annual effective tax rate to our quarter and year-to-date results, adjusted for discrete items recorded in the period. The computation of the annual estimated effective tax rate at each interim period requires certain estimates and assumptions including, but not limited to, the expected pretax income (or loss) for the year, projections of the proportion of income (or loss) earned and taxed in foreign jurisdictions, permanent and temporary differences and the likelihood of recovering deferred tax assets, then adjusted for any discrete items. On a quarterly basis, we update the estimate of our annual effective tax rate as new events occur, assumptions change, or additional information is obtained.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effective tax rate for the three months ended November 30, 2023 was lower than the applicable U.S. corporate income tax rate mainly due to a net tax benefit from the employee exercise of stock options, research and development ("R&amp;D") tax credits and utilization of foreign tax credits, partially offset by our net state taxes. For the three months ended November 30, 2022, our effective tax rate was lower than the applicable U.S. corporate income tax rate mainly due to R&amp;D tax credits, a foreign derived intangible income ("FDII") deduction and a net tax benefit from the employee exercise of stock options.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effective tax rate for the three months ended November 30, 2023 was higher than for the three months ended November 30, 2022 due mainly to a reduction in the benefit from employee exercise of stock options, as well as a higher overall foreign tax rate, partially offset by increased utilization of foreign tax credits.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and Diluted EPS</w:t>
            </w:r>
          </w:p>
        </w:tc>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share and per share data)</w:t>
            </w:r>
          </w:p>
        </w:tc>
        <w:tc>
          <w:tcPr>
            <w:tcW w:w="1920" w:type="dxa"/>
            <w:vAlign w:val="bottom"/>
          </w:tcPr>
          <w:p>
            <w:pPr>
              <w:spacing w:after="0"/>
              <w:rPr>
                <w:sz w:val="19"/>
                <w:szCs w:val="19"/>
                <w:color w:val="auto"/>
              </w:rPr>
            </w:pPr>
          </w:p>
        </w:tc>
        <w:tc>
          <w:tcPr>
            <w:tcW w:w="18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November 30,</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136,798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weighted average common shares</w:t>
            </w:r>
          </w:p>
        </w:tc>
        <w:tc>
          <w:tcPr>
            <w:tcW w:w="19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24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38,914</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November 30, 2023 compared with three months ended November 30, 2022</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increased 8.6% to $148.6 million and Diluted EPS increased 9.1% to $3.84 for the three months ended November 30, 2023 compared with the same period a year ago. The increase in Net income and Diluted EPS, when compared to the prior year period, was primarily due to higher operating income, partially offset by an increase in the provision for income taxes.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the financial measures prepared in accordance with generally accepted accounting principles in the United States ("GAAP"), we use non-GAAP financial measures including organic revenues, adjusted operating income, adjusted operating margin, adjusted net income, EBITDA and adjusted Diluted EPS. The reconciliations from our financial measures calculated and presented in accordance with GAAP to these non-GAAP financial measures are shown in the tables below. These non-GAAP financial measures should not be considered in isolation from, as a substitute for, or superior to, financial measures reported in accordance with GAAP. Moreover, these non-GAAP financial measures have limitations in that they do not reflect all the items associated with the operations of our business as determined in accordance with GAAP. Other</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may calculate similarly titled non-GAAP financial measures differently than we do, limiting the usefulness of those measures for comparative purposes.</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Despite the limitations of these non-GAAP financial measures, we believe these adjusted financial measures and the information they provide are useful in viewing our performance using the same tools that management uses to gauge progress in achieving our goals. Adjusted measures may also facilitate comparisons to our historical performance.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Organic revenues excludes the current year impact of revenues from acquisitions and dispositions completed within the past 12 months ("Acquisition revenues" and "Disposition revenues", respectively) and the current year impact from changes in foreign currency. For year to date comparisons, organic revenues excludes current year revenues that were incurred prior to the first anniversary date of an acquisition. The table below provides an unaudited reconciliation of revenues to organic revenues: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2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w:t>
            </w:r>
          </w:p>
        </w:tc>
        <w:tc>
          <w:tcPr>
            <w:tcW w:w="1260" w:type="dxa"/>
            <w:vAlign w:val="bottom"/>
          </w:tcPr>
          <w:p>
            <w:pPr>
              <w:spacing w:after="0"/>
              <w:rPr>
                <w:sz w:val="20"/>
                <w:szCs w:val="20"/>
                <w:color w:val="auto"/>
              </w:rPr>
            </w:pPr>
          </w:p>
        </w:tc>
      </w:tr>
      <w:tr>
        <w:trPr>
          <w:trHeight w:val="270"/>
        </w:trPr>
        <w:tc>
          <w:tcPr>
            <w:tcW w:w="38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November 30,</w:t>
            </w:r>
          </w:p>
        </w:tc>
        <w:tc>
          <w:tcPr>
            <w:tcW w:w="1260" w:type="dxa"/>
            <w:vAlign w:val="bottom"/>
          </w:tcPr>
          <w:p>
            <w:pPr>
              <w:spacing w:after="0"/>
              <w:rPr>
                <w:sz w:val="23"/>
                <w:szCs w:val="23"/>
                <w:color w:val="auto"/>
              </w:rPr>
            </w:pPr>
          </w:p>
        </w:tc>
      </w:tr>
      <w:tr>
        <w:trPr>
          <w:trHeight w:val="270"/>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6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2023</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r>
      <w:tr>
        <w:trPr>
          <w:trHeight w:val="22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9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542,216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504,815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9"/>
        </w:trPr>
        <w:tc>
          <w:tcPr>
            <w:tcW w:w="3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revenues</w:t>
            </w:r>
          </w:p>
        </w:tc>
        <w:tc>
          <w:tcPr>
            <w:tcW w:w="3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r>
      <w:tr>
        <w:trPr>
          <w:trHeight w:val="230"/>
        </w:trPr>
        <w:tc>
          <w:tcPr>
            <w:tcW w:w="3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Currency impact</w:t>
            </w:r>
          </w:p>
        </w:tc>
        <w:tc>
          <w:tcPr>
            <w:tcW w:w="36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9"/>
                <w:szCs w:val="19"/>
                <w:color w:val="auto"/>
              </w:rPr>
            </w:pPr>
          </w:p>
        </w:tc>
      </w:tr>
      <w:tr>
        <w:trPr>
          <w:trHeight w:val="22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Organic revenues</w:t>
            </w:r>
          </w:p>
        </w:tc>
        <w:tc>
          <w:tcPr>
            <w:tcW w:w="36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541,393</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504,815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859"/>
        </w:trPr>
        <w:tc>
          <w:tcPr>
            <w:tcW w:w="3860" w:type="dxa"/>
            <w:vAlign w:val="bottom"/>
          </w:tcPr>
          <w:p>
            <w:pPr>
              <w:spacing w:after="0"/>
              <w:rPr>
                <w:sz w:val="24"/>
                <w:szCs w:val="24"/>
                <w:color w:val="auto"/>
              </w:rPr>
            </w:pPr>
          </w:p>
        </w:tc>
        <w:tc>
          <w:tcPr>
            <w:tcW w:w="3620" w:type="dxa"/>
            <w:vAlign w:val="bottom"/>
          </w:tcPr>
          <w:p>
            <w:pPr>
              <w:jc w:val="right"/>
              <w:ind w:right="167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provides an unaudited reconciliation of operating income, operating margin, net income and Diluted EPS to adjusted operating income, adjusted operating margin, adjusted net income, EBITDA and adjusted Diluted EPS. Adjusted operating income and margin, adjusted net income, and adjusted Diluted EPS exclude the impact of acquisition-related intangible asset amortization and non-recurring items. EBITDA excludes interest expense, provision for income taxes and depreciation and amortization.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00" w:type="dxa"/>
            <w:vAlign w:val="bottom"/>
            <w:gridSpan w:val="3"/>
          </w:tcPr>
          <w:p>
            <w:pPr>
              <w:jc w:val="right"/>
              <w:ind w:right="330"/>
              <w:spacing w:after="0"/>
              <w:rPr>
                <w:sz w:val="20"/>
                <w:szCs w:val="20"/>
                <w:color w:val="auto"/>
              </w:rPr>
            </w:pPr>
            <w:r>
              <w:rPr>
                <w:rFonts w:ascii="Times New Roman" w:cs="Times New Roman" w:eastAsia="Times New Roman" w:hAnsi="Times New Roman"/>
                <w:sz w:val="18"/>
                <w:szCs w:val="18"/>
                <w:color w:val="auto"/>
              </w:rPr>
              <w:t>Three Months Ended</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 except per share data)</w:t>
            </w:r>
          </w:p>
        </w:tc>
        <w:tc>
          <w:tcPr>
            <w:tcW w:w="260" w:type="dxa"/>
            <w:vAlign w:val="bottom"/>
          </w:tcPr>
          <w:p>
            <w:pPr>
              <w:spacing w:after="0"/>
              <w:rPr>
                <w:sz w:val="19"/>
                <w:szCs w:val="19"/>
                <w:color w:val="auto"/>
              </w:rPr>
            </w:pPr>
          </w:p>
        </w:tc>
        <w:tc>
          <w:tcPr>
            <w:tcW w:w="210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color w:val="auto"/>
              </w:rPr>
              <w:t>November 30,</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56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189,040</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171,895</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17,344</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18,008</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(2,419)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3,499</w:t>
            </w: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203,965</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193,402</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9"/>
        </w:trPr>
        <w:tc>
          <w:tcPr>
            <w:tcW w:w="7560" w:type="dxa"/>
            <w:vAlign w:val="bottom"/>
          </w:tcPr>
          <w:p>
            <w:pPr>
              <w:ind w:left="240"/>
              <w:spacing w:after="0"/>
              <w:rPr>
                <w:sz w:val="20"/>
                <w:szCs w:val="20"/>
                <w:color w:val="auto"/>
              </w:rPr>
            </w:pPr>
            <w:r>
              <w:rPr>
                <w:rFonts w:ascii="Times New Roman" w:cs="Times New Roman" w:eastAsia="Times New Roman" w:hAnsi="Times New Roman"/>
                <w:sz w:val="18"/>
                <w:szCs w:val="18"/>
                <w:i w:val="1"/>
                <w:iCs w:val="1"/>
                <w:color w:val="auto"/>
              </w:rPr>
              <w:t>Operating margin</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19"/>
                <w:szCs w:val="19"/>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34.1%</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auto"/>
            </w:tcBorders>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i w:val="1"/>
                <w:iCs w:val="1"/>
                <w:color w:val="auto"/>
              </w:rPr>
              <w:t>Adjusted operating margin</w:t>
            </w:r>
            <w:r>
              <w:rPr>
                <w:rFonts w:ascii="Times New Roman" w:cs="Times New Roman" w:eastAsia="Times New Roman" w:hAnsi="Times New Roman"/>
                <w:sz w:val="23"/>
                <w:szCs w:val="23"/>
                <w:color w:val="auto"/>
                <w:vertAlign w:val="superscript"/>
              </w:rPr>
              <w:t>(2)</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w:t>
            </w: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15,577</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shd w:val="clear" w:color="auto" w:fill="CCEEFF"/>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159,127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155,171</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148,555</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136,798</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4B4B4B"/>
              </w:rPr>
              <w:t>8.6 %</w:t>
            </w: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16,738</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21,087</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27,068</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25,997</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200,419</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0" w:type="dxa"/>
            <w:vAlign w:val="bottom"/>
          </w:tcPr>
          <w:p>
            <w:pPr>
              <w:spacing w:after="0"/>
              <w:rPr>
                <w:sz w:val="1"/>
                <w:szCs w:val="1"/>
                <w:color w:val="auto"/>
              </w:rPr>
            </w:pPr>
          </w:p>
        </w:tc>
      </w:tr>
      <w:tr>
        <w:trPr>
          <w:trHeight w:val="223"/>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 severance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Business acquisition / integration costs</w:t>
            </w:r>
            <w:r>
              <w:rPr>
                <w:rFonts w:ascii="Times New Roman" w:cs="Times New Roman" w:eastAsia="Times New Roman" w:hAnsi="Times New Roman"/>
                <w:sz w:val="23"/>
                <w:szCs w:val="23"/>
                <w:color w:val="auto"/>
                <w:vertAlign w:val="superscript"/>
              </w:rPr>
              <w:t>(1)</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items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tcPr>
          <w:p>
            <w:pPr>
              <w:ind w:left="240"/>
              <w:spacing w:after="0" w:line="223" w:lineRule="exact"/>
              <w:rPr>
                <w:sz w:val="20"/>
                <w:szCs w:val="20"/>
                <w:color w:val="auto"/>
              </w:rPr>
            </w:pPr>
            <w:r>
              <w:rPr>
                <w:rFonts w:ascii="Times New Roman" w:cs="Times New Roman" w:eastAsia="Times New Roman" w:hAnsi="Times New Roman"/>
                <w:sz w:val="18"/>
                <w:szCs w:val="18"/>
                <w:color w:val="auto"/>
              </w:rPr>
              <w:t>Adjusted Diluted EPS</w:t>
            </w:r>
            <w:r>
              <w:rPr>
                <w:rFonts w:ascii="Times New Roman" w:cs="Times New Roman" w:eastAsia="Times New Roman" w:hAnsi="Times New Roman"/>
                <w:sz w:val="23"/>
                <w:szCs w:val="23"/>
                <w:color w:val="auto"/>
                <w:vertAlign w:val="superscript"/>
              </w:rPr>
              <w:t>(3)</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3"/>
        </w:trPr>
        <w:tc>
          <w:tcPr>
            <w:tcW w:w="7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(Diluted)</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38,643</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38,914</w:t>
            </w:r>
          </w:p>
        </w:tc>
        <w:tc>
          <w:tcPr>
            <w:tcW w:w="13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acquisition and integration costs of the CGS acquisition.</w:t>
      </w:r>
    </w:p>
    <w:p>
      <w:pPr>
        <w:spacing w:after="0" w:line="72" w:lineRule="exact"/>
        <w:rPr>
          <w:rFonts w:ascii="Times New Roman" w:cs="Times New Roman" w:eastAsia="Times New Roman" w:hAnsi="Times New Roman"/>
          <w:sz w:val="16"/>
          <w:szCs w:val="16"/>
          <w:color w:val="auto"/>
        </w:rPr>
      </w:pPr>
    </w:p>
    <w:p>
      <w:pPr>
        <w:ind w:left="260" w:hanging="252"/>
        <w:spacing w:after="0"/>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operating margin is calculated as Adjusted operating income divided by Revenues.</w:t>
      </w:r>
    </w:p>
    <w:p>
      <w:pPr>
        <w:spacing w:after="0" w:line="59" w:lineRule="exact"/>
        <w:rPr>
          <w:rFonts w:ascii="Times New Roman" w:cs="Times New Roman" w:eastAsia="Times New Roman" w:hAnsi="Times New Roman"/>
          <w:sz w:val="16"/>
          <w:szCs w:val="16"/>
          <w:color w:val="auto"/>
        </w:rPr>
      </w:pPr>
    </w:p>
    <w:p>
      <w:pPr>
        <w:ind w:left="260" w:right="20" w:hanging="252"/>
        <w:spacing w:after="0" w:line="280" w:lineRule="auto"/>
        <w:tabs>
          <w:tab w:leader="none" w:pos="2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purposes of calculating Adjusted net income and Adjusted Diluted EPS, the three months ended November 30, 2023 and November 30, 2022 were taxed at an adjusted tax rate of 28.7% and 13.5%,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Liquidity and Capital Resources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cash flows provided by operating activities, existing cash and cash equivalents, supplemented with our long-term debt borrowings, have been sufficient to fund our operations while allowing us to invest in activities that support the long-term growth of our operations. Generally, some or all of our remaining available cash flows have been used to, among other things, service our existing and future debt obligations, satisfy our working capital requirements and fund various activities, including our capital expenditures, acquisitions, investments, dividend payments and repurchases of our common stock. Based on past performance and current expectations, we believe our sources of liquidity, including the available capacity under our existing revolving credit facility and other financing alternatives, will provide us the necessary capital to fund these transactions and achieve our planned growth for the next 12 months and the foreseeable future. We are exposed to credit risk for cash and cash equivalents held in financial institutions in the event of a default, to the extent that such amounts are in excess of applicable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insurance limits; however, we do not believe our concentration of cash and cash equivalents presents a significant credit risk as the counterparties to the instruments consist of multiple high-quality, credit-worthy financial institutions.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Sources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Swap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Credit Agreement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 2022, we entered into a credit agreement (the "2022 Credit Agreement") and borrowed an aggregate principal amount of $1.0 billion under its senior unsecured term loan credit facility (the "2022 Term Facility") and $250.0 million of the available $500.0 million under its senior unsecured revolving credit facility (the "2022 Revolving Facility" and, together with the 2022 Term Facility, the "2022 Credit Facilities"). The 2022 Term Facility matures on March 1, 2025, and the 2022 Revolving Facility matures on March 1, 2027. The 2022 Revolving Facility allows for the availability of up to $100.0 million in the form of letters of credit and up to $50.0 million in the form of swingline loans. We may seek additional commitments under the 2022 Revolving Facility from lenders or other financial institutions up to an aggregate principal amount of $750.0 million.</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a commitment fee on the daily unused amount of the 2022 Revolving Facility using a pricing grid based on our senior unsecured non-credit enhanced long-term debt rating and our total leverage ratio. The commitment fee remained consistent at 0.125% from the borrowing date through November 30, 2023. During fiscal 2022, we incurred approximately $9.5 million in debt issuance costs related to the 2022 Credit Facilities.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used these borrowings, along with the net proceeds from the issuance of the Senior Notes (as defined below) and cash on hand, to finance the consideration for the CGS acquisition, to repay prior outstanding borrowings and to pay related transaction fees, costs and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voluntarily prepay loans under the 2022 Credit Facilities at any time without premium or penalty. During the three months ended November 30, 2023, we repaid $62.5 million under the 2022 Term Facility, inclusive of voluntary prepayments of $50.0 million. Since loan inception on March 1, 2022, we have repaid $687.5 million under the 2022 Term Facility, inclusive of voluntary prepayments of $612.5 million.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2023, the outstanding borrowings under the 2022 Credit Facilities bore interest at a rate equal to the applicable one-month Term Secured Overnight Financing Rate ("SOFR") rate plus a 1.1% spread (comprised of a 1.0% interest rate margin based on a debt leverage pricing grid plus a 0.1% credit spread adjustment). The spread remained consistent from the borrowing date through November 30, 2023. Interest on the 2022 Credit Facilities is currently payable on the last business day of each month, in arrears.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event of default provisions for facilities of this type, which are subject to usual and customary grace periods and materiality thresholds. If an event of default occurs under the 2022 Credit Agreement, the lenders may, among other things, terminate their commitments and declare all outstanding borrowings immediately due and payable.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2022 Credit Agreement contains usual and customary affirmative and negative covenants for facilities of this type, including a financial covenant requiring maintenance of a total leverage ratio of no greater than 3.75 to 1.00 as of November 30, 2023. We were in compliance with all covenants and requirements of the 2022 Credit Agreement as of November 30, 2023.</w:t>
      </w:r>
    </w:p>
    <w:p>
      <w:pPr>
        <w:spacing w:after="0" w:line="1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further discussion of the 2022 Credit Agreement.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Swap Agreement</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On March 1, 2022, we entered into an interest rate swap agreement (the "2022 Swap Agreement") to hedge a portion of our outstanding floating SOFR rate debt with a fixed interest rate of 1.162%. Effective December 30, 2022, we apportioned the then-outstanding notional amount of the 2022 Swap Agreement between two counterparties. 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more information on the 2022 Swap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Notes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 2022 we completed a public offering of $500.0 million aggregate principal amount of 2.900% Senior Notes due March 1, 2027 (the "2027 Notes") and $500.0 million aggregate principal amount of 3.450% Senior Notes due March 1, 2032</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"2032 Notes" and, together with the 2027 Notes, the "Senior Notes"). The Senior Notes were issued pursuant to an indenture, dated as of March 1, 2022, by and between us and U.S. Bank Trust Company, National Association, as trustee (the "Trustee"), as supplemented by the supplemental indenture, dated as of March 1, 2022, between us and the Trustee (the "Supplemental Indenture").</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on the Senior Notes is payable semiannually in arrears on March 1 and September 1 of each year. The Senior Notes were issued at an aggregate discount of $2.8 million during fiscal 2022 and we incurred approximately $9.1 million in debt issuance costs.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redeem the Senior Notes, in whole or in part, at any time at specified redemption prices, plus any accrued and unpaid interest. Upon the occurrence of a change of control triggering event (as defined in the Supplemental Indenture), we must offer to repurchase the Senior Notes at 101% of their principal amount, plus any accrued and unpaid interest.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Uses of Liquidity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Returning Value to Stockholders</w:t>
      </w:r>
    </w:p>
    <w:p>
      <w:pPr>
        <w:spacing w:after="0" w:line="20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returned $97.0 million to our stockholders in the form of share repurchases and dividends during the three months ended November 30, 2023 and $33.7 million in the form of dividends during the three months ended November 30, 2022. Over the last 12 months, we returned $378.6 million to our stockholders in the form of share repurchases and dividends.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November 30, 2023 and November 30, 2022, we paid dividends of $37.1 million and $33.7 million, respectively. Fiscal 2023 marked the 24th consecutive fiscal year we have increased dividends, highlighting our continued commitment to returning value to our stockholders. Future dividends will depend on our earnings, capital requirements, financial condition and other factors we consider to be relevant and are subject to final determination by our Board of Directors.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repurchase shares of our common stock under our share repurchase program from time-to-time in the open market or via privately negotiated transactions, subject to market conditions. For the three months ended November 30, 2023, we repurchased 135,950 shares for $59.9 million. We suspended our share repurchase program beginning in the second quarter of fiscal 2022 through the second quarter of fiscal 2023, to prioritize the repayment of debt under the 2022 Credit Facilities. As such, we did not repurchase any shares of our common stock under the share repurchase program during the three months ended November 30, 2022.</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There is no defined number of shares to be repurchased over a specified timeframe through the life of our share repurchase program. As of November 30, 2023, $240.1 million remained authorized under our share repurchase program for future share repurchases. Refer to Part II, Item 2. </w:t>
      </w:r>
      <w:r>
        <w:rPr>
          <w:rFonts w:ascii="Times New Roman" w:cs="Times New Roman" w:eastAsia="Times New Roman" w:hAnsi="Times New Roman"/>
          <w:sz w:val="18"/>
          <w:szCs w:val="18"/>
          <w:i w:val="1"/>
          <w:iCs w:val="1"/>
          <w:color w:val="auto"/>
        </w:rPr>
        <w:t>Unregistered Sales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Securities and Use of Proceeds</w:t>
      </w:r>
      <w:r>
        <w:rPr>
          <w:rFonts w:ascii="Times New Roman" w:cs="Times New Roman" w:eastAsia="Times New Roman" w:hAnsi="Times New Roman"/>
          <w:sz w:val="18"/>
          <w:szCs w:val="18"/>
          <w:color w:val="auto"/>
        </w:rPr>
        <w:t>, of this Quarterly Report on Form 10-Q for further discussion on our share repurchase program.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2023, capital expenditures decreased by 8.3% to $16.5 million, compared with $18.0 million during the same period a year ago. This decrease was primarily due to lower expenditures for computer equipment, partially offset by an increase in costs related to the development of capitalized internal-use software and investments in network-related equipment.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Purchase obligations represent our legally-binding agreements to purchase fixed or minimum quantities at determinable prices. As of August 31, 2023, we had total purchase obligations with suppliers of $362.2 million. Our total purchase obligations as of August 31, 2023 primarily related to hosting services, acquisition of data and, to a lesser extent, third-party software providers. Hosting services support our hybrid cloud strategy, which relies in large part on third-party hosting providers. Data is an integral component of the value we provide to our clients. Our commitments to third-party software providers mainly include internal-use software licenses.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also have contractual obligations related to our lease liabilities and outstanding debt. Refer to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and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information regarding lease commitments and outstanding debt obligations, respectively.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November 30, 2023, there were no material changes to our contractual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Cash Flows</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November 30, 2023, Cash and cash equivalents were $411.9 million, compared with $425.4 million as of August 31, 2023. Our cash and cash equivalents are held in numerous locations throughout the world, with $164.7 million in EMEA (predominantly in the UK), $136.8 million in the Americas and the remaining $110.4 million in Asia Pacific (predominantly in India and the Philippines) as of November 30, 2023. We permanently reinvest all foreign unremitted earnings, except in jurisdictions where earnings can be repatriated substantially free of tax.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provides selected cash flow information:</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69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November 30,</w:t>
            </w:r>
          </w:p>
        </w:tc>
        <w:tc>
          <w:tcPr>
            <w:tcW w:w="9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96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w w:val="99"/>
              </w:rPr>
              <w:t>2022</w:t>
            </w:r>
          </w:p>
        </w:tc>
        <w:tc>
          <w:tcPr>
            <w:tcW w:w="12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Change</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155,144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45.5 %</w:t>
            </w:r>
          </w:p>
        </w:tc>
        <w:tc>
          <w:tcPr>
            <w:tcW w:w="0" w:type="dxa"/>
            <w:vAlign w:val="bottom"/>
          </w:tcPr>
          <w:p>
            <w:pPr>
              <w:spacing w:after="0"/>
              <w:rPr>
                <w:sz w:val="1"/>
                <w:szCs w:val="1"/>
                <w:color w:val="auto"/>
              </w:rPr>
            </w:pPr>
          </w:p>
        </w:tc>
      </w:tr>
      <w:tr>
        <w:trPr>
          <w:trHeight w:val="23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(25,219)</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9"/>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(144,564)</w:t>
            </w: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(146,232)</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(13,589)</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(66,131)</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November 30, 2023, net cash provided by operating activities was $155.1 million, which included net income of $148.6 million, non-cash charges of $56.5 million and net cash outflow of $50.0 million to support our working capital requirements. The non-cash charges were primarily driven by $27.1 million of depreciation and amortization and $14.3 million of stock-based compensation expense. The change in our working capital was primarily driven by a cash outflow related to our annual variable compensation payment, partially offset by the timing of payments related to accrued expenses.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November 30, 2022, net cash provided by operating activities was $106.6 million, which included net income of $136.8 million, non-cash charges of $47.4 million and net cash outflow of $77.6 million to support our working capital requirements. The non-cash charges were primarily driven by $26.0 million of depreciation and amortization and $12.2 million of stock-based compensation expense. The change in our working capital was primarily driven by a cash outflow related to our annual variable compensation payment.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2023, net cash used in investing activities was $25.2 million. The cash used in investing activities was primarily related to capital expenditures of $16.5 million mainly due to capitalization of compensation costs related to the development of our internal-use software and investments in network-related equipment.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net cash used in investing activities was $27.9 million. The cash used in investing activities was primarily related to capital expenditures of $18.0 million mainly due to capitalization of compensation costs related to development of our internal-use software projects.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2023, net cash used in financing activities was $144.6 million, consisting mainly of $62.5 million related to the partial repayment of the 2022 Term Facility, $59.9 million of share repurchases and $37.1 million of dividend payments, partially offset by $28.4 million of proceeds from employee stock plans.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November 30, 2022, net cash used in financing activities was $146.2 million, consisting mainly of $125.0 million related to the partial repayment of the 2022 Term Facility and $33.7 million of dividend payments, partially offset by $23.4 million of proceeds from employee stock plans.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define free cash flow, a non-GAAP financial measure, as cash provided by operating activities less purchases of property, equipment and leasehold improvements ("PPE") and capitalized internal-use software. We believe free cash flow is a liquidity measure that provides useful information to management and investors about the amount of cash generated by the business that, after capital expenditures, can be used for strategic opportunities, including returning value to stockholders, investing in our business, making strategic acquisitions and strengthening the balance sheet. Free cash flow should be considered in addition to, rather than as a substitute for, consolidated net income as a measure of our performance and net cash provided by operating activities as a measure of our liquidity.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our net cash provided by operating activities to free cash flow:</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3"/>
          </w:tcPr>
          <w:p>
            <w:pPr>
              <w:jc w:val="center"/>
              <w:ind w:right="2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(dollar amounts in thousands)</w:t>
            </w:r>
          </w:p>
        </w:tc>
        <w:tc>
          <w:tcPr>
            <w:tcW w:w="340" w:type="dxa"/>
            <w:vAlign w:val="bottom"/>
          </w:tcPr>
          <w:p>
            <w:pPr>
              <w:spacing w:after="0"/>
              <w:rPr>
                <w:sz w:val="19"/>
                <w:szCs w:val="19"/>
                <w:color w:val="auto"/>
              </w:rPr>
            </w:pPr>
          </w:p>
        </w:tc>
        <w:tc>
          <w:tcPr>
            <w:tcW w:w="168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rPr>
              <w:t>November 30,</w:t>
            </w: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82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2023</w:t>
            </w:r>
          </w:p>
        </w:tc>
        <w:tc>
          <w:tcPr>
            <w:tcW w:w="5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99"/>
              </w:rPr>
              <w:t>2022</w:t>
            </w: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155,144</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106,636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48,508</w:t>
            </w:r>
          </w:p>
        </w:tc>
        <w:tc>
          <w:tcPr>
            <w:tcW w:w="0" w:type="dxa"/>
            <w:vAlign w:val="bottom"/>
          </w:tcPr>
          <w:p>
            <w:pPr>
              <w:spacing w:after="0"/>
              <w:rPr>
                <w:sz w:val="1"/>
                <w:szCs w:val="1"/>
                <w:color w:val="auto"/>
              </w:rPr>
            </w:pPr>
          </w:p>
        </w:tc>
      </w:tr>
      <w:tr>
        <w:trPr>
          <w:trHeight w:val="184"/>
        </w:trPr>
        <w:tc>
          <w:tcPr>
            <w:tcW w:w="68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Less: purchases of property, equipment, leasehold improvements and capitalized internal-use</w:t>
            </w:r>
          </w:p>
        </w:tc>
        <w:tc>
          <w:tcPr>
            <w:tcW w:w="340" w:type="dxa"/>
            <w:vAlign w:val="bottom"/>
          </w:tcPr>
          <w:p>
            <w:pPr>
              <w:spacing w:after="0"/>
              <w:rPr>
                <w:sz w:val="16"/>
                <w:szCs w:val="16"/>
                <w:color w:val="auto"/>
              </w:rPr>
            </w:pPr>
          </w:p>
        </w:tc>
        <w:tc>
          <w:tcPr>
            <w:tcW w:w="1140" w:type="dxa"/>
            <w:vAlign w:val="bottom"/>
            <w:vMerge w:val="restart"/>
          </w:tcPr>
          <w:p>
            <w:pPr>
              <w:ind w:left="500"/>
              <w:spacing w:after="0"/>
              <w:rPr>
                <w:sz w:val="20"/>
                <w:szCs w:val="20"/>
                <w:color w:val="auto"/>
              </w:rPr>
            </w:pPr>
            <w:r>
              <w:rPr>
                <w:rFonts w:ascii="Times New Roman" w:cs="Times New Roman" w:eastAsia="Times New Roman" w:hAnsi="Times New Roman"/>
                <w:sz w:val="18"/>
                <w:szCs w:val="18"/>
                <w:color w:val="auto"/>
              </w:rPr>
              <w:t>(16,466)</w:t>
            </w:r>
          </w:p>
        </w:tc>
        <w:tc>
          <w:tcPr>
            <w:tcW w:w="540" w:type="dxa"/>
            <w:vAlign w:val="bottom"/>
          </w:tcPr>
          <w:p>
            <w:pPr>
              <w:spacing w:after="0"/>
              <w:rPr>
                <w:sz w:val="16"/>
                <w:szCs w:val="16"/>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(17,960)</w:t>
            </w:r>
          </w:p>
        </w:tc>
        <w:tc>
          <w:tcPr>
            <w:tcW w:w="300" w:type="dxa"/>
            <w:vAlign w:val="bottom"/>
          </w:tcPr>
          <w:p>
            <w:pPr>
              <w:spacing w:after="0"/>
              <w:rPr>
                <w:sz w:val="16"/>
                <w:szCs w:val="16"/>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0" w:type="dxa"/>
            <w:vAlign w:val="bottom"/>
          </w:tcPr>
          <w:p>
            <w:pPr>
              <w:spacing w:after="0"/>
              <w:rPr>
                <w:sz w:val="1"/>
                <w:szCs w:val="1"/>
                <w:color w:val="auto"/>
              </w:rPr>
            </w:pPr>
          </w:p>
        </w:tc>
      </w:tr>
      <w:tr>
        <w:trPr>
          <w:trHeight w:val="140"/>
        </w:trPr>
        <w:tc>
          <w:tcPr>
            <w:tcW w:w="6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34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6820" w:type="dxa"/>
            <w:vAlign w:val="bottom"/>
            <w:tcBorders>
              <w:bottom w:val="single" w:sz="8" w:color="CCEEFF"/>
            </w:tcBorders>
            <w:vMerge w:val="continue"/>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138,678</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88,676</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50,002</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generated free cash flow of $138.7 million during the three months ended November 30, 2023, an increase of $50.0 million compared with the same period a year ago. This change reflects a $48.5 million increase in cash provided by operating activities, mainly due to lower working capital requirements and higher net income. The increase in free cash flow also reflects a $1.5 million reduction in purchases of PPE and capitalization of internal-use software primarily driven by lower expenditures for computer equipment, partially offset by an increase in costs related to the development of capitalized internal-use software and investments in network-related equipment.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Off-Balance Sheet Arrangements</w:t>
      </w:r>
    </w:p>
    <w:p>
      <w:pPr>
        <w:spacing w:after="0" w:line="1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November 30, 2023 and August 31, 2023, we had no off-balance sheet financing other than letters of credit incurred in the ordinary course of business. 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xml:space="preserve"> in the Notes to Consolidated Financial Statements included in Part I, Item 1 of this Quarterly Report on Form 10-Q for more information on our letters of credit.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November 30, 2023 and August 31, 2023, we also had no other arrangements with unconsolidated entities or financial partnerships (such as entities often referred to as structured finance or special purpose entities) established for purposes of facilitating off-balance sheet financing, other debt arrangements, or other contractually limited purposes.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Currency Exposure</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As of November 30, 2023, we maintained a series of foreign currency forward contracts to hedge a portion of our primary currency exposures, namely the British Pound Sterling, Indian Rupee, Euro and Philippine Peso. We entered into these contracts to hedge between 25% to 75% of the currency exposure related to our projected operating income in these primary currencies over their respective hedge periods. The hedge period maturities range from the second quarter of fiscal 2024 through the first quarter of fiscal 2025.</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gross notional value of our foreign currency forward contracts to purchase the respective local currency with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as of:</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40" w:type="dxa"/>
            <w:vAlign w:val="bottom"/>
            <w:gridSpan w:val="3"/>
          </w:tcPr>
          <w:p>
            <w:pPr>
              <w:jc w:val="right"/>
              <w:ind w:right="1050"/>
              <w:spacing w:after="0"/>
              <w:rPr>
                <w:sz w:val="20"/>
                <w:szCs w:val="20"/>
                <w:color w:val="auto"/>
              </w:rPr>
            </w:pPr>
            <w:r>
              <w:rPr>
                <w:rFonts w:ascii="Times New Roman" w:cs="Times New Roman" w:eastAsia="Times New Roman" w:hAnsi="Times New Roman"/>
                <w:sz w:val="18"/>
                <w:szCs w:val="18"/>
                <w:color w:val="auto"/>
              </w:rPr>
              <w:t>November 30, 2023</w:t>
            </w:r>
          </w:p>
        </w:tc>
        <w:tc>
          <w:tcPr>
            <w:tcW w:w="660" w:type="dxa"/>
            <w:vAlign w:val="bottom"/>
          </w:tcPr>
          <w:p>
            <w:pPr>
              <w:spacing w:after="0"/>
              <w:rPr>
                <w:sz w:val="19"/>
                <w:szCs w:val="19"/>
                <w:color w:val="auto"/>
              </w:rPr>
            </w:pPr>
          </w:p>
        </w:tc>
        <w:tc>
          <w:tcPr>
            <w:tcW w:w="304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August 31, 2023</w:t>
            </w:r>
          </w:p>
        </w:tc>
        <w:tc>
          <w:tcPr>
            <w:tcW w:w="0" w:type="dxa"/>
            <w:vAlign w:val="bottom"/>
          </w:tcPr>
          <w:p>
            <w:pPr>
              <w:spacing w:after="0"/>
              <w:rPr>
                <w:sz w:val="1"/>
                <w:szCs w:val="1"/>
                <w:color w:val="auto"/>
              </w:rPr>
            </w:pPr>
          </w:p>
        </w:tc>
      </w:tr>
      <w:tr>
        <w:trPr>
          <w:trHeight w:val="180"/>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Pr>
          <w:p>
            <w:pPr>
              <w:jc w:val="right"/>
              <w:ind w:right="170"/>
              <w:spacing w:after="0" w:line="181" w:lineRule="exact"/>
              <w:rPr>
                <w:sz w:val="20"/>
                <w:szCs w:val="20"/>
                <w:color w:val="auto"/>
              </w:rPr>
            </w:pPr>
            <w:r>
              <w:rPr>
                <w:rFonts w:ascii="Times New Roman" w:cs="Times New Roman" w:eastAsia="Times New Roman" w:hAnsi="Times New Roman"/>
                <w:sz w:val="18"/>
                <w:szCs w:val="18"/>
                <w:color w:val="auto"/>
              </w:rPr>
              <w:t>Notional Contract</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auto"/>
            </w:tcBorders>
            <w:vMerge w:val="continue"/>
          </w:tcPr>
          <w:p>
            <w:pPr>
              <w:spacing w:after="0"/>
              <w:rPr>
                <w:sz w:val="21"/>
                <w:szCs w:val="21"/>
                <w:color w:val="auto"/>
              </w:rPr>
            </w:pPr>
          </w:p>
        </w:tc>
        <w:tc>
          <w:tcPr>
            <w:tcW w:w="3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1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Local Currency Amount</w:t>
            </w:r>
          </w:p>
        </w:tc>
        <w:tc>
          <w:tcPr>
            <w:tcW w:w="18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Amount (USD)</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55,208</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56,098</w:t>
            </w:r>
          </w:p>
        </w:tc>
        <w:tc>
          <w:tcPr>
            <w:tcW w:w="0" w:type="dxa"/>
            <w:vAlign w:val="bottom"/>
          </w:tcPr>
          <w:p>
            <w:pPr>
              <w:spacing w:after="0"/>
              <w:rPr>
                <w:sz w:val="1"/>
                <w:szCs w:val="1"/>
                <w:color w:val="auto"/>
              </w:rPr>
            </w:pPr>
          </w:p>
        </w:tc>
      </w:tr>
      <w:tr>
        <w:trPr>
          <w:trHeight w:val="229"/>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17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4,162,086</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49,800</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3,363,150</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40,300</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7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46,730</w:t>
            </w: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39,000</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42,646</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76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1,878,107</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1,888,541</w:t>
            </w:r>
          </w:p>
        </w:tc>
        <w:tc>
          <w:tcPr>
            <w:tcW w:w="1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33,600</w:t>
            </w: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185,338</w:t>
            </w:r>
          </w:p>
        </w:tc>
        <w:tc>
          <w:tcPr>
            <w:tcW w:w="6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172,644</w:t>
            </w: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Refer to Part I, Item 3.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this Quarterly Report on Form 10-Q for more information on our foreign currency exposures.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Estimates</w:t>
      </w:r>
    </w:p>
    <w:p>
      <w:pPr>
        <w:spacing w:after="0" w:line="2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prepare the Consolidated Financial Statements in conformity with GAAP, which requires us to make certain estimates and apply judgements that affect the reported amounts of assets, liabilities, revenues and expenses and related disclosures. We base our estimates on historical experience and other assumptions that we believe to be reasonable at the time the Consolidated Financial Statements are prepared and, as such, they may ultimately differ materially from actual results.</w:t>
      </w:r>
    </w:p>
    <w:p>
      <w:pPr>
        <w:spacing w:after="0" w:line="13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 xml:space="preserve">We describe our significant accounting policies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the fiscal year ended August 31, 2023. These accounting policies were consistently applied in preparing our Consolidated Financial Statements for the three months ended November 30, 2023.</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disclosed our critical accounting estimates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Critical Accounting Estimates, </w:t>
      </w:r>
      <w:r>
        <w:rPr>
          <w:rFonts w:ascii="Times New Roman" w:cs="Times New Roman" w:eastAsia="Times New Roman" w:hAnsi="Times New Roman"/>
          <w:sz w:val="18"/>
          <w:szCs w:val="18"/>
          <w:color w:val="auto"/>
        </w:rPr>
        <w:t>of our Annual Report on Form 10-K for the fiscal year ended August 31, 2023. There were no significant changes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 accounting estimates during the three months ended November 30,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New Accounting Pronouncements</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Notes to the Consolidated Financial Statements included in Part I, Item 1. of this Quarterly Report on Form 10-Q for a full description of recent accounting pronouncements, including their expected dates of adoption, which we include herein by reference.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3. QUANTITATIVE AND QUALITATIVE DISCLOSURES ABOUT MARKET RISK</w:t>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exposed to foreign currency exchange risk and interest rate risk that could impact our financial position and results of operations. Current market events have not required us to materially modify our financial risk management strategies with respect to our exposures to foreign currency exchange risk or interest rate risk.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operate globally, we are exposed to the risk that our financial condition, results of operations and cash flows could be impacted by changes in foreign currency exchange rates. As of November 30, 2023, we maintained a series of foreign currency forward contracts to hedge a portion of our primary currency exposures, namely the British Pound Sterling, Indian Rupee, Euro and Philippine Peso. We entered into these contracts to hedge between 25% to 75% of the currency exposure related to our projected operating income in these primary currencies over their respective hedge periods. The hedge period maturities range from the second quarter of fiscal 2024 through the first quarter of fiscal 2025. We do not enter into cash flow hedges for trading or speculative purposes.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changes in fair value for these foreign currency forward contracts are initially reported as a component of Accumulated other comprehensive loss ("AOCL") on the Consolidated Balance Sheets and subsequently reclassified into SG&amp;A in the Consolidated Statements of Income when the hedged exposure affects earnings.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forward contracts gain (loss) reclassified from AOCL into income:</w:t>
            </w: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8720" w:type="dxa"/>
            <w:vAlign w:val="bottom"/>
          </w:tcPr>
          <w:p>
            <w:pPr>
              <w:spacing w:after="0"/>
              <w:rPr>
                <w:sz w:val="24"/>
                <w:szCs w:val="24"/>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0" w:type="dxa"/>
            <w:vAlign w:val="bottom"/>
          </w:tcPr>
          <w:p>
            <w:pPr>
              <w:spacing w:after="0"/>
              <w:rPr>
                <w:sz w:val="1"/>
                <w:szCs w:val="1"/>
                <w:color w:val="auto"/>
              </w:rPr>
            </w:pPr>
          </w:p>
        </w:tc>
      </w:tr>
      <w:tr>
        <w:trPr>
          <w:trHeight w:val="230"/>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November 30,</w:t>
            </w:r>
          </w:p>
        </w:tc>
        <w:tc>
          <w:tcPr>
            <w:tcW w:w="0" w:type="dxa"/>
            <w:vAlign w:val="bottom"/>
          </w:tcPr>
          <w:p>
            <w:pPr>
              <w:spacing w:after="0"/>
              <w:rPr>
                <w:sz w:val="1"/>
                <w:szCs w:val="1"/>
                <w:color w:val="auto"/>
              </w:rPr>
            </w:pPr>
          </w:p>
        </w:tc>
      </w:tr>
      <w:tr>
        <w:trPr>
          <w:trHeight w:val="234"/>
        </w:trPr>
        <w:tc>
          <w:tcPr>
            <w:tcW w:w="8720" w:type="dxa"/>
            <w:vAlign w:val="bottom"/>
            <w:tcBorders>
              <w:bottom w:val="single" w:sz="8" w:color="CCEEFF"/>
            </w:tcBorders>
            <w:vMerge w:val="continue"/>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 gain (loss) reclassified from AOCL into income</w:t>
            </w:r>
          </w:p>
        </w:tc>
        <w:tc>
          <w:tcPr>
            <w:tcW w:w="86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365 $</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Foreign currency exchange rate fluctuations, net of hedge activity, increased operating income by $1.9 million for the three months ended November 30, 2023 compared with the three months ended November 30, 2022.</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performed a sensitivity analysis to determine the effects on both the fair value of our outstanding foreign currency forward contracts and our operating income, excluding these forward contracts, of a hypothetical devaluation of the U.S. dollar by 10% as of November 30, 2023, relative to the other foreign currencies in which we transact. Based on the financial results for the three months ended November 30, 2023, the fair value of our outstanding forward contracts would have increased by approximately $18 million and our operating income, excluding these forward contracts, would have decreased by an estimated $11 million. This sensitivity analysis has inherent limitations as it disregards the possibility that rates of multiple foreign currencies will not always move in the same direction relative to the value of the U.S. dollar over time and does not account for our forward contracts that we utilize to mitigate fluctuations in exchange rates.</w:t>
      </w:r>
    </w:p>
    <w:p>
      <w:pPr>
        <w:spacing w:after="0" w:line="16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5, </w:t>
      </w:r>
      <w:r>
        <w:rPr>
          <w:rFonts w:ascii="Times New Roman" w:cs="Times New Roman" w:eastAsia="Times New Roman" w:hAnsi="Times New Roman"/>
          <w:sz w:val="18"/>
          <w:szCs w:val="18"/>
          <w:i w:val="1"/>
          <w:iCs w:val="1"/>
          <w:color w:val="auto"/>
        </w:rPr>
        <w:t>Derivative Instruments</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foreign currency exposures and our foreign currency forward contracts.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Risk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foreign currency risk due to the translation of our results from certain international operations into U.S. Dollars as part of the consolidation process. Fluctuations in foreign currency exchange rates can create volatility in our results of operations and our financial condition.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the foreign currency translation adjustment gains and losses recorded in Other comprehensive income (loss):</w:t>
      </w:r>
    </w:p>
    <w:p>
      <w:pPr>
        <w:spacing w:after="0" w:line="225"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8440"/>
        <w:spacing w:after="0"/>
        <w:rPr>
          <w:sz w:val="20"/>
          <w:szCs w:val="20"/>
          <w:color w:val="auto"/>
        </w:rPr>
      </w:pPr>
      <w:r>
        <w:rPr>
          <w:rFonts w:ascii="Times New Roman" w:cs="Times New Roman" w:eastAsia="Times New Roman" w:hAnsi="Times New Roman"/>
          <w:sz w:val="18"/>
          <w:szCs w:val="18"/>
          <w:color w:val="auto"/>
        </w:rPr>
        <w:t>November 30,</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6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6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 gains (losses)</w:t>
            </w:r>
          </w:p>
        </w:tc>
        <w:tc>
          <w:tcPr>
            <w:tcW w:w="31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1,908</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 and Investments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November 30, 2023, we had Cash and cash equivalents of $411.9 million and Investments of $32.1 million. Our Cash and cash equivalents consist of cash and highly liquid investments including demand deposits and money market funds and our Investments consist of mutual funds. We are exposed to interest rate risk through fluctuations of interest rates on these investments. As we have a restrictive investment policy, our financial exposure to fluctuations in interest rates is expected to remain low.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the Consolidated Financial Statements included in Part II, Item 8. of our Annual Report on Form 10-K for more information on our Cash and cash equivalents.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Credit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November 30, 2023, our outstanding variable interest rate debt included $312.5 million under the 2022 Term Facility and $250.0 million under the 2022 Revolving Facility. During the three months ended November 30, 2023, the outstanding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borrowings under the 2022 Credit Facilities bore interest at a rate equal to the applicable one-month Term SOFR rate plus a spread using a debt leverage pricing grid, currently at 1.1% (comprised of a 1.0% interest rate margin based on a debt leverage pricing grid plus a 0.1% credit spread adjustment). The spread remained consistent from the date of borrowing through November 30, 2023.</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mitigate our exposure to interest rate volatility due to changes in SOFR, we entered into the 2022 Swap Agreement on March 1, 2022, to hedge a portion of our outstanding floating SOFR rate debt with a fixed interest rate of 1.162%. The notional amount of the 2022 Swap Agreement declines by $100.0 million on a quarterly basis beginning May 31, 2022. Effective December 30, 2022, we apportioned the then-outstanding notional amount of the 2022 Swap Agreement between two counterparties. As of November 30, 2023, the notional amount of the 2022 Swap Agreement was $100.0 million, maturing on February 28, 2024.</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Senior Notes have a fixed interest rate and are not subject to interest rate changes. Our interest rate exposure is limited to the outstanding principal balance of our variable rate debt that is in excess of our 2022 Swap Agreement, which was $462.5 million as of November 30, 2023. Assuming all terms of our outstanding long-term debt remained the same, a hypothetical 25 basis point change (up or down) in the one-month SOFR would result in an approximate $1 million change to our annual interest expense.</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Refer to Note 10,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the Notes to the Consolidated Financial Statements included in Part I, Item 1. of this Quarterly Report on Form 10-Q for more information on our outstanding borrowings as of November 30,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ITEM 4. CONTROLS AND PROCEDURES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have evaluated the effectiveness of our disclosure controls and procedures pursuant to Rules 13a-15(e) and 15d-15(e) under the Securities Exchange Act of 1934, as amended (the "Exchange Act"), as of the end of the period covered by this report, and the Principal Executive Officer and Principal Financial Officer have concluded that our disclosure controls and procedures were effective as of the end of the period covered by this report.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such term is defined in Rules 13a-15(f) and 15d-15(f) under the Exchange Act) during the three months ended November 30, 2023 that have materially affected, or are reasonably likely to materially affect, our internal control over financial reporting.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PART II – OTHER INFORMATION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 LEGAL PROCEEDINGS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information set forth under "Contingencies" in Note 11,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contained in the Notes to the Consolidated Financial Statements included in Part I, Item 1., to this Quarterly Report on Form 10-Q is incorporated by reference in answer to this Item.</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1A. RISK FACTORS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identified in our Annual Report on Form 10-K for the fiscal year ended August 31, 2023.</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 UNREGISTERED SALES OF EQUITY SECURITIES AND USE OF PROCEEDS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2(a) and (b) are not applicable as there have been no unregistered sales of equity securities.</w:t>
      </w:r>
    </w:p>
    <w:p>
      <w:pPr>
        <w:spacing w:after="0" w:line="185" w:lineRule="exact"/>
        <w:rPr>
          <w:sz w:val="20"/>
          <w:szCs w:val="20"/>
          <w:color w:val="auto"/>
        </w:rPr>
      </w:pPr>
    </w:p>
    <w:p>
      <w:pPr>
        <w:ind w:left="660" w:hanging="490"/>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 Purchases of Equity Securities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month-to-month summary of our share repurchase activity during the three months ended November 30, 2023:</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 Shares</w:t>
            </w:r>
          </w:p>
        </w:tc>
        <w:tc>
          <w:tcPr>
            <w:tcW w:w="100" w:type="dxa"/>
            <w:vAlign w:val="bottom"/>
          </w:tcPr>
          <w:p>
            <w:pPr>
              <w:spacing w:after="0"/>
              <w:rPr>
                <w:sz w:val="17"/>
                <w:szCs w:val="17"/>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Maximum Number of Shares (or</w:t>
            </w:r>
          </w:p>
        </w:tc>
        <w:tc>
          <w:tcPr>
            <w:tcW w:w="0" w:type="dxa"/>
            <w:vAlign w:val="bottom"/>
          </w:tcPr>
          <w:p>
            <w:pPr>
              <w:spacing w:after="0"/>
              <w:rPr>
                <w:sz w:val="1"/>
                <w:szCs w:val="1"/>
                <w:color w:val="auto"/>
              </w:rPr>
            </w:pPr>
          </w:p>
        </w:tc>
      </w:tr>
      <w:tr>
        <w:trPr>
          <w:trHeight w:val="175"/>
        </w:trPr>
        <w:tc>
          <w:tcPr>
            <w:tcW w:w="1860" w:type="dxa"/>
            <w:vAlign w:val="bottom"/>
          </w:tcPr>
          <w:p>
            <w:pPr>
              <w:spacing w:after="0"/>
              <w:rPr>
                <w:sz w:val="15"/>
                <w:szCs w:val="15"/>
                <w:color w:val="auto"/>
              </w:rPr>
            </w:pPr>
          </w:p>
        </w:tc>
        <w:tc>
          <w:tcPr>
            <w:tcW w:w="192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Total Number of</w:t>
            </w:r>
          </w:p>
        </w:tc>
        <w:tc>
          <w:tcPr>
            <w:tcW w:w="280" w:type="dxa"/>
            <w:vAlign w:val="bottom"/>
          </w:tcPr>
          <w:p>
            <w:pPr>
              <w:spacing w:after="0"/>
              <w:rPr>
                <w:sz w:val="15"/>
                <w:szCs w:val="15"/>
                <w:color w:val="auto"/>
              </w:rPr>
            </w:pPr>
          </w:p>
        </w:tc>
        <w:tc>
          <w:tcPr>
            <w:tcW w:w="166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Average Price</w:t>
            </w: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Purchased as Part of Publicly</w:t>
            </w:r>
          </w:p>
        </w:tc>
        <w:tc>
          <w:tcPr>
            <w:tcW w:w="100" w:type="dxa"/>
            <w:vAlign w:val="bottom"/>
          </w:tcPr>
          <w:p>
            <w:pPr>
              <w:spacing w:after="0"/>
              <w:rPr>
                <w:sz w:val="15"/>
                <w:szCs w:val="15"/>
                <w:color w:val="auto"/>
              </w:rPr>
            </w:pPr>
          </w:p>
        </w:tc>
        <w:tc>
          <w:tcPr>
            <w:tcW w:w="248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color w:val="auto"/>
                <w:w w:val="99"/>
              </w:rPr>
              <w:t>Approximate Dollar Value)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9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vMerge w:val="continue"/>
          </w:tcPr>
          <w:p>
            <w:pPr>
              <w:spacing w:after="0"/>
              <w:rPr>
                <w:sz w:val="15"/>
                <w:szCs w:val="15"/>
                <w:color w:val="auto"/>
              </w:rPr>
            </w:pPr>
          </w:p>
        </w:tc>
        <w:tc>
          <w:tcPr>
            <w:tcW w:w="22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Announced Plans or</w:t>
            </w:r>
          </w:p>
        </w:tc>
        <w:tc>
          <w:tcPr>
            <w:tcW w:w="25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that May Yet be Purchased Under</w:t>
            </w: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Period</w:t>
            </w:r>
          </w:p>
        </w:tc>
        <w:tc>
          <w:tcPr>
            <w:tcW w:w="1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Shares Purchased</w:t>
            </w:r>
            <w:r>
              <w:rPr>
                <w:rFonts w:ascii="Times New Roman" w:cs="Times New Roman" w:eastAsia="Times New Roman" w:hAnsi="Times New Roman"/>
                <w:sz w:val="10"/>
                <w:szCs w:val="10"/>
                <w:color w:val="auto"/>
              </w:rPr>
              <w:t>(1)</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Paid per Share</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Programs</w:t>
            </w:r>
            <w:r>
              <w:rPr>
                <w:rFonts w:ascii="Times New Roman" w:cs="Times New Roman" w:eastAsia="Times New Roman" w:hAnsi="Times New Roman"/>
                <w:sz w:val="10"/>
                <w:szCs w:val="10"/>
                <w:color w:val="auto"/>
                <w:w w:val="99"/>
              </w:rPr>
              <w:t>(2)</w:t>
            </w:r>
          </w:p>
        </w:tc>
        <w:tc>
          <w:tcPr>
            <w:tcW w:w="10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the Plans or Programs (in US$)</w:t>
            </w:r>
            <w:r>
              <w:rPr>
                <w:rFonts w:ascii="Times New Roman" w:cs="Times New Roman" w:eastAsia="Times New Roman" w:hAnsi="Times New Roman"/>
                <w:sz w:val="10"/>
                <w:szCs w:val="10"/>
                <w:color w:val="auto"/>
              </w:rPr>
              <w:t>(2)</w:t>
            </w:r>
          </w:p>
        </w:tc>
        <w:tc>
          <w:tcPr>
            <w:tcW w:w="0" w:type="dxa"/>
            <w:vAlign w:val="bottom"/>
          </w:tcPr>
          <w:p>
            <w:pPr>
              <w:spacing w:after="0"/>
              <w:rPr>
                <w:sz w:val="1"/>
                <w:szCs w:val="1"/>
                <w:color w:val="auto"/>
              </w:rPr>
            </w:pPr>
          </w:p>
        </w:tc>
      </w:tr>
      <w:tr>
        <w:trPr>
          <w:trHeight w:val="223"/>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47,826</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431.44</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279,377</w:t>
            </w:r>
          </w:p>
        </w:tc>
        <w:tc>
          <w:tcPr>
            <w:tcW w:w="0" w:type="dxa"/>
            <w:vAlign w:val="bottom"/>
          </w:tcPr>
          <w:p>
            <w:pPr>
              <w:spacing w:after="0"/>
              <w:rPr>
                <w:sz w:val="1"/>
                <w:szCs w:val="1"/>
                <w:color w:val="auto"/>
              </w:rPr>
            </w:pPr>
          </w:p>
        </w:tc>
      </w:tr>
      <w:tr>
        <w:trPr>
          <w:trHeight w:val="229"/>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441.59</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258,887</w:t>
            </w:r>
          </w:p>
        </w:tc>
        <w:tc>
          <w:tcPr>
            <w:tcW w:w="0" w:type="dxa"/>
            <w:vAlign w:val="bottom"/>
          </w:tcPr>
          <w:p>
            <w:pPr>
              <w:spacing w:after="0"/>
              <w:rPr>
                <w:sz w:val="1"/>
                <w:szCs w:val="1"/>
                <w:color w:val="auto"/>
              </w:rPr>
            </w:pPr>
          </w:p>
        </w:tc>
      </w:tr>
      <w:tr>
        <w:trPr>
          <w:trHeight w:val="230"/>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72,108</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447.81</w:t>
            </w:r>
          </w:p>
        </w:tc>
        <w:tc>
          <w:tcPr>
            <w:tcW w:w="2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240,090</w:t>
            </w:r>
          </w:p>
        </w:tc>
        <w:tc>
          <w:tcPr>
            <w:tcW w:w="0" w:type="dxa"/>
            <w:vAlign w:val="bottom"/>
          </w:tcPr>
          <w:p>
            <w:pPr>
              <w:spacing w:after="0"/>
              <w:rPr>
                <w:sz w:val="1"/>
                <w:szCs w:val="1"/>
                <w:color w:val="auto"/>
              </w:rPr>
            </w:pPr>
          </w:p>
        </w:tc>
      </w:tr>
      <w:tr>
        <w:trPr>
          <w:trHeight w:val="228"/>
        </w:trPr>
        <w:tc>
          <w:tcPr>
            <w:tcW w:w="18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166,334</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135,950</w:t>
            </w: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660" w:hanging="328"/>
        <w:spacing w:after="0" w:line="290"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135,950 shares purchased under the stock repurchase program, as well as 30,384 shares repurchased primarily to satisfy withholding tax obligations due upon the vesting of stock-based awards.</w:t>
      </w:r>
    </w:p>
    <w:p>
      <w:pPr>
        <w:jc w:val="both"/>
        <w:ind w:left="660" w:hanging="328"/>
        <w:spacing w:after="0" w:line="263" w:lineRule="auto"/>
        <w:tabs>
          <w:tab w:leader="none" w:pos="6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of November 30, 2023, we had $240.1 million authorized under our share repurchase program for future share repurchases. Repurchases may be made from time-to-time in the open market or via privately negotiated transactions, subject to market conditions. There is no defined number of shares to be repurchased over a specified timeframe through the life of our share repurchase program. It is expected that share repurchases will be paid using existing and future cash generated by operations. Refer to Part I, Item 2. </w:t>
      </w:r>
      <w:r>
        <w:rPr>
          <w:rFonts w:ascii="Times New Roman" w:cs="Times New Roman" w:eastAsia="Times New Roman" w:hAnsi="Times New Roman"/>
          <w:sz w:val="16"/>
          <w:szCs w:val="16"/>
          <w:i w:val="1"/>
          <w:iCs w:val="1"/>
          <w:color w:val="auto"/>
        </w:rPr>
        <w:t>Management's Discussion and Analysis of Financial Condition and Results of Operations, Liquidity and Capital Resources,</w:t>
      </w:r>
      <w:r>
        <w:rPr>
          <w:rFonts w:ascii="Times New Roman" w:cs="Times New Roman" w:eastAsia="Times New Roman" w:hAnsi="Times New Roman"/>
          <w:sz w:val="16"/>
          <w:szCs w:val="16"/>
          <w:color w:val="auto"/>
        </w:rPr>
        <w:t xml:space="preserve"> of this Quarterly Report on Form 10-Q for further discussion on our share repurchase program.</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11, 2023, we entered into an agreement to adopt a trading arrangement for the repurchase of shares of our common stock in the open market consistent with the provisions of Rule 10b5-1 of the Securities Exchange Act of 1934. The arrangement provides for the repurchase of up to $250 million of our common stock during the period from September 1, 2023 through August 31, 2024 pursuant to a written algorithm for determining the amount, price and date for purchase of shares of our common stock.</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 DEFAULTS UPON SENIOR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4. MINE SAFETY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5. OTHER INFORMATION</w:t>
      </w:r>
    </w:p>
    <w:p>
      <w:pPr>
        <w:spacing w:after="0" w:line="17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On September 27, 2023, F. Philip Snow, our Chief Executive Officer, adopted a trading plan for the monthly exercise of non-qualified stock options and the sale of shares of FactSet common stock issued upon exercise of those options, with an effective date of January 2, 2024 and an expiration date of December 6, 2024. This plan is intended to satisfy the affirmative defense conditions of Rule 10b5-1(c) of the Exchange Act. Pursuant to the plan, the aggregate number of options to be exercised, and the aggregate number of shares of common stock to be sold upon exercise of those options, is not to exceed 36,000.</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our other directors or officers (as defined in Section 16 of the Securities Exchange Act of 1934, as amended), adopted or terminated a Rule 10b5-1 trading arrangement or a non-Rule 10b5-1 trading arrangement (each as defined in Item 408(a) and (c) of Regulation S-K) during the three months ended November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6. EXHIBITS</w:t>
      </w: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Incorporated by Reference</w:t>
            </w:r>
          </w:p>
        </w:tc>
        <w:tc>
          <w:tcPr>
            <w:tcW w:w="0" w:type="dxa"/>
            <w:vAlign w:val="bottom"/>
          </w:tcPr>
          <w:p>
            <w:pPr>
              <w:spacing w:after="0"/>
              <w:rPr>
                <w:sz w:val="1"/>
                <w:szCs w:val="1"/>
                <w:color w:val="auto"/>
              </w:rPr>
            </w:pPr>
          </w:p>
        </w:tc>
      </w:tr>
      <w:tr>
        <w:trPr>
          <w:trHeight w:val="180"/>
        </w:trPr>
        <w:tc>
          <w:tcPr>
            <w:tcW w:w="1260" w:type="dxa"/>
            <w:vAlign w:val="bottom"/>
            <w:gridSpan w:val="3"/>
          </w:tcPr>
          <w:p>
            <w:pPr>
              <w:ind w:left="20"/>
              <w:spacing w:after="0" w:line="181" w:lineRule="exact"/>
              <w:rPr>
                <w:sz w:val="20"/>
                <w:szCs w:val="20"/>
                <w:color w:val="auto"/>
              </w:rPr>
            </w:pPr>
            <w:r>
              <w:rPr>
                <w:rFonts w:ascii="Times New Roman" w:cs="Times New Roman" w:eastAsia="Times New Roman" w:hAnsi="Times New Roman"/>
                <w:sz w:val="18"/>
                <w:szCs w:val="18"/>
                <w:color w:val="auto"/>
              </w:rPr>
              <w:t>Exhibit Number</w:t>
            </w:r>
          </w:p>
        </w:tc>
        <w:tc>
          <w:tcPr>
            <w:tcW w:w="504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Exhibit</w:t>
            </w:r>
          </w:p>
        </w:tc>
        <w:tc>
          <w:tcPr>
            <w:tcW w:w="64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Form</w:t>
            </w:r>
          </w:p>
        </w:tc>
        <w:tc>
          <w:tcPr>
            <w:tcW w:w="106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File No.</w:t>
            </w:r>
          </w:p>
        </w:tc>
        <w:tc>
          <w:tcPr>
            <w:tcW w:w="3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Exhibit No.  Filing Date   Filed</w:t>
            </w:r>
          </w:p>
        </w:tc>
        <w:tc>
          <w:tcPr>
            <w:tcW w:w="0" w:type="dxa"/>
            <w:vAlign w:val="bottom"/>
          </w:tcPr>
          <w:p>
            <w:pPr>
              <w:spacing w:after="0"/>
              <w:rPr>
                <w:sz w:val="1"/>
                <w:szCs w:val="1"/>
                <w:color w:val="auto"/>
              </w:rPr>
            </w:pPr>
          </w:p>
        </w:tc>
      </w:tr>
      <w:tr>
        <w:trPr>
          <w:trHeight w:val="239"/>
        </w:trPr>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Description</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r>
        <w:trPr>
          <w:trHeight w:val="173"/>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31.1</w:t>
            </w:r>
          </w:p>
        </w:tc>
        <w:tc>
          <w:tcPr>
            <w:tcW w:w="5040" w:type="dxa"/>
            <w:vAlign w:val="bottom"/>
          </w:tcPr>
          <w:p>
            <w:pPr>
              <w:ind w:left="80"/>
              <w:spacing w:after="0" w:line="173" w:lineRule="exact"/>
              <w:rPr>
                <w:sz w:val="20"/>
                <w:szCs w:val="20"/>
                <w:color w:val="auto"/>
              </w:rPr>
            </w:pPr>
            <w:r>
              <w:rPr>
                <w:rFonts w:ascii="Times New Roman" w:cs="Times New Roman" w:eastAsia="Times New Roman" w:hAnsi="Times New Roman"/>
                <w:sz w:val="18"/>
                <w:szCs w:val="18"/>
                <w:color w:val="auto"/>
              </w:rPr>
              <w:t>Certification of the Chief Executive Officer pursuant to Rule 13a-</w:t>
            </w:r>
          </w:p>
        </w:tc>
        <w:tc>
          <w:tcPr>
            <w:tcW w:w="6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31.2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Rule 13a-</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14(a) and Rule 15d-14(a) of the Securities Exchange Act, as</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amended</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32.1</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Executive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260" w:type="dxa"/>
            <w:vAlign w:val="bottom"/>
            <w:tcBorders>
              <w:left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8"/>
                <w:szCs w:val="18"/>
                <w:color w:val="0000FF"/>
              </w:rPr>
              <w:t>32.2</w:t>
            </w: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Certification of the Chief Financial Officer pursuant to 18 U.S.C.</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89"/>
        </w:trPr>
        <w:tc>
          <w:tcPr>
            <w:tcW w:w="1260" w:type="dxa"/>
            <w:vAlign w:val="bottom"/>
            <w:tcBorders>
              <w:left w:val="single" w:sz="8" w:color="auto"/>
            </w:tcBorders>
            <w:gridSpan w:val="3"/>
            <w:vMerge w:val="continue"/>
          </w:tcPr>
          <w:p>
            <w:pPr>
              <w:spacing w:after="0"/>
              <w:rPr>
                <w:sz w:val="16"/>
                <w:szCs w:val="16"/>
                <w:color w:val="auto"/>
              </w:rPr>
            </w:pPr>
          </w:p>
        </w:tc>
        <w:tc>
          <w:tcPr>
            <w:tcW w:w="504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1350, as adopted pursuant to Section 906 of the Sarbanes-Oxley Act</w:t>
            </w:r>
          </w:p>
        </w:tc>
        <w:tc>
          <w:tcPr>
            <w:tcW w:w="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0" w:type="dxa"/>
            <w:vAlign w:val="bottom"/>
            <w:tcBorders>
              <w:left w:val="single" w:sz="8" w:color="auto"/>
              <w:bottom w:val="single" w:sz="8" w:color="auto"/>
            </w:tcBorders>
          </w:tcPr>
          <w:p>
            <w:pPr>
              <w:spacing w:after="0"/>
              <w:rPr>
                <w:sz w:val="18"/>
                <w:szCs w:val="18"/>
                <w:color w:val="auto"/>
              </w:rPr>
            </w:pPr>
          </w:p>
        </w:tc>
        <w:tc>
          <w:tcPr>
            <w:tcW w:w="320" w:type="dxa"/>
            <w:vAlign w:val="bottom"/>
            <w:tcBorders>
              <w:top w:val="single" w:sz="8" w:color="0000FF"/>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of 2002</w:t>
            </w:r>
          </w:p>
        </w:tc>
        <w:tc>
          <w:tcPr>
            <w:tcW w:w="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2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0" w:type="dxa"/>
            <w:vAlign w:val="bottom"/>
            <w:tcBorders>
              <w:lef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40" w:type="dxa"/>
            <w:vAlign w:val="bottom"/>
          </w:tcPr>
          <w:p>
            <w:pPr>
              <w:ind w:left="80"/>
              <w:spacing w:after="0" w:line="205" w:lineRule="exact"/>
              <w:rPr>
                <w:sz w:val="20"/>
                <w:szCs w:val="20"/>
                <w:color w:val="auto"/>
              </w:rPr>
            </w:pPr>
            <w:r>
              <w:rPr>
                <w:rFonts w:ascii="Times New Roman" w:cs="Times New Roman" w:eastAsia="Times New Roman" w:hAnsi="Times New Roman"/>
                <w:sz w:val="18"/>
                <w:szCs w:val="18"/>
                <w:color w:val="212529"/>
              </w:rPr>
              <w:t>XBRL Instance Document - The instance document does not appear</w:t>
            </w: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5040" w:type="dxa"/>
            <w:vAlign w:val="bottom"/>
          </w:tcPr>
          <w:p>
            <w:pPr>
              <w:ind w:left="80"/>
              <w:spacing w:after="0"/>
              <w:rPr>
                <w:sz w:val="20"/>
                <w:szCs w:val="20"/>
                <w:color w:val="auto"/>
              </w:rPr>
            </w:pPr>
            <w:r>
              <w:rPr>
                <w:rFonts w:ascii="Times New Roman" w:cs="Times New Roman" w:eastAsia="Times New Roman" w:hAnsi="Times New Roman"/>
                <w:sz w:val="18"/>
                <w:szCs w:val="18"/>
                <w:color w:val="212529"/>
              </w:rPr>
              <w:t>in the interactive data file because its XBRL tags are embedded</w:t>
            </w:r>
          </w:p>
        </w:tc>
        <w:tc>
          <w:tcPr>
            <w:tcW w:w="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60" w:type="dxa"/>
            <w:vAlign w:val="bottom"/>
            <w:tcBorders>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40" w:type="dxa"/>
            <w:vAlign w:val="bottom"/>
            <w:tcBorders>
              <w:left w:val="single" w:sz="8" w:color="auto"/>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212529"/>
              </w:rPr>
              <w:t>within the Inline XBRL document</w:t>
            </w: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3"/>
        </w:trPr>
        <w:tc>
          <w:tcPr>
            <w:tcW w:w="1260" w:type="dxa"/>
            <w:vAlign w:val="bottom"/>
            <w:tcBorders>
              <w:left w:val="single" w:sz="8" w:color="auto"/>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50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6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right w:val="single" w:sz="8" w:color="auto"/>
            </w:tcBorders>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900" w:type="dxa"/>
            <w:vAlign w:val="bottom"/>
          </w:tcPr>
          <w:p>
            <w:pPr>
              <w:spacing w:after="0"/>
              <w:rPr>
                <w:sz w:val="14"/>
                <w:szCs w:val="14"/>
                <w:color w:val="auto"/>
              </w:rPr>
            </w:pPr>
          </w:p>
        </w:tc>
        <w:tc>
          <w:tcPr>
            <w:tcW w:w="504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60" w:type="dxa"/>
            <w:vAlign w:val="bottom"/>
            <w:tcBorders>
              <w:right w:val="single" w:sz="8" w:color="auto"/>
            </w:tcBorders>
            <w:vMerge w:val="restart"/>
          </w:tcPr>
          <w:p>
            <w:pPr>
              <w:ind w:left="2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49"/>
        </w:trPr>
        <w:tc>
          <w:tcPr>
            <w:tcW w:w="360" w:type="dxa"/>
            <w:vAlign w:val="bottom"/>
            <w:tcBorders>
              <w:left w:val="single" w:sz="8" w:color="auto"/>
            </w:tcBorders>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50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contained in Exhibit 101)</w:t>
            </w:r>
          </w:p>
        </w:tc>
        <w:tc>
          <w:tcPr>
            <w:tcW w:w="6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40" w:type="dxa"/>
            <w:vAlign w:val="bottom"/>
            <w:tcBorders>
              <w:left w:val="single" w:sz="8" w:color="auto"/>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5040" w:type="dxa"/>
            <w:vAlign w:val="bottom"/>
            <w:tcBorders>
              <w:bottom w:val="single" w:sz="8" w:color="auto"/>
            </w:tcBorders>
            <w:vMerge w:val="continue"/>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2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62"/>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40" w:type="dxa"/>
            <w:vAlign w:val="bottom"/>
          </w:tcPr>
          <w:p>
            <w:pPr>
              <w:ind w:left="4280"/>
              <w:spacing w:after="0"/>
              <w:rPr>
                <w:sz w:val="20"/>
                <w:szCs w:val="20"/>
                <w:color w:val="auto"/>
              </w:rPr>
            </w:pPr>
            <w:r>
              <w:rPr>
                <w:rFonts w:ascii="Times New Roman" w:cs="Times New Roman" w:eastAsia="Times New Roman" w:hAnsi="Times New Roman"/>
                <w:sz w:val="18"/>
                <w:szCs w:val="18"/>
                <w:color w:val="auto"/>
              </w:rPr>
              <w:t>50</w:t>
            </w: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50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FACTSET RESEARCH SYSTEMS INC.</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468"/>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5, 2024</w:t>
            </w: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LINDA S. HUBER</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Linda S. Huber</w:t>
            </w:r>
          </w:p>
        </w:tc>
      </w:tr>
      <w:tr>
        <w:trPr>
          <w:trHeight w:val="230"/>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86"/>
        </w:trPr>
        <w:tc>
          <w:tcPr>
            <w:tcW w:w="5220" w:type="dxa"/>
            <w:vAlign w:val="bottom"/>
          </w:tcPr>
          <w:p>
            <w:pPr>
              <w:spacing w:after="0"/>
              <w:rPr>
                <w:sz w:val="24"/>
                <w:szCs w:val="24"/>
                <w:color w:val="auto"/>
              </w:rPr>
            </w:pPr>
          </w:p>
        </w:tc>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GREGORY T. MOSKOFF</w:t>
            </w:r>
          </w:p>
        </w:tc>
      </w:tr>
      <w:tr>
        <w:trPr>
          <w:trHeight w:val="218"/>
        </w:trPr>
        <w:tc>
          <w:tcPr>
            <w:tcW w:w="5220" w:type="dxa"/>
            <w:vAlign w:val="bottom"/>
          </w:tcPr>
          <w:p>
            <w:pPr>
              <w:spacing w:after="0"/>
              <w:rPr>
                <w:sz w:val="18"/>
                <w:szCs w:val="18"/>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Gregory T. Moskoff</w:t>
            </w:r>
          </w:p>
        </w:tc>
      </w:tr>
      <w:tr>
        <w:trPr>
          <w:trHeight w:val="229"/>
        </w:trPr>
        <w:tc>
          <w:tcPr>
            <w:tcW w:w="522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Managing Director, Controller and Chief Accounting Officer</w:t>
            </w:r>
          </w:p>
        </w:tc>
      </w:tr>
      <w:tr>
        <w:trPr>
          <w:trHeight w:val="234"/>
        </w:trPr>
        <w:tc>
          <w:tcPr>
            <w:tcW w:w="5220" w:type="dxa"/>
            <w:vAlign w:val="bottom"/>
          </w:tcPr>
          <w:p>
            <w:pPr>
              <w:spacing w:after="0"/>
              <w:rPr>
                <w:sz w:val="20"/>
                <w:szCs w:val="20"/>
                <w:color w:val="auto"/>
              </w:rPr>
            </w:pPr>
          </w:p>
        </w:tc>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21" w:right="339" w:bottom="1440" w:gutter="0" w:footer="0" w:header="0"/>
        </w:sectPr>
      </w:pPr>
    </w:p>
    <w:bookmarkStart w:id="51" w:name="page52"/>
    <w:bookmarkEnd w:id="51"/>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96"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 13a-14(a)/15d-14(a) AS ADOPTED PURSUANT TO SECTION 302 OF THE SARBANES-OXLEY ACT OF 2002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 Philip Snow, certify that:</w:t>
      </w:r>
    </w:p>
    <w:p>
      <w:pPr>
        <w:spacing w:after="0" w:line="185" w:lineRule="exact"/>
        <w:rPr>
          <w:sz w:val="20"/>
          <w:szCs w:val="20"/>
          <w:color w:val="auto"/>
        </w:rPr>
      </w:pPr>
    </w:p>
    <w:p>
      <w:pPr>
        <w:ind w:left="500" w:hanging="492"/>
        <w:spacing w:after="0"/>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84"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3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7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Date: January 5, 2024</w:t>
      </w:r>
    </w:p>
    <w:p>
      <w:pPr>
        <w:spacing w:after="0" w:line="2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17145</wp:posOffset>
            </wp:positionV>
            <wp:extent cx="34461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 Philip Snow</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52" w:name="page53"/>
    <w:bookmarkEnd w:id="52"/>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10"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 13a-14(a)/15d-14(a) AS ADOPTED PURSUANT TO SECTION 302 OF THE SARBANES-OXLEY ACT OF 2002</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Linda S. Huber, certify that:</w:t>
      </w:r>
    </w:p>
    <w:p>
      <w:pPr>
        <w:spacing w:after="0" w:line="185" w:lineRule="exact"/>
        <w:rPr>
          <w:sz w:val="20"/>
          <w:szCs w:val="20"/>
          <w:color w:val="auto"/>
        </w:rPr>
      </w:pPr>
    </w:p>
    <w:p>
      <w:pPr>
        <w:ind w:left="500" w:hanging="492"/>
        <w:spacing w:after="0"/>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FactSet Research Systems Inc.;</w:t>
      </w:r>
    </w:p>
    <w:p>
      <w:pPr>
        <w:spacing w:after="0" w:line="198"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486"/>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ind w:left="980" w:hanging="486"/>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spacing w:after="0" w:line="121"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1"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any significant role in the registrant’s internal control over financial reporting.</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January 5, 2024</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wp:posOffset>
            </wp:positionV>
            <wp:extent cx="34461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46145" cy="8890"/>
                    </a:xfrm>
                    <a:prstGeom prst="rect">
                      <a:avLst/>
                    </a:prstGeom>
                    <a:noFill/>
                  </pic:spPr>
                </pic:pic>
              </a:graphicData>
            </a:graphic>
          </wp:anchor>
        </w:drawing>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062"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8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2023, as filed with the Securities and Exchange Commission on the date hereof (the “Report”), I, F. Philip Snow,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F. PHILIP 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17145</wp:posOffset>
            </wp:positionV>
            <wp:extent cx="34461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F.Philip Snow</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January 5, 2024</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FactSet Research Systems Inc. (the “Company”) on Form 10-Q for the quarter ended November 30, 2023, as filed with the Securities and Exchange Commission on the date hereof (the “Report”), I, Linda S. Huber, do hereby certify, pursuant to 18 U.S.C. §1350, as adopted pursuant to §906 of the Sarbanes-Oxley Act of 2002, that:</w:t>
      </w:r>
    </w:p>
    <w:p>
      <w:pPr>
        <w:spacing w:after="0" w:line="135" w:lineRule="exact"/>
        <w:rPr>
          <w:sz w:val="20"/>
          <w:szCs w:val="20"/>
          <w:color w:val="auto"/>
        </w:rPr>
      </w:pPr>
    </w:p>
    <w:p>
      <w:pPr>
        <w:ind w:left="980" w:hanging="324"/>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 LINDA S. HUBER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3446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Linda S. Huber</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January 5, 2024</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endash "/>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1)"/>
      <w:numFmt w:val="decimal"/>
      <w:start w:val="1"/>
    </w:lvl>
  </w:abstractNum>
  <w:abstractNum w:abstractNumId="21">
    <w:nsid w:val="8EDBDAB"/>
    <w:multiLevelType w:val="hybridMultilevel"/>
    <w:lvl w:ilvl="0">
      <w:lvlJc w:val="left"/>
      <w:lvlText w:val="(%1)"/>
      <w:numFmt w:val="lowerRoman"/>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2024-01-05T07:07:48Z</dcterms:created>
  <dcterms:modified xsi:type="dcterms:W3CDTF">2024-01-05T07:07:48Z</dcterms:modified>
</cp:coreProperties>
</file>