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368792.xml.htm"/>
      <w:bookmarkStart w:id="1" w:name="kswkform4_17903687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Moskoff Gregory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FACTSET RESEARCH SYSTEMS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GLOVER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NORWALK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FACTSET RESEARCH SYSTEMS INC</w:t>
              </w:r>
            </w:hyperlink>
            <w:r>
              <w:rPr/>
              <w:t xml:space="preserve"> [ </w:t>
            </w:r>
            <w:r>
              <w:rPr>
                <w:rFonts w:ascii="Times;serif" w:hAnsi="Times;serif"/>
                <w:color w:val="0000FF"/>
                <w:sz w:val="24"/>
                <w:shd w:fill="FFFFFF" w:val="clear"/>
              </w:rPr>
              <w:t>FDS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MD,Controller and CAO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3"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525"/>
        <w:gridCol w:w="276"/>
        <w:gridCol w:w="906"/>
        <w:gridCol w:w="801"/>
        <w:gridCol w:w="891"/>
        <w:gridCol w:w="636"/>
        <w:gridCol w:w="801"/>
        <w:gridCol w:w="936"/>
        <w:gridCol w:w="831"/>
        <w:gridCol w:w="846"/>
      </w:tblGrid>
      <w:tr>
        <w:trPr>
          <w:tblHeader w:val="true"/>
        </w:trPr>
        <w:tc>
          <w:tcPr>
            <w:tcW w:w="1202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97</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PSUs correspond 1-for-1 with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Performance Share Units (PSUs) earned by Reporting Person upon achievement of performance goals, as certified by the Compensation and Talent Committee on September 23, 2026. The PSUs are scheduled to vest on November 1, 2026, provided the Reporting Person remains continuously employed by the Issuer on that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WINNIFRED LEWIS, Attorney in Fact for Gregory T. Moskoff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2865" TargetMode="External"/><Relationship Id="rId5" Type="http://schemas.openxmlformats.org/officeDocument/2006/relationships/hyperlink" Target="http://www.sec.gov/cgi-bin/browse-edgar?action=getcompany&amp;CIK=00010132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638</Words>
  <Characters>3465</Characters>
  <CharactersWithSpaces>4029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