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FactSet Research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303075105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2,580,660.00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2,611,573.00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2,611,573.00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2,857,932.00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2,888,845.00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2,888,845.00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277,272.00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277,272.00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277,272.00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2,857,932.00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2,888,845.00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2,888,845.00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9900"/>
          </w:cols>
          <w:pgMar w:left="360" w:top="12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20"/>
          </w:cols>
          <w:pgMar w:left="360" w:top="126" w:right="5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FactSet Research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Glover Avenue, Norwalk, CT 06850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303075105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100"/>
          </w:cols>
          <w:pgMar w:left="360" w:top="126" w:right="51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2,888,845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2,857,932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2,888,845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BAMCO and BCM are subsidiaries of BCG. Ronald Baron owns a controlling interest in BCG.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2026-02-17T09:44:58Z</dcterms:created>
  <dcterms:modified xsi:type="dcterms:W3CDTF">2026-02-17T09:44:58Z</dcterms:modified>
</cp:coreProperties>
</file>