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920115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946150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8"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37"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May 31, 2020</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3900" w:right="1600" w:hanging="3874"/>
        <w:spacing w:after="0" w:line="438" w:lineRule="auto"/>
        <w:tabs>
          <w:tab w:leader="none" w:pos="48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______to 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-452755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1-11869</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FACTSET RESEARCH SYSTEMS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68580</wp:posOffset>
            </wp:positionV>
            <wp:extent cx="1414145" cy="257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tbl>
      <w:tblPr>
        <w:tblLayout w:type="fixed"/>
        <w:tblInd w:w="1240" w:type="dxa"/>
        <w:tblCellMar>
          <w:top w:w="0" w:type="dxa"/>
          <w:left w:w="0" w:type="dxa"/>
          <w:bottom w:w="0" w:type="dxa"/>
          <w:right w:w="0" w:type="dxa"/>
        </w:tblCellMar>
      </w:tblPr>
      <w:tr>
        <w:trPr>
          <w:trHeight w:val="206"/>
        </w:trPr>
        <w:tc>
          <w:tcPr>
            <w:tcW w:w="6440" w:type="dxa"/>
            <w:vAlign w:val="bottom"/>
          </w:tcPr>
          <w:p>
            <w:pPr>
              <w:jc w:val="right"/>
              <w:spacing w:after="0"/>
              <w:rPr>
                <w:sz w:val="20"/>
                <w:szCs w:val="20"/>
                <w:color w:val="auto"/>
              </w:rPr>
            </w:pPr>
            <w:r>
              <w:rPr>
                <w:rFonts w:ascii="Arial" w:cs="Arial" w:eastAsia="Arial" w:hAnsi="Arial"/>
                <w:sz w:val="16"/>
                <w:szCs w:val="16"/>
                <w:color w:val="auto"/>
              </w:rPr>
              <w:t>_________________________________________________</w:t>
            </w:r>
          </w:p>
        </w:tc>
        <w:tc>
          <w:tcPr>
            <w:tcW w:w="1420" w:type="dxa"/>
            <w:vAlign w:val="bottom"/>
          </w:tcPr>
          <w:p>
            <w:pPr>
              <w:spacing w:after="0"/>
              <w:rPr>
                <w:sz w:val="17"/>
                <w:szCs w:val="17"/>
                <w:color w:val="auto"/>
              </w:rPr>
            </w:pPr>
          </w:p>
        </w:tc>
      </w:tr>
      <w:tr>
        <w:trPr>
          <w:trHeight w:val="263"/>
        </w:trPr>
        <w:tc>
          <w:tcPr>
            <w:tcW w:w="6440" w:type="dxa"/>
            <w:vAlign w:val="bottom"/>
          </w:tcPr>
          <w:p>
            <w:pPr>
              <w:jc w:val="center"/>
              <w:ind w:right="3192"/>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13-3362547</w:t>
            </w:r>
          </w:p>
        </w:tc>
      </w:tr>
      <w:tr>
        <w:trPr>
          <w:trHeight w:val="256"/>
        </w:trPr>
        <w:tc>
          <w:tcPr>
            <w:tcW w:w="6440" w:type="dxa"/>
            <w:vAlign w:val="bottom"/>
          </w:tcPr>
          <w:p>
            <w:pPr>
              <w:jc w:val="center"/>
              <w:ind w:right="3192"/>
              <w:spacing w:after="0"/>
              <w:rPr>
                <w:sz w:val="20"/>
                <w:szCs w:val="20"/>
                <w:color w:val="auto"/>
              </w:rPr>
            </w:pPr>
            <w:r>
              <w:rPr>
                <w:rFonts w:ascii="Arial" w:cs="Arial" w:eastAsia="Arial" w:hAnsi="Arial"/>
                <w:sz w:val="18"/>
                <w:szCs w:val="18"/>
                <w:color w:val="auto"/>
                <w:w w:val="92"/>
              </w:rPr>
              <w:t>(State or other jurisdiction of</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6440" w:type="dxa"/>
            <w:vAlign w:val="bottom"/>
          </w:tcPr>
          <w:p>
            <w:pPr>
              <w:jc w:val="center"/>
              <w:ind w:right="3192"/>
              <w:spacing w:after="0"/>
              <w:rPr>
                <w:sz w:val="20"/>
                <w:szCs w:val="20"/>
                <w:color w:val="auto"/>
              </w:rPr>
            </w:pPr>
            <w:r>
              <w:rPr>
                <w:rFonts w:ascii="Arial" w:cs="Arial" w:eastAsia="Arial" w:hAnsi="Arial"/>
                <w:sz w:val="18"/>
                <w:szCs w:val="18"/>
                <w:color w:val="auto"/>
                <w:w w:val="94"/>
              </w:rPr>
              <w:t>incorporation)</w:t>
            </w: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48"/>
        </w:trPr>
        <w:tc>
          <w:tcPr>
            <w:tcW w:w="6440" w:type="dxa"/>
            <w:vAlign w:val="bottom"/>
          </w:tcPr>
          <w:p>
            <w:pPr>
              <w:jc w:val="center"/>
              <w:ind w:right="3212"/>
              <w:spacing w:after="0"/>
              <w:rPr>
                <w:sz w:val="20"/>
                <w:szCs w:val="20"/>
                <w:color w:val="auto"/>
              </w:rPr>
            </w:pPr>
            <w:r>
              <w:rPr>
                <w:rFonts w:ascii="Arial" w:cs="Arial" w:eastAsia="Arial" w:hAnsi="Arial"/>
                <w:sz w:val="18"/>
                <w:szCs w:val="18"/>
                <w:b w:val="1"/>
                <w:bCs w:val="1"/>
                <w:color w:val="auto"/>
                <w:w w:val="90"/>
              </w:rPr>
              <w:t>45 Glover Avenue, Norwalk, Connecticut</w:t>
            </w:r>
          </w:p>
        </w:tc>
        <w:tc>
          <w:tcPr>
            <w:tcW w:w="1420" w:type="dxa"/>
            <w:vAlign w:val="bottom"/>
          </w:tcPr>
          <w:p>
            <w:pPr>
              <w:jc w:val="right"/>
              <w:ind w:right="350"/>
              <w:spacing w:after="0"/>
              <w:rPr>
                <w:sz w:val="20"/>
                <w:szCs w:val="20"/>
                <w:color w:val="auto"/>
              </w:rPr>
            </w:pPr>
            <w:r>
              <w:rPr>
                <w:rFonts w:ascii="Arial" w:cs="Arial" w:eastAsia="Arial" w:hAnsi="Arial"/>
                <w:sz w:val="18"/>
                <w:szCs w:val="18"/>
                <w:b w:val="1"/>
                <w:bCs w:val="1"/>
                <w:color w:val="auto"/>
              </w:rPr>
              <w:t>06850</w:t>
            </w:r>
          </w:p>
        </w:tc>
      </w:tr>
      <w:tr>
        <w:trPr>
          <w:trHeight w:val="270"/>
        </w:trPr>
        <w:tc>
          <w:tcPr>
            <w:tcW w:w="6440" w:type="dxa"/>
            <w:vAlign w:val="bottom"/>
          </w:tcPr>
          <w:p>
            <w:pPr>
              <w:jc w:val="center"/>
              <w:ind w:right="3212"/>
              <w:spacing w:after="0"/>
              <w:rPr>
                <w:sz w:val="20"/>
                <w:szCs w:val="20"/>
                <w:color w:val="auto"/>
              </w:rPr>
            </w:pPr>
            <w:r>
              <w:rPr>
                <w:rFonts w:ascii="Arial" w:cs="Arial" w:eastAsia="Arial" w:hAnsi="Arial"/>
                <w:sz w:val="18"/>
                <w:szCs w:val="18"/>
                <w:color w:val="auto"/>
                <w:w w:val="92"/>
              </w:rPr>
              <w:t>(Address of principal executive office)</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810-1000</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_________________________________________________</w:t>
      </w:r>
    </w:p>
    <w:p>
      <w:pPr>
        <w:spacing w:after="0" w:line="7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2039620</wp:posOffset>
            </wp:positionH>
            <wp:positionV relativeFrom="paragraph">
              <wp:posOffset>-133350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992505</wp:posOffset>
            </wp:positionH>
            <wp:positionV relativeFrom="paragraph">
              <wp:posOffset>-133350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6"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Large accelerated filer </w:t>
      </w:r>
      <w:r>
        <w:rPr>
          <w:rFonts w:ascii="Arial" w:cs="Arial" w:eastAsia="Arial" w:hAnsi="Arial"/>
          <w:sz w:val="18"/>
          <w:szCs w:val="18"/>
          <w:color w:val="auto"/>
        </w:rPr>
        <w:t>x</w:t>
      </w:r>
      <w:r>
        <w:rPr>
          <w:rFonts w:ascii="Arial" w:cs="Arial" w:eastAsia="Arial" w:hAnsi="Arial"/>
          <w:sz w:val="18"/>
          <w:szCs w:val="18"/>
          <w:b w:val="1"/>
          <w:bCs w:val="1"/>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2118995</wp:posOffset>
            </wp:positionH>
            <wp:positionV relativeFrom="paragraph">
              <wp:posOffset>-86360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-86360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-86360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-86360</wp:posOffset>
            </wp:positionV>
            <wp:extent cx="86995"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6"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wp:posOffset>
            </wp:positionH>
            <wp:positionV relativeFrom="paragraph">
              <wp:posOffset>-86360</wp:posOffset>
            </wp:positionV>
            <wp:extent cx="86995" cy="88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$.01 par value, as of June 30, 2020 was 37,993,490.</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440" w:type="dxa"/>
            <w:vAlign w:val="bottom"/>
            <w:tcBorders>
              <w:right w:val="single" w:sz="8" w:color="auto"/>
            </w:tcBorders>
          </w:tcPr>
          <w:p>
            <w:pPr>
              <w:spacing w:after="0"/>
              <w:rPr>
                <w:sz w:val="22"/>
                <w:szCs w:val="22"/>
                <w:color w:val="auto"/>
              </w:rPr>
            </w:pPr>
          </w:p>
        </w:tc>
        <w:tc>
          <w:tcPr>
            <w:tcW w:w="3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Symbols(s)</w:t>
            </w:r>
          </w:p>
        </w:tc>
        <w:tc>
          <w:tcPr>
            <w:tcW w:w="4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40" w:type="dxa"/>
            <w:vAlign w:val="bottom"/>
            <w:tcBorders>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4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FDS</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New York Stock Exchange LLC</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right w:val="single" w:sz="8" w:color="auto"/>
            </w:tcBorders>
            <w:vMerge w:val="restart"/>
          </w:tcPr>
          <w:p>
            <w:pPr>
              <w:spacing w:after="0"/>
              <w:rPr>
                <w:sz w:val="2"/>
                <w:szCs w:val="2"/>
                <w:color w:val="auto"/>
              </w:rPr>
            </w:pPr>
          </w:p>
        </w:tc>
        <w:tc>
          <w:tcPr>
            <w:tcW w:w="3260" w:type="dxa"/>
            <w:vAlign w:val="bottom"/>
            <w:tcBorders>
              <w:right w:val="single" w:sz="8" w:color="auto"/>
            </w:tcBorders>
            <w:vMerge w:val="continue"/>
          </w:tcPr>
          <w:p>
            <w:pPr>
              <w:spacing w:after="0"/>
              <w:rPr>
                <w:sz w:val="2"/>
                <w:szCs w:val="2"/>
                <w:color w:val="auto"/>
              </w:rPr>
            </w:pPr>
          </w:p>
        </w:tc>
        <w:tc>
          <w:tcPr>
            <w:tcW w:w="2960" w:type="dxa"/>
            <w:vAlign w:val="bottom"/>
            <w:tcBorders>
              <w:right w:val="single" w:sz="8" w:color="auto"/>
            </w:tcBorders>
            <w:vMerge w:val="continue"/>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0" w:type="dxa"/>
            <w:vAlign w:val="bottom"/>
            <w:tcBorders>
              <w:right w:val="single" w:sz="8" w:color="auto"/>
            </w:tcBorders>
            <w:vMerge w:val="continue"/>
          </w:tcPr>
          <w:p>
            <w:pPr>
              <w:spacing w:after="0"/>
              <w:rPr>
                <w:sz w:val="7"/>
                <w:szCs w:val="7"/>
                <w:color w:val="auto"/>
              </w:rPr>
            </w:pPr>
          </w:p>
        </w:tc>
        <w:tc>
          <w:tcPr>
            <w:tcW w:w="3260" w:type="dxa"/>
            <w:vAlign w:val="bottom"/>
            <w:tcBorders>
              <w:right w:val="single" w:sz="8" w:color="auto"/>
            </w:tcBorders>
            <w:vMerge w:val="continue"/>
          </w:tcPr>
          <w:p>
            <w:pPr>
              <w:spacing w:after="0"/>
              <w:rPr>
                <w:sz w:val="7"/>
                <w:szCs w:val="7"/>
                <w:color w:val="auto"/>
              </w:rPr>
            </w:pPr>
          </w:p>
        </w:tc>
        <w:tc>
          <w:tcPr>
            <w:tcW w:w="296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The Nasdaq Stock Market</w:t>
            </w: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40" w:type="dxa"/>
            <w:vAlign w:val="bottom"/>
            <w:tcBorders>
              <w:right w:val="single" w:sz="8" w:color="auto"/>
            </w:tcBorders>
          </w:tcPr>
          <w:p>
            <w:pPr>
              <w:spacing w:after="0"/>
              <w:rPr>
                <w:sz w:val="12"/>
                <w:szCs w:val="12"/>
                <w:color w:val="auto"/>
              </w:rPr>
            </w:pPr>
          </w:p>
        </w:tc>
        <w:tc>
          <w:tcPr>
            <w:tcW w:w="3260" w:type="dxa"/>
            <w:vAlign w:val="bottom"/>
            <w:tcBorders>
              <w:right w:val="single" w:sz="8" w:color="auto"/>
            </w:tcBorders>
          </w:tcPr>
          <w:p>
            <w:pPr>
              <w:spacing w:after="0"/>
              <w:rPr>
                <w:sz w:val="12"/>
                <w:szCs w:val="12"/>
                <w:color w:val="auto"/>
              </w:rPr>
            </w:pPr>
          </w:p>
        </w:tc>
        <w:tc>
          <w:tcPr>
            <w:tcW w:w="296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vMerge w:val="continue"/>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40" w:type="dxa"/>
            <w:vAlign w:val="bottom"/>
            <w:tcBorders>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9"/>
        </w:trPr>
        <w:tc>
          <w:tcPr>
            <w:tcW w:w="4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04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2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20" w:type="dxa"/>
            <w:vAlign w:val="bottom"/>
          </w:tcPr>
          <w:p>
            <w:pPr>
              <w:spacing w:after="0"/>
              <w:rPr>
                <w:sz w:val="17"/>
                <w:szCs w:val="17"/>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650"/>
        </w:trPr>
        <w:tc>
          <w:tcPr>
            <w:tcW w:w="10620" w:type="dxa"/>
            <w:vAlign w:val="bottom"/>
            <w:gridSpan w:val="3"/>
          </w:tcPr>
          <w:p>
            <w:pPr>
              <w:spacing w:after="0"/>
              <w:rPr>
                <w:sz w:val="20"/>
                <w:szCs w:val="20"/>
                <w:color w:val="auto"/>
              </w:rPr>
            </w:pPr>
            <w:r>
              <w:rPr>
                <w:rFonts w:ascii="Arial" w:cs="Arial" w:eastAsia="Arial" w:hAnsi="Arial"/>
                <w:sz w:val="18"/>
                <w:szCs w:val="18"/>
                <w:b w:val="1"/>
                <w:bCs w:val="1"/>
                <w:color w:val="auto"/>
              </w:rPr>
              <w:t>FactSet Research Systems Inc.</w:t>
            </w:r>
          </w:p>
        </w:tc>
        <w:tc>
          <w:tcPr>
            <w:tcW w:w="620" w:type="dxa"/>
            <w:vAlign w:val="bottom"/>
          </w:tcPr>
          <w:p>
            <w:pPr>
              <w:spacing w:after="0"/>
              <w:rPr>
                <w:sz w:val="24"/>
                <w:szCs w:val="24"/>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w w:val="99"/>
              </w:rPr>
              <w:t>Form 10-Q</w:t>
            </w:r>
          </w:p>
        </w:tc>
        <w:tc>
          <w:tcPr>
            <w:tcW w:w="36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10620" w:type="dxa"/>
            <w:vAlign w:val="bottom"/>
            <w:gridSpan w:val="3"/>
          </w:tcPr>
          <w:p>
            <w:pPr>
              <w:spacing w:after="0"/>
              <w:rPr>
                <w:sz w:val="20"/>
                <w:szCs w:val="20"/>
                <w:color w:val="auto"/>
              </w:rPr>
            </w:pPr>
            <w:r>
              <w:rPr>
                <w:rFonts w:ascii="Arial" w:cs="Arial" w:eastAsia="Arial" w:hAnsi="Arial"/>
                <w:sz w:val="18"/>
                <w:szCs w:val="18"/>
                <w:b w:val="1"/>
                <w:bCs w:val="1"/>
                <w:color w:val="auto"/>
              </w:rPr>
              <w:t>For the Quarter Ended May 31, 2020</w:t>
            </w:r>
          </w:p>
        </w:tc>
        <w:tc>
          <w:tcPr>
            <w:tcW w:w="620" w:type="dxa"/>
            <w:vAlign w:val="bottom"/>
          </w:tcPr>
          <w:p>
            <w:pPr>
              <w:spacing w:after="0"/>
              <w:rPr>
                <w:sz w:val="20"/>
                <w:szCs w:val="20"/>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0"/>
        </w:trPr>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340" w:type="dxa"/>
            <w:vAlign w:val="bottom"/>
          </w:tcPr>
          <w:p>
            <w:pPr>
              <w:spacing w:after="0"/>
              <w:rPr>
                <w:sz w:val="23"/>
                <w:szCs w:val="23"/>
                <w:color w:val="auto"/>
              </w:rPr>
            </w:pPr>
          </w:p>
        </w:tc>
        <w:tc>
          <w:tcPr>
            <w:tcW w:w="620" w:type="dxa"/>
            <w:vAlign w:val="bottom"/>
          </w:tcPr>
          <w:p>
            <w:pPr>
              <w:ind w:left="120"/>
              <w:spacing w:after="0"/>
              <w:rPr>
                <w:sz w:val="20"/>
                <w:szCs w:val="20"/>
                <w:color w:val="auto"/>
              </w:rPr>
            </w:pPr>
            <w:r>
              <w:rPr>
                <w:rFonts w:ascii="Arial" w:cs="Arial" w:eastAsia="Arial" w:hAnsi="Arial"/>
                <w:sz w:val="18"/>
                <w:szCs w:val="18"/>
                <w:b w:val="1"/>
                <w:bCs w:val="1"/>
                <w:color w:val="auto"/>
              </w:rPr>
              <w:t>Page</w:t>
            </w:r>
          </w:p>
        </w:tc>
      </w:tr>
      <w:tr>
        <w:trPr>
          <w:trHeight w:val="27"/>
        </w:trPr>
        <w:tc>
          <w:tcPr>
            <w:tcW w:w="920" w:type="dxa"/>
            <w:vAlign w:val="bottom"/>
            <w:tcBorders>
              <w:bottom w:val="single" w:sz="8" w:color="CCEEFF"/>
            </w:tcBorders>
          </w:tcPr>
          <w:p>
            <w:pPr>
              <w:spacing w:after="0"/>
              <w:rPr>
                <w:sz w:val="2"/>
                <w:szCs w:val="2"/>
                <w:color w:val="auto"/>
              </w:rPr>
            </w:pPr>
          </w:p>
        </w:tc>
        <w:tc>
          <w:tcPr>
            <w:tcW w:w="9700" w:type="dxa"/>
            <w:vAlign w:val="bottom"/>
            <w:tcBorders>
              <w:bottom w:val="single" w:sz="8" w:color="CCEEFF"/>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9"/>
        </w:trPr>
        <w:tc>
          <w:tcPr>
            <w:tcW w:w="920" w:type="dxa"/>
            <w:vAlign w:val="bottom"/>
            <w:shd w:val="clear" w:color="auto" w:fill="CCEEFF"/>
          </w:tcPr>
          <w:p>
            <w:pPr>
              <w:ind w:left="2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w:t>
              </w:r>
            </w:hyperlink>
          </w:p>
        </w:tc>
        <w:tc>
          <w:tcPr>
            <w:tcW w:w="9700" w:type="dxa"/>
            <w:vAlign w:val="bottom"/>
            <w:gridSpan w:val="2"/>
            <w:shd w:val="clear" w:color="auto" w:fill="CCEEFF"/>
          </w:tcPr>
          <w:p>
            <w:pPr>
              <w:ind w:left="6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FINANCIAL INFORMATION</w:t>
              </w:r>
            </w:hyperlink>
          </w:p>
        </w:tc>
        <w:tc>
          <w:tcPr>
            <w:tcW w:w="620" w:type="dxa"/>
            <w:vAlign w:val="bottom"/>
            <w:shd w:val="clear" w:color="auto" w:fill="CCEEFF"/>
          </w:tcPr>
          <w:p>
            <w:pPr>
              <w:spacing w:after="0"/>
              <w:rPr>
                <w:sz w:val="18"/>
                <w:szCs w:val="18"/>
                <w:color w:val="auto"/>
              </w:rPr>
            </w:pPr>
          </w:p>
        </w:tc>
      </w:tr>
      <w:tr>
        <w:trPr>
          <w:trHeight w:val="229"/>
        </w:trPr>
        <w:tc>
          <w:tcPr>
            <w:tcW w:w="92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9700" w:type="dxa"/>
            <w:vAlign w:val="bottom"/>
            <w:gridSpan w:val="2"/>
          </w:tcPr>
          <w:p>
            <w:pPr>
              <w:ind w:left="60"/>
              <w:spacing w:after="0"/>
              <w:rPr>
                <w:rFonts w:ascii="Arial" w:cs="Arial" w:eastAsia="Arial" w:hAnsi="Arial"/>
                <w:sz w:val="18"/>
                <w:szCs w:val="18"/>
                <w:color w:val="auto"/>
              </w:rPr>
            </w:pPr>
            <w:hyperlink w:anchor="page2">
              <w:r>
                <w:rPr>
                  <w:rFonts w:ascii="Arial" w:cs="Arial" w:eastAsia="Arial" w:hAnsi="Arial"/>
                  <w:sz w:val="18"/>
                  <w:szCs w:val="18"/>
                  <w:color w:val="auto"/>
                </w:rPr>
                <w:t>Financial Statements</w:t>
              </w:r>
            </w:hyperlink>
          </w:p>
        </w:tc>
        <w:tc>
          <w:tcPr>
            <w:tcW w:w="620" w:type="dxa"/>
            <w:vAlign w:val="bottom"/>
          </w:tcPr>
          <w:p>
            <w:pPr>
              <w:spacing w:after="0"/>
              <w:rPr>
                <w:sz w:val="19"/>
                <w:szCs w:val="19"/>
                <w:color w:val="auto"/>
              </w:rPr>
            </w:pPr>
          </w:p>
        </w:tc>
      </w:tr>
      <w:tr>
        <w:trPr>
          <w:trHeight w:val="230"/>
        </w:trPr>
        <w:tc>
          <w:tcPr>
            <w:tcW w:w="9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Consolidated Statements of Income for the </w:t>
              </w:r>
            </w:hyperlink>
            <w:r>
              <w:rPr>
                <w:rFonts w:ascii="Arial" w:cs="Arial" w:eastAsia="Arial" w:hAnsi="Arial"/>
                <w:sz w:val="18"/>
                <w:szCs w:val="18"/>
                <w:color w:val="auto"/>
              </w:rPr>
              <w:t xml:space="preserve">three and nine </w:t>
            </w:r>
            <w:hyperlink w:anchor="page3">
              <w:r>
                <w:rPr>
                  <w:rFonts w:ascii="Arial" w:cs="Arial" w:eastAsia="Arial" w:hAnsi="Arial"/>
                  <w:sz w:val="18"/>
                  <w:szCs w:val="18"/>
                  <w:color w:val="auto"/>
                </w:rPr>
                <w:t xml:space="preserve">months ended </w:t>
              </w:r>
            </w:hyperlink>
            <w:r>
              <w:rPr>
                <w:rFonts w:ascii="Arial" w:cs="Arial" w:eastAsia="Arial" w:hAnsi="Arial"/>
                <w:sz w:val="18"/>
                <w:szCs w:val="18"/>
                <w:color w:val="auto"/>
              </w:rPr>
              <w:t xml:space="preserve">May 31, 2020 </w:t>
            </w:r>
            <w:hyperlink w:anchor="page3">
              <w:r>
                <w:rPr>
                  <w:rFonts w:ascii="Arial" w:cs="Arial" w:eastAsia="Arial" w:hAnsi="Arial"/>
                  <w:sz w:val="18"/>
                  <w:szCs w:val="18"/>
                  <w:color w:val="auto"/>
                </w:rPr>
                <w:t xml:space="preserve">and </w:t>
              </w:r>
            </w:hyperlink>
            <w:r>
              <w:rPr>
                <w:rFonts w:ascii="Arial" w:cs="Arial" w:eastAsia="Arial" w:hAnsi="Arial"/>
                <w:sz w:val="18"/>
                <w:szCs w:val="18"/>
                <w:color w:val="auto"/>
              </w:rPr>
              <w:t>2019</w:t>
            </w:r>
          </w:p>
        </w:tc>
        <w:tc>
          <w:tcPr>
            <w:tcW w:w="620" w:type="dxa"/>
            <w:vAlign w:val="bottom"/>
            <w:shd w:val="clear" w:color="auto" w:fill="CCEEFF"/>
          </w:tcPr>
          <w:p>
            <w:pPr>
              <w:jc w:val="center"/>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3</w:t>
              </w:r>
            </w:hyperlink>
          </w:p>
        </w:tc>
      </w:tr>
      <w:tr>
        <w:trPr>
          <w:trHeight w:val="229"/>
        </w:trPr>
        <w:tc>
          <w:tcPr>
            <w:tcW w:w="92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Consolidated Statements of Comprehensive Income for the </w:t>
              </w:r>
            </w:hyperlink>
            <w:r>
              <w:rPr>
                <w:rFonts w:ascii="Arial" w:cs="Arial" w:eastAsia="Arial" w:hAnsi="Arial"/>
                <w:sz w:val="18"/>
                <w:szCs w:val="18"/>
                <w:color w:val="auto"/>
              </w:rPr>
              <w:t>three and nine months ended May 31, 2020 and 2019</w:t>
            </w:r>
          </w:p>
        </w:tc>
        <w:tc>
          <w:tcPr>
            <w:tcW w:w="620" w:type="dxa"/>
            <w:vAlign w:val="bottom"/>
          </w:tcPr>
          <w:p>
            <w:pPr>
              <w:jc w:val="center"/>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4</w:t>
              </w:r>
            </w:hyperlink>
          </w:p>
        </w:tc>
      </w:tr>
      <w:tr>
        <w:trPr>
          <w:trHeight w:val="229"/>
        </w:trPr>
        <w:tc>
          <w:tcPr>
            <w:tcW w:w="9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Consolidated Balance Sheets at </w:t>
              </w:r>
            </w:hyperlink>
            <w:r>
              <w:rPr>
                <w:rFonts w:ascii="Arial" w:cs="Arial" w:eastAsia="Arial" w:hAnsi="Arial"/>
                <w:sz w:val="18"/>
                <w:szCs w:val="18"/>
                <w:color w:val="auto"/>
              </w:rPr>
              <w:t xml:space="preserve">May 31, 2020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August 31, 2019</w:t>
            </w:r>
          </w:p>
        </w:tc>
        <w:tc>
          <w:tcPr>
            <w:tcW w:w="620" w:type="dxa"/>
            <w:vAlign w:val="bottom"/>
            <w:shd w:val="clear" w:color="auto" w:fill="CCEEFF"/>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5</w:t>
              </w:r>
            </w:hyperlink>
          </w:p>
        </w:tc>
      </w:tr>
      <w:tr>
        <w:trPr>
          <w:trHeight w:val="230"/>
        </w:trPr>
        <w:tc>
          <w:tcPr>
            <w:tcW w:w="92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rPr>
            </w:pPr>
            <w:hyperlink w:anchor="page5">
              <w:r>
                <w:rPr>
                  <w:rFonts w:ascii="Arial" w:cs="Arial" w:eastAsia="Arial" w:hAnsi="Arial"/>
                  <w:sz w:val="18"/>
                  <w:szCs w:val="18"/>
                  <w:color w:val="auto"/>
                </w:rPr>
                <w:t xml:space="preserve">Consolidated Statements of Cash Flows for the </w:t>
              </w:r>
            </w:hyperlink>
            <w:r>
              <w:rPr>
                <w:rFonts w:ascii="Arial" w:cs="Arial" w:eastAsia="Arial" w:hAnsi="Arial"/>
                <w:sz w:val="18"/>
                <w:szCs w:val="18"/>
                <w:color w:val="auto"/>
              </w:rPr>
              <w:t xml:space="preserve">nine </w:t>
            </w:r>
            <w:hyperlink w:anchor="page3">
              <w:r>
                <w:rPr>
                  <w:rFonts w:ascii="Arial" w:cs="Arial" w:eastAsia="Arial" w:hAnsi="Arial"/>
                  <w:sz w:val="18"/>
                  <w:szCs w:val="18"/>
                  <w:color w:val="auto"/>
                </w:rPr>
                <w:t xml:space="preserve">months ended </w:t>
              </w:r>
            </w:hyperlink>
            <w:r>
              <w:rPr>
                <w:rFonts w:ascii="Arial" w:cs="Arial" w:eastAsia="Arial" w:hAnsi="Arial"/>
                <w:sz w:val="18"/>
                <w:szCs w:val="18"/>
                <w:color w:val="auto"/>
              </w:rPr>
              <w:t xml:space="preserve">May 31, 2020 </w:t>
            </w:r>
            <w:hyperlink w:anchor="page3">
              <w:r>
                <w:rPr>
                  <w:rFonts w:ascii="Arial" w:cs="Arial" w:eastAsia="Arial" w:hAnsi="Arial"/>
                  <w:sz w:val="18"/>
                  <w:szCs w:val="18"/>
                  <w:color w:val="auto"/>
                </w:rPr>
                <w:t xml:space="preserve">and </w:t>
              </w:r>
            </w:hyperlink>
            <w:r>
              <w:rPr>
                <w:rFonts w:ascii="Arial" w:cs="Arial" w:eastAsia="Arial" w:hAnsi="Arial"/>
                <w:sz w:val="18"/>
                <w:szCs w:val="18"/>
                <w:color w:val="auto"/>
              </w:rPr>
              <w:t>2019</w:t>
            </w:r>
          </w:p>
        </w:tc>
        <w:tc>
          <w:tcPr>
            <w:tcW w:w="62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6</w:t>
              </w:r>
            </w:hyperlink>
          </w:p>
        </w:tc>
      </w:tr>
      <w:tr>
        <w:trPr>
          <w:trHeight w:val="229"/>
        </w:trPr>
        <w:tc>
          <w:tcPr>
            <w:tcW w:w="9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Consolidated Statements of Changes in Stockholders’ Equity for the </w:t>
              </w:r>
            </w:hyperlink>
            <w:r>
              <w:rPr>
                <w:rFonts w:ascii="Arial" w:cs="Arial" w:eastAsia="Arial" w:hAnsi="Arial"/>
                <w:sz w:val="18"/>
                <w:szCs w:val="18"/>
                <w:color w:val="auto"/>
              </w:rPr>
              <w:t xml:space="preserve">three and nine </w:t>
            </w:r>
            <w:hyperlink w:anchor="page6">
              <w:r>
                <w:rPr>
                  <w:rFonts w:ascii="Arial" w:cs="Arial" w:eastAsia="Arial" w:hAnsi="Arial"/>
                  <w:sz w:val="18"/>
                  <w:szCs w:val="18"/>
                  <w:color w:val="auto"/>
                </w:rPr>
                <w:t xml:space="preserve">months ended </w:t>
              </w:r>
            </w:hyperlink>
            <w:r>
              <w:rPr>
                <w:rFonts w:ascii="Arial" w:cs="Arial" w:eastAsia="Arial" w:hAnsi="Arial"/>
                <w:sz w:val="18"/>
                <w:szCs w:val="18"/>
                <w:color w:val="auto"/>
              </w:rPr>
              <w:t>May 31, 2020</w:t>
            </w:r>
          </w:p>
        </w:tc>
        <w:tc>
          <w:tcPr>
            <w:tcW w:w="620" w:type="dxa"/>
            <w:vAlign w:val="bottom"/>
            <w:shd w:val="clear" w:color="auto" w:fill="CCEEFF"/>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7</w:t>
              </w:r>
            </w:hyperlink>
          </w:p>
        </w:tc>
      </w:tr>
      <w:tr>
        <w:trPr>
          <w:trHeight w:val="230"/>
        </w:trPr>
        <w:tc>
          <w:tcPr>
            <w:tcW w:w="92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rPr>
            </w:pPr>
            <w:hyperlink w:anchor="page7">
              <w:r>
                <w:rPr>
                  <w:rFonts w:ascii="Arial" w:cs="Arial" w:eastAsia="Arial" w:hAnsi="Arial"/>
                  <w:sz w:val="18"/>
                  <w:szCs w:val="18"/>
                  <w:color w:val="auto"/>
                </w:rPr>
                <w:t xml:space="preserve">Consolidated Statements of Changes in Stockholders’ Equity for the </w:t>
              </w:r>
            </w:hyperlink>
            <w:r>
              <w:rPr>
                <w:rFonts w:ascii="Arial" w:cs="Arial" w:eastAsia="Arial" w:hAnsi="Arial"/>
                <w:sz w:val="18"/>
                <w:szCs w:val="18"/>
                <w:color w:val="auto"/>
              </w:rPr>
              <w:t xml:space="preserve">three and nine </w:t>
            </w:r>
            <w:hyperlink w:anchor="page7">
              <w:r>
                <w:rPr>
                  <w:rFonts w:ascii="Arial" w:cs="Arial" w:eastAsia="Arial" w:hAnsi="Arial"/>
                  <w:sz w:val="18"/>
                  <w:szCs w:val="18"/>
                  <w:color w:val="auto"/>
                </w:rPr>
                <w:t xml:space="preserve">months ended </w:t>
              </w:r>
            </w:hyperlink>
            <w:r>
              <w:rPr>
                <w:rFonts w:ascii="Arial" w:cs="Arial" w:eastAsia="Arial" w:hAnsi="Arial"/>
                <w:sz w:val="18"/>
                <w:szCs w:val="18"/>
                <w:color w:val="auto"/>
              </w:rPr>
              <w:t>May 31, 2019</w:t>
            </w:r>
          </w:p>
        </w:tc>
        <w:tc>
          <w:tcPr>
            <w:tcW w:w="620" w:type="dxa"/>
            <w:vAlign w:val="bottom"/>
          </w:tcPr>
          <w:p>
            <w:pPr>
              <w:jc w:val="center"/>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8</w:t>
              </w:r>
            </w:hyperlink>
          </w:p>
        </w:tc>
      </w:tr>
      <w:tr>
        <w:trPr>
          <w:trHeight w:val="229"/>
        </w:trPr>
        <w:tc>
          <w:tcPr>
            <w:tcW w:w="9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8">
              <w:r>
                <w:rPr>
                  <w:rFonts w:ascii="Arial" w:cs="Arial" w:eastAsia="Arial" w:hAnsi="Arial"/>
                  <w:sz w:val="18"/>
                  <w:szCs w:val="18"/>
                  <w:color w:val="auto"/>
                </w:rPr>
                <w:t>Notes to the Consolidated Financial Statements</w:t>
              </w:r>
            </w:hyperlink>
          </w:p>
        </w:tc>
        <w:tc>
          <w:tcPr>
            <w:tcW w:w="620" w:type="dxa"/>
            <w:vAlign w:val="bottom"/>
            <w:shd w:val="clear" w:color="auto" w:fill="CCEEFF"/>
          </w:tcPr>
          <w:p>
            <w:pPr>
              <w:jc w:val="center"/>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9</w:t>
              </w:r>
            </w:hyperlink>
          </w:p>
        </w:tc>
      </w:tr>
      <w:tr>
        <w:trPr>
          <w:trHeight w:val="229"/>
        </w:trPr>
        <w:tc>
          <w:tcPr>
            <w:tcW w:w="920" w:type="dxa"/>
            <w:vAlign w:val="bottom"/>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Item 2.</w:t>
              </w:r>
            </w:hyperlink>
          </w:p>
        </w:tc>
        <w:tc>
          <w:tcPr>
            <w:tcW w:w="9700" w:type="dxa"/>
            <w:vAlign w:val="bottom"/>
            <w:gridSpan w:val="2"/>
          </w:tcPr>
          <w:p>
            <w:pPr>
              <w:ind w:left="60"/>
              <w:spacing w:after="0"/>
              <w:rPr>
                <w:rFonts w:ascii="Arial" w:cs="Arial" w:eastAsia="Arial" w:hAnsi="Arial"/>
                <w:sz w:val="18"/>
                <w:szCs w:val="18"/>
                <w:color w:val="auto"/>
              </w:rPr>
            </w:pPr>
            <w:hyperlink w:anchor="page28">
              <w:r>
                <w:rPr>
                  <w:rFonts w:ascii="Arial" w:cs="Arial" w:eastAsia="Arial" w:hAnsi="Arial"/>
                  <w:sz w:val="18"/>
                  <w:szCs w:val="18"/>
                  <w:color w:val="auto"/>
                </w:rPr>
                <w:t>Management’s Discussion and Analysis of Financial Condition and Results of Operations</w:t>
              </w:r>
            </w:hyperlink>
          </w:p>
        </w:tc>
        <w:tc>
          <w:tcPr>
            <w:tcW w:w="620" w:type="dxa"/>
            <w:vAlign w:val="bottom"/>
          </w:tcPr>
          <w:p>
            <w:pPr>
              <w:jc w:val="center"/>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29</w:t>
              </w:r>
            </w:hyperlink>
          </w:p>
        </w:tc>
      </w:tr>
      <w:tr>
        <w:trPr>
          <w:trHeight w:val="230"/>
        </w:trPr>
        <w:tc>
          <w:tcPr>
            <w:tcW w:w="920" w:type="dxa"/>
            <w:vAlign w:val="bottom"/>
            <w:shd w:val="clear" w:color="auto" w:fill="CCEEFF"/>
          </w:tcPr>
          <w:p>
            <w:pPr>
              <w:ind w:left="20"/>
              <w:spacing w:after="0"/>
              <w:rPr>
                <w:rFonts w:ascii="Arial" w:cs="Arial" w:eastAsia="Arial" w:hAnsi="Arial"/>
                <w:sz w:val="18"/>
                <w:szCs w:val="18"/>
                <w:color w:val="auto"/>
              </w:rPr>
            </w:pPr>
            <w:hyperlink w:anchor="page47">
              <w:r>
                <w:rPr>
                  <w:rFonts w:ascii="Arial" w:cs="Arial" w:eastAsia="Arial" w:hAnsi="Arial"/>
                  <w:sz w:val="18"/>
                  <w:szCs w:val="18"/>
                  <w:color w:val="auto"/>
                </w:rPr>
                <w:t>Item 3.</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7">
              <w:r>
                <w:rPr>
                  <w:rFonts w:ascii="Arial" w:cs="Arial" w:eastAsia="Arial" w:hAnsi="Arial"/>
                  <w:sz w:val="18"/>
                  <w:szCs w:val="18"/>
                  <w:color w:val="auto"/>
                </w:rPr>
                <w:t>Quantitative and Qualitative Disclosures About Market Risk</w:t>
              </w:r>
            </w:hyperlink>
          </w:p>
        </w:tc>
        <w:tc>
          <w:tcPr>
            <w:tcW w:w="620" w:type="dxa"/>
            <w:vAlign w:val="bottom"/>
            <w:shd w:val="clear" w:color="auto" w:fill="CCEEFF"/>
          </w:tcPr>
          <w:p>
            <w:pPr>
              <w:jc w:val="center"/>
              <w:spacing w:after="0"/>
              <w:rPr>
                <w:rFonts w:ascii="Arial" w:cs="Arial" w:eastAsia="Arial" w:hAnsi="Arial"/>
                <w:sz w:val="18"/>
                <w:szCs w:val="18"/>
                <w:color w:val="auto"/>
                <w:w w:val="89"/>
              </w:rPr>
            </w:pPr>
            <w:hyperlink w:anchor="page47">
              <w:r>
                <w:rPr>
                  <w:rFonts w:ascii="Arial" w:cs="Arial" w:eastAsia="Arial" w:hAnsi="Arial"/>
                  <w:sz w:val="18"/>
                  <w:szCs w:val="18"/>
                  <w:color w:val="auto"/>
                  <w:w w:val="89"/>
                </w:rPr>
                <w:t>48</w:t>
              </w:r>
            </w:hyperlink>
          </w:p>
        </w:tc>
      </w:tr>
      <w:tr>
        <w:trPr>
          <w:trHeight w:val="229"/>
        </w:trPr>
        <w:tc>
          <w:tcPr>
            <w:tcW w:w="920" w:type="dxa"/>
            <w:vAlign w:val="bottom"/>
          </w:tcPr>
          <w:p>
            <w:pPr>
              <w:ind w:left="20"/>
              <w:spacing w:after="0"/>
              <w:rPr>
                <w:rFonts w:ascii="Arial" w:cs="Arial" w:eastAsia="Arial" w:hAnsi="Arial"/>
                <w:sz w:val="18"/>
                <w:szCs w:val="18"/>
                <w:color w:val="auto"/>
              </w:rPr>
            </w:pPr>
            <w:hyperlink w:anchor="page49">
              <w:r>
                <w:rPr>
                  <w:rFonts w:ascii="Arial" w:cs="Arial" w:eastAsia="Arial" w:hAnsi="Arial"/>
                  <w:sz w:val="18"/>
                  <w:szCs w:val="18"/>
                  <w:color w:val="auto"/>
                </w:rPr>
                <w:t>Item 4.</w:t>
              </w:r>
            </w:hyperlink>
          </w:p>
        </w:tc>
        <w:tc>
          <w:tcPr>
            <w:tcW w:w="9700" w:type="dxa"/>
            <w:vAlign w:val="bottom"/>
            <w:gridSpan w:val="2"/>
          </w:tcPr>
          <w:p>
            <w:pPr>
              <w:ind w:left="60"/>
              <w:spacing w:after="0"/>
              <w:rPr>
                <w:rFonts w:ascii="Arial" w:cs="Arial" w:eastAsia="Arial" w:hAnsi="Arial"/>
                <w:sz w:val="18"/>
                <w:szCs w:val="18"/>
                <w:color w:val="auto"/>
              </w:rPr>
            </w:pPr>
            <w:hyperlink w:anchor="page49">
              <w:r>
                <w:rPr>
                  <w:rFonts w:ascii="Arial" w:cs="Arial" w:eastAsia="Arial" w:hAnsi="Arial"/>
                  <w:sz w:val="18"/>
                  <w:szCs w:val="18"/>
                  <w:color w:val="auto"/>
                </w:rPr>
                <w:t>Controls and Procedures</w:t>
              </w:r>
            </w:hyperlink>
          </w:p>
        </w:tc>
        <w:tc>
          <w:tcPr>
            <w:tcW w:w="620" w:type="dxa"/>
            <w:vAlign w:val="bottom"/>
          </w:tcPr>
          <w:p>
            <w:pPr>
              <w:jc w:val="center"/>
              <w:spacing w:after="0"/>
              <w:rPr>
                <w:rFonts w:ascii="Arial" w:cs="Arial" w:eastAsia="Arial" w:hAnsi="Arial"/>
                <w:sz w:val="18"/>
                <w:szCs w:val="18"/>
                <w:color w:val="auto"/>
                <w:w w:val="89"/>
              </w:rPr>
            </w:pPr>
            <w:hyperlink w:anchor="page49">
              <w:r>
                <w:rPr>
                  <w:rFonts w:ascii="Arial" w:cs="Arial" w:eastAsia="Arial" w:hAnsi="Arial"/>
                  <w:sz w:val="18"/>
                  <w:szCs w:val="18"/>
                  <w:color w:val="auto"/>
                  <w:w w:val="89"/>
                </w:rPr>
                <w:t>50</w:t>
              </w:r>
            </w:hyperlink>
          </w:p>
        </w:tc>
      </w:tr>
      <w:tr>
        <w:trPr>
          <w:trHeight w:val="230"/>
        </w:trPr>
        <w:tc>
          <w:tcPr>
            <w:tcW w:w="920" w:type="dxa"/>
            <w:vAlign w:val="bottom"/>
            <w:shd w:val="clear" w:color="auto" w:fill="CCEEFF"/>
          </w:tcPr>
          <w:p>
            <w:pPr>
              <w:ind w:left="20"/>
              <w:spacing w:after="0"/>
              <w:rPr>
                <w:rFonts w:ascii="Arial" w:cs="Arial" w:eastAsia="Arial" w:hAnsi="Arial"/>
                <w:sz w:val="18"/>
                <w:szCs w:val="18"/>
                <w:b w:val="1"/>
                <w:bCs w:val="1"/>
                <w:color w:val="auto"/>
              </w:rPr>
            </w:pPr>
            <w:hyperlink w:anchor="page50">
              <w:r>
                <w:rPr>
                  <w:rFonts w:ascii="Arial" w:cs="Arial" w:eastAsia="Arial" w:hAnsi="Arial"/>
                  <w:sz w:val="18"/>
                  <w:szCs w:val="18"/>
                  <w:b w:val="1"/>
                  <w:bCs w:val="1"/>
                  <w:color w:val="auto"/>
                </w:rPr>
                <w:t>Part II</w:t>
              </w:r>
            </w:hyperlink>
          </w:p>
        </w:tc>
        <w:tc>
          <w:tcPr>
            <w:tcW w:w="9700" w:type="dxa"/>
            <w:vAlign w:val="bottom"/>
            <w:gridSpan w:val="2"/>
            <w:shd w:val="clear" w:color="auto" w:fill="CCEEFF"/>
          </w:tcPr>
          <w:p>
            <w:pPr>
              <w:ind w:left="60"/>
              <w:spacing w:after="0"/>
              <w:rPr>
                <w:rFonts w:ascii="Arial" w:cs="Arial" w:eastAsia="Arial" w:hAnsi="Arial"/>
                <w:sz w:val="18"/>
                <w:szCs w:val="18"/>
                <w:b w:val="1"/>
                <w:bCs w:val="1"/>
                <w:color w:val="auto"/>
              </w:rPr>
            </w:pPr>
            <w:hyperlink w:anchor="page50">
              <w:r>
                <w:rPr>
                  <w:rFonts w:ascii="Arial" w:cs="Arial" w:eastAsia="Arial" w:hAnsi="Arial"/>
                  <w:sz w:val="18"/>
                  <w:szCs w:val="18"/>
                  <w:b w:val="1"/>
                  <w:bCs w:val="1"/>
                  <w:color w:val="auto"/>
                </w:rPr>
                <w:t>OTHER INFORMATION</w:t>
              </w:r>
            </w:hyperlink>
          </w:p>
        </w:tc>
        <w:tc>
          <w:tcPr>
            <w:tcW w:w="620" w:type="dxa"/>
            <w:vAlign w:val="bottom"/>
            <w:shd w:val="clear" w:color="auto" w:fill="CCEEFF"/>
          </w:tcPr>
          <w:p>
            <w:pPr>
              <w:spacing w:after="0"/>
              <w:rPr>
                <w:sz w:val="19"/>
                <w:szCs w:val="19"/>
                <w:color w:val="auto"/>
              </w:rPr>
            </w:pPr>
          </w:p>
        </w:tc>
      </w:tr>
      <w:tr>
        <w:trPr>
          <w:trHeight w:val="229"/>
        </w:trPr>
        <w:tc>
          <w:tcPr>
            <w:tcW w:w="920" w:type="dxa"/>
            <w:vAlign w:val="bottom"/>
          </w:tcPr>
          <w:p>
            <w:pPr>
              <w:ind w:left="20"/>
              <w:spacing w:after="0"/>
              <w:rPr>
                <w:rFonts w:ascii="Arial" w:cs="Arial" w:eastAsia="Arial" w:hAnsi="Arial"/>
                <w:sz w:val="18"/>
                <w:szCs w:val="18"/>
                <w:color w:val="auto"/>
              </w:rPr>
            </w:pPr>
            <w:hyperlink w:anchor="page51">
              <w:r>
                <w:rPr>
                  <w:rFonts w:ascii="Arial" w:cs="Arial" w:eastAsia="Arial" w:hAnsi="Arial"/>
                  <w:sz w:val="18"/>
                  <w:szCs w:val="18"/>
                  <w:color w:val="auto"/>
                </w:rPr>
                <w:t>Item 1.</w:t>
              </w:r>
            </w:hyperlink>
          </w:p>
        </w:tc>
        <w:tc>
          <w:tcPr>
            <w:tcW w:w="9700" w:type="dxa"/>
            <w:vAlign w:val="bottom"/>
            <w:gridSpan w:val="2"/>
          </w:tcPr>
          <w:p>
            <w:pPr>
              <w:ind w:left="60"/>
              <w:spacing w:after="0"/>
              <w:rPr>
                <w:rFonts w:ascii="Arial" w:cs="Arial" w:eastAsia="Arial" w:hAnsi="Arial"/>
                <w:sz w:val="18"/>
                <w:szCs w:val="18"/>
                <w:color w:val="auto"/>
              </w:rPr>
            </w:pPr>
            <w:hyperlink w:anchor="page51">
              <w:r>
                <w:rPr>
                  <w:rFonts w:ascii="Arial" w:cs="Arial" w:eastAsia="Arial" w:hAnsi="Arial"/>
                  <w:sz w:val="18"/>
                  <w:szCs w:val="18"/>
                  <w:color w:val="auto"/>
                </w:rPr>
                <w:t>Legal Proceedings</w:t>
              </w:r>
            </w:hyperlink>
          </w:p>
        </w:tc>
        <w:tc>
          <w:tcPr>
            <w:tcW w:w="620" w:type="dxa"/>
            <w:vAlign w:val="bottom"/>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51</w:t>
              </w:r>
            </w:hyperlink>
          </w:p>
        </w:tc>
      </w:tr>
      <w:tr>
        <w:trPr>
          <w:trHeight w:val="229"/>
        </w:trPr>
        <w:tc>
          <w:tcPr>
            <w:tcW w:w="920" w:type="dxa"/>
            <w:vAlign w:val="bottom"/>
            <w:shd w:val="clear" w:color="auto" w:fill="CCEEFF"/>
          </w:tcPr>
          <w:p>
            <w:pPr>
              <w:ind w:left="20"/>
              <w:spacing w:after="0"/>
              <w:rPr>
                <w:rFonts w:ascii="Arial" w:cs="Arial" w:eastAsia="Arial" w:hAnsi="Arial"/>
                <w:sz w:val="18"/>
                <w:szCs w:val="18"/>
                <w:color w:val="auto"/>
              </w:rPr>
            </w:pPr>
            <w:hyperlink w:anchor="page51">
              <w:r>
                <w:rPr>
                  <w:rFonts w:ascii="Arial" w:cs="Arial" w:eastAsia="Arial" w:hAnsi="Arial"/>
                  <w:sz w:val="18"/>
                  <w:szCs w:val="18"/>
                  <w:color w:val="auto"/>
                </w:rPr>
                <w:t>Item 1A.</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51">
              <w:r>
                <w:rPr>
                  <w:rFonts w:ascii="Arial" w:cs="Arial" w:eastAsia="Arial" w:hAnsi="Arial"/>
                  <w:sz w:val="18"/>
                  <w:szCs w:val="18"/>
                  <w:color w:val="auto"/>
                </w:rPr>
                <w:t>Risk Factors</w:t>
              </w:r>
            </w:hyperlink>
          </w:p>
        </w:tc>
        <w:tc>
          <w:tcPr>
            <w:tcW w:w="620" w:type="dxa"/>
            <w:vAlign w:val="bottom"/>
            <w:shd w:val="clear" w:color="auto" w:fill="CCEEFF"/>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52</w:t>
              </w:r>
            </w:hyperlink>
          </w:p>
        </w:tc>
      </w:tr>
      <w:tr>
        <w:trPr>
          <w:trHeight w:val="230"/>
        </w:trPr>
        <w:tc>
          <w:tcPr>
            <w:tcW w:w="920" w:type="dxa"/>
            <w:vAlign w:val="bottom"/>
          </w:tcPr>
          <w:p>
            <w:pPr>
              <w:ind w:left="20"/>
              <w:spacing w:after="0"/>
              <w:rPr>
                <w:rFonts w:ascii="Arial" w:cs="Arial" w:eastAsia="Arial" w:hAnsi="Arial"/>
                <w:sz w:val="18"/>
                <w:szCs w:val="18"/>
                <w:color w:val="auto"/>
              </w:rPr>
            </w:pPr>
            <w:hyperlink w:anchor="page52">
              <w:r>
                <w:rPr>
                  <w:rFonts w:ascii="Arial" w:cs="Arial" w:eastAsia="Arial" w:hAnsi="Arial"/>
                  <w:sz w:val="18"/>
                  <w:szCs w:val="18"/>
                  <w:color w:val="auto"/>
                </w:rPr>
                <w:t>Item 2.</w:t>
              </w:r>
            </w:hyperlink>
          </w:p>
        </w:tc>
        <w:tc>
          <w:tcPr>
            <w:tcW w:w="9700" w:type="dxa"/>
            <w:vAlign w:val="bottom"/>
            <w:gridSpan w:val="2"/>
          </w:tcPr>
          <w:p>
            <w:pPr>
              <w:ind w:left="60"/>
              <w:spacing w:after="0"/>
              <w:rPr>
                <w:rFonts w:ascii="Arial" w:cs="Arial" w:eastAsia="Arial" w:hAnsi="Arial"/>
                <w:sz w:val="18"/>
                <w:szCs w:val="18"/>
                <w:color w:val="auto"/>
              </w:rPr>
            </w:pPr>
            <w:hyperlink w:anchor="page52">
              <w:r>
                <w:rPr>
                  <w:rFonts w:ascii="Arial" w:cs="Arial" w:eastAsia="Arial" w:hAnsi="Arial"/>
                  <w:sz w:val="18"/>
                  <w:szCs w:val="18"/>
                  <w:color w:val="auto"/>
                </w:rPr>
                <w:t>Unregistered Sales of Equity Securities and Use of Proceeds</w:t>
              </w:r>
            </w:hyperlink>
          </w:p>
        </w:tc>
        <w:tc>
          <w:tcPr>
            <w:tcW w:w="620" w:type="dxa"/>
            <w:vAlign w:val="bottom"/>
          </w:tcPr>
          <w:p>
            <w:pPr>
              <w:jc w:val="cente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53</w:t>
              </w:r>
            </w:hyperlink>
          </w:p>
        </w:tc>
      </w:tr>
      <w:tr>
        <w:trPr>
          <w:trHeight w:val="229"/>
        </w:trPr>
        <w:tc>
          <w:tcPr>
            <w:tcW w:w="920" w:type="dxa"/>
            <w:vAlign w:val="bottom"/>
            <w:shd w:val="clear" w:color="auto" w:fill="CCEEFF"/>
          </w:tcPr>
          <w:p>
            <w:pPr>
              <w:ind w:left="20"/>
              <w:spacing w:after="0"/>
              <w:rPr>
                <w:rFonts w:ascii="Arial" w:cs="Arial" w:eastAsia="Arial" w:hAnsi="Arial"/>
                <w:sz w:val="18"/>
                <w:szCs w:val="18"/>
                <w:color w:val="auto"/>
              </w:rPr>
            </w:pPr>
            <w:hyperlink w:anchor="page53">
              <w:r>
                <w:rPr>
                  <w:rFonts w:ascii="Arial" w:cs="Arial" w:eastAsia="Arial" w:hAnsi="Arial"/>
                  <w:sz w:val="18"/>
                  <w:szCs w:val="18"/>
                  <w:color w:val="auto"/>
                </w:rPr>
                <w:t>Item 3.</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53">
              <w:r>
                <w:rPr>
                  <w:rFonts w:ascii="Arial" w:cs="Arial" w:eastAsia="Arial" w:hAnsi="Arial"/>
                  <w:sz w:val="18"/>
                  <w:szCs w:val="18"/>
                  <w:color w:val="auto"/>
                </w:rPr>
                <w:t>Defaults Upon Senior Securities</w:t>
              </w:r>
            </w:hyperlink>
          </w:p>
        </w:tc>
        <w:tc>
          <w:tcPr>
            <w:tcW w:w="620" w:type="dxa"/>
            <w:vAlign w:val="bottom"/>
            <w:shd w:val="clear" w:color="auto" w:fill="CCEEFF"/>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53</w:t>
              </w:r>
            </w:hyperlink>
          </w:p>
        </w:tc>
      </w:tr>
      <w:tr>
        <w:trPr>
          <w:trHeight w:val="229"/>
        </w:trPr>
        <w:tc>
          <w:tcPr>
            <w:tcW w:w="920" w:type="dxa"/>
            <w:vAlign w:val="bottom"/>
          </w:tcPr>
          <w:p>
            <w:pPr>
              <w:ind w:left="20"/>
              <w:spacing w:after="0"/>
              <w:rPr>
                <w:rFonts w:ascii="Arial" w:cs="Arial" w:eastAsia="Arial" w:hAnsi="Arial"/>
                <w:sz w:val="18"/>
                <w:szCs w:val="18"/>
                <w:color w:val="auto"/>
              </w:rPr>
            </w:pPr>
            <w:hyperlink w:anchor="page53">
              <w:r>
                <w:rPr>
                  <w:rFonts w:ascii="Arial" w:cs="Arial" w:eastAsia="Arial" w:hAnsi="Arial"/>
                  <w:sz w:val="18"/>
                  <w:szCs w:val="18"/>
                  <w:color w:val="auto"/>
                </w:rPr>
                <w:t>Item 4.</w:t>
              </w:r>
            </w:hyperlink>
          </w:p>
        </w:tc>
        <w:tc>
          <w:tcPr>
            <w:tcW w:w="9700" w:type="dxa"/>
            <w:vAlign w:val="bottom"/>
            <w:gridSpan w:val="2"/>
          </w:tcPr>
          <w:p>
            <w:pPr>
              <w:ind w:left="60"/>
              <w:spacing w:after="0"/>
              <w:rPr>
                <w:rFonts w:ascii="Arial" w:cs="Arial" w:eastAsia="Arial" w:hAnsi="Arial"/>
                <w:sz w:val="18"/>
                <w:szCs w:val="18"/>
                <w:color w:val="auto"/>
              </w:rPr>
            </w:pPr>
            <w:hyperlink w:anchor="page53">
              <w:r>
                <w:rPr>
                  <w:rFonts w:ascii="Arial" w:cs="Arial" w:eastAsia="Arial" w:hAnsi="Arial"/>
                  <w:sz w:val="18"/>
                  <w:szCs w:val="18"/>
                  <w:color w:val="auto"/>
                </w:rPr>
                <w:t>Mine Safety Disclosures</w:t>
              </w:r>
            </w:hyperlink>
          </w:p>
        </w:tc>
        <w:tc>
          <w:tcPr>
            <w:tcW w:w="62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53</w:t>
              </w:r>
            </w:hyperlink>
          </w:p>
        </w:tc>
      </w:tr>
      <w:tr>
        <w:trPr>
          <w:trHeight w:val="230"/>
        </w:trPr>
        <w:tc>
          <w:tcPr>
            <w:tcW w:w="920" w:type="dxa"/>
            <w:vAlign w:val="bottom"/>
            <w:shd w:val="clear" w:color="auto" w:fill="CCEEFF"/>
          </w:tcPr>
          <w:p>
            <w:pPr>
              <w:ind w:left="20"/>
              <w:spacing w:after="0"/>
              <w:rPr>
                <w:rFonts w:ascii="Arial" w:cs="Arial" w:eastAsia="Arial" w:hAnsi="Arial"/>
                <w:sz w:val="18"/>
                <w:szCs w:val="18"/>
                <w:color w:val="auto"/>
              </w:rPr>
            </w:pPr>
            <w:hyperlink w:anchor="page53">
              <w:r>
                <w:rPr>
                  <w:rFonts w:ascii="Arial" w:cs="Arial" w:eastAsia="Arial" w:hAnsi="Arial"/>
                  <w:sz w:val="18"/>
                  <w:szCs w:val="18"/>
                  <w:color w:val="auto"/>
                </w:rPr>
                <w:t>Item 5.</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53">
              <w:r>
                <w:rPr>
                  <w:rFonts w:ascii="Arial" w:cs="Arial" w:eastAsia="Arial" w:hAnsi="Arial"/>
                  <w:sz w:val="18"/>
                  <w:szCs w:val="18"/>
                  <w:color w:val="auto"/>
                </w:rPr>
                <w:t>Other Information</w:t>
              </w:r>
            </w:hyperlink>
          </w:p>
        </w:tc>
        <w:tc>
          <w:tcPr>
            <w:tcW w:w="620" w:type="dxa"/>
            <w:vAlign w:val="bottom"/>
            <w:shd w:val="clear" w:color="auto" w:fill="CCEEFF"/>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53</w:t>
              </w:r>
            </w:hyperlink>
          </w:p>
        </w:tc>
      </w:tr>
      <w:tr>
        <w:trPr>
          <w:trHeight w:val="229"/>
        </w:trPr>
        <w:tc>
          <w:tcPr>
            <w:tcW w:w="920" w:type="dxa"/>
            <w:vAlign w:val="bottom"/>
          </w:tcPr>
          <w:p>
            <w:pPr>
              <w:ind w:left="20"/>
              <w:spacing w:after="0"/>
              <w:rPr>
                <w:rFonts w:ascii="Arial" w:cs="Arial" w:eastAsia="Arial" w:hAnsi="Arial"/>
                <w:sz w:val="18"/>
                <w:szCs w:val="18"/>
                <w:color w:val="auto"/>
              </w:rPr>
            </w:pPr>
            <w:hyperlink w:anchor="page53">
              <w:r>
                <w:rPr>
                  <w:rFonts w:ascii="Arial" w:cs="Arial" w:eastAsia="Arial" w:hAnsi="Arial"/>
                  <w:sz w:val="18"/>
                  <w:szCs w:val="18"/>
                  <w:color w:val="auto"/>
                </w:rPr>
                <w:t>Item 6.</w:t>
              </w:r>
            </w:hyperlink>
          </w:p>
        </w:tc>
        <w:tc>
          <w:tcPr>
            <w:tcW w:w="9700" w:type="dxa"/>
            <w:vAlign w:val="bottom"/>
            <w:gridSpan w:val="2"/>
          </w:tcPr>
          <w:p>
            <w:pPr>
              <w:ind w:left="60"/>
              <w:spacing w:after="0"/>
              <w:rPr>
                <w:rFonts w:ascii="Arial" w:cs="Arial" w:eastAsia="Arial" w:hAnsi="Arial"/>
                <w:sz w:val="18"/>
                <w:szCs w:val="18"/>
                <w:color w:val="auto"/>
              </w:rPr>
            </w:pPr>
            <w:hyperlink w:anchor="page53">
              <w:r>
                <w:rPr>
                  <w:rFonts w:ascii="Arial" w:cs="Arial" w:eastAsia="Arial" w:hAnsi="Arial"/>
                  <w:sz w:val="18"/>
                  <w:szCs w:val="18"/>
                  <w:color w:val="auto"/>
                </w:rPr>
                <w:t>Exhibits</w:t>
              </w:r>
            </w:hyperlink>
          </w:p>
        </w:tc>
        <w:tc>
          <w:tcPr>
            <w:tcW w:w="62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54</w:t>
              </w:r>
            </w:hyperlink>
          </w:p>
        </w:tc>
      </w:tr>
      <w:tr>
        <w:trPr>
          <w:trHeight w:val="230"/>
        </w:trPr>
        <w:tc>
          <w:tcPr>
            <w:tcW w:w="9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54">
              <w:r>
                <w:rPr>
                  <w:rFonts w:ascii="Arial" w:cs="Arial" w:eastAsia="Arial" w:hAnsi="Arial"/>
                  <w:sz w:val="18"/>
                  <w:szCs w:val="18"/>
                  <w:color w:val="auto"/>
                </w:rPr>
                <w:t>Signatures</w:t>
              </w:r>
            </w:hyperlink>
          </w:p>
        </w:tc>
        <w:tc>
          <w:tcPr>
            <w:tcW w:w="620" w:type="dxa"/>
            <w:vAlign w:val="bottom"/>
            <w:shd w:val="clear" w:color="auto" w:fill="CCEEFF"/>
          </w:tcPr>
          <w:p>
            <w:pPr>
              <w:jc w:val="center"/>
              <w:spacing w:after="0"/>
              <w:rPr>
                <w:rFonts w:ascii="Arial" w:cs="Arial" w:eastAsia="Arial" w:hAnsi="Arial"/>
                <w:sz w:val="18"/>
                <w:szCs w:val="18"/>
                <w:color w:val="auto"/>
                <w:w w:val="89"/>
              </w:rPr>
            </w:pPr>
            <w:hyperlink w:anchor="page54">
              <w:r>
                <w:rPr>
                  <w:rFonts w:ascii="Arial" w:cs="Arial" w:eastAsia="Arial" w:hAnsi="Arial"/>
                  <w:sz w:val="18"/>
                  <w:szCs w:val="18"/>
                  <w:color w:val="auto"/>
                  <w:w w:val="89"/>
                </w:rPr>
                <w:t>55</w:t>
              </w:r>
            </w:hyperlink>
          </w:p>
        </w:tc>
      </w:tr>
    </w:tbl>
    <w:p>
      <w:pPr>
        <w:spacing w:after="0" w:line="175"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For additional information about FactSet Research Systems Inc. and access to its Annual Reports to Stockholders and Securities and Exchange Commission filings, free of charge, please visit FactSet’s website (</w:t>
      </w:r>
      <w:r>
        <w:rPr>
          <w:rFonts w:ascii="Arial" w:cs="Arial" w:eastAsia="Arial" w:hAnsi="Arial"/>
          <w:sz w:val="18"/>
          <w:szCs w:val="18"/>
          <w:u w:val="single" w:color="auto"/>
          <w:color w:val="auto"/>
        </w:rPr>
        <w:t>https://investor.factset.com)</w:t>
      </w:r>
      <w:r>
        <w:rPr>
          <w:rFonts w:ascii="Arial" w:cs="Arial" w:eastAsia="Arial" w:hAnsi="Arial"/>
          <w:sz w:val="18"/>
          <w:szCs w:val="18"/>
          <w:color w:val="auto"/>
        </w:rPr>
        <w:t>. Any information on or linked from the website is not incorporated by reference into this Quarterly Report on Form 10-Q.</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5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2260" w:type="dxa"/>
            <w:vAlign w:val="bottom"/>
          </w:tcPr>
          <w:p>
            <w:pPr>
              <w:spacing w:after="0"/>
              <w:rPr>
                <w:sz w:val="24"/>
                <w:szCs w:val="24"/>
                <w:color w:val="auto"/>
              </w:rPr>
            </w:pPr>
          </w:p>
        </w:tc>
        <w:tc>
          <w:tcPr>
            <w:tcW w:w="430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2"/>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87"/>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4"/>
        </w:trPr>
        <w:tc>
          <w:tcPr>
            <w:tcW w:w="4800" w:type="dxa"/>
            <w:vAlign w:val="bottom"/>
            <w:gridSpan w:val="4"/>
          </w:tcPr>
          <w:p>
            <w:pPr>
              <w:spacing w:after="0"/>
              <w:rPr>
                <w:sz w:val="20"/>
                <w:szCs w:val="20"/>
                <w:color w:val="auto"/>
              </w:rPr>
            </w:pPr>
            <w:r>
              <w:rPr>
                <w:rFonts w:ascii="Arial" w:cs="Arial" w:eastAsia="Arial" w:hAnsi="Arial"/>
                <w:sz w:val="18"/>
                <w:szCs w:val="18"/>
                <w:b w:val="1"/>
                <w:bCs w:val="1"/>
                <w:color w:val="auto"/>
                <w:w w:val="98"/>
              </w:rPr>
              <w:t>CONSOLIDATED STATEMENTS OF INCOME – Unaudited</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40" w:type="dxa"/>
            <w:vAlign w:val="bottom"/>
            <w:gridSpan w:val="3"/>
          </w:tcPr>
          <w:p>
            <w:pPr>
              <w:jc w:val="right"/>
              <w:ind w:right="83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3"/>
                <w:szCs w:val="23"/>
                <w:color w:val="auto"/>
              </w:rPr>
            </w:pPr>
          </w:p>
        </w:tc>
        <w:tc>
          <w:tcPr>
            <w:tcW w:w="3100" w:type="dxa"/>
            <w:vAlign w:val="bottom"/>
            <w:gridSpan w:val="3"/>
          </w:tcPr>
          <w:p>
            <w:pPr>
              <w:jc w:val="right"/>
              <w:ind w:right="830"/>
              <w:spacing w:after="0"/>
              <w:rPr>
                <w:sz w:val="20"/>
                <w:szCs w:val="20"/>
                <w:color w:val="auto"/>
              </w:rPr>
            </w:pPr>
            <w:r>
              <w:rPr>
                <w:rFonts w:ascii="Arial" w:cs="Arial" w:eastAsia="Arial" w:hAnsi="Arial"/>
                <w:sz w:val="18"/>
                <w:szCs w:val="18"/>
                <w:color w:val="auto"/>
              </w:rPr>
              <w:t>Nine Months Ended</w:t>
            </w:r>
          </w:p>
        </w:tc>
      </w:tr>
      <w:tr>
        <w:trPr>
          <w:trHeight w:val="270"/>
        </w:trPr>
        <w:tc>
          <w:tcPr>
            <w:tcW w:w="35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w w:val="89"/>
              </w:rPr>
              <w:t>May 31, 2020</w:t>
            </w:r>
          </w:p>
        </w:tc>
        <w:tc>
          <w:tcPr>
            <w:tcW w:w="300" w:type="dxa"/>
            <w:vAlign w:val="bottom"/>
          </w:tcPr>
          <w:p>
            <w:pPr>
              <w:spacing w:after="0"/>
              <w:rPr>
                <w:sz w:val="23"/>
                <w:szCs w:val="23"/>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w w:val="98"/>
              </w:rPr>
              <w:t>May 31, 2019</w:t>
            </w:r>
          </w:p>
        </w:tc>
        <w:tc>
          <w:tcPr>
            <w:tcW w:w="300" w:type="dxa"/>
            <w:vAlign w:val="bottom"/>
          </w:tcPr>
          <w:p>
            <w:pPr>
              <w:spacing w:after="0"/>
              <w:rPr>
                <w:sz w:val="23"/>
                <w:szCs w:val="23"/>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w w:val="98"/>
              </w:rPr>
              <w:t>May 31, 2020</w:t>
            </w:r>
          </w:p>
        </w:tc>
        <w:tc>
          <w:tcPr>
            <w:tcW w:w="320" w:type="dxa"/>
            <w:vAlign w:val="bottom"/>
          </w:tcPr>
          <w:p>
            <w:pPr>
              <w:spacing w:after="0"/>
              <w:rPr>
                <w:sz w:val="23"/>
                <w:szCs w:val="23"/>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8"/>
              </w:rPr>
              <w:t>May 31, 2019</w:t>
            </w:r>
          </w:p>
        </w:tc>
      </w:tr>
      <w:tr>
        <w:trPr>
          <w:trHeight w:val="27"/>
        </w:trPr>
        <w:tc>
          <w:tcPr>
            <w:tcW w:w="35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374,083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364,533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1,110,521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1,071,068</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5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Cost of services</w:t>
            </w: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170,703</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163,832</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511,878</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495,716</w:t>
            </w:r>
          </w:p>
        </w:tc>
      </w:tr>
      <w:tr>
        <w:trPr>
          <w:trHeight w:val="243"/>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81,740</w:t>
            </w:r>
          </w:p>
        </w:tc>
        <w:tc>
          <w:tcPr>
            <w:tcW w:w="3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83,461</w:t>
            </w:r>
          </w:p>
        </w:tc>
        <w:tc>
          <w:tcPr>
            <w:tcW w:w="3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257,560</w:t>
            </w:r>
          </w:p>
        </w:tc>
        <w:tc>
          <w:tcPr>
            <w:tcW w:w="3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248,885</w:t>
            </w:r>
          </w:p>
        </w:tc>
      </w:tr>
      <w:tr>
        <w:trPr>
          <w:trHeight w:val="27"/>
        </w:trPr>
        <w:tc>
          <w:tcPr>
            <w:tcW w:w="354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252,443</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247,293</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769,438</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744,601</w:t>
            </w:r>
          </w:p>
        </w:tc>
      </w:tr>
      <w:tr>
        <w:trPr>
          <w:trHeight w:val="257"/>
        </w:trPr>
        <w:tc>
          <w:tcPr>
            <w:tcW w:w="3540" w:type="dxa"/>
            <w:vAlign w:val="bottom"/>
            <w:gridSpan w:val="2"/>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0"/>
        </w:trPr>
        <w:tc>
          <w:tcPr>
            <w:tcW w:w="35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Operating income</w:t>
            </w: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121,640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117,240</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341,083</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326,467</w:t>
            </w:r>
          </w:p>
        </w:tc>
      </w:tr>
      <w:tr>
        <w:trPr>
          <w:trHeight w:val="257"/>
        </w:trPr>
        <w:tc>
          <w:tcPr>
            <w:tcW w:w="3540" w:type="dxa"/>
            <w:vAlign w:val="bottom"/>
            <w:gridSpan w:val="2"/>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(2,211)</w:t>
            </w:r>
          </w:p>
        </w:tc>
        <w:tc>
          <w:tcPr>
            <w:tcW w:w="30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(4,377)</w:t>
            </w:r>
          </w:p>
        </w:tc>
        <w:tc>
          <w:tcPr>
            <w:tcW w:w="3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(8,003)</w:t>
            </w: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(13,046)</w:t>
            </w:r>
          </w:p>
        </w:tc>
      </w:tr>
      <w:tr>
        <w:trPr>
          <w:trHeight w:val="27"/>
        </w:trPr>
        <w:tc>
          <w:tcPr>
            <w:tcW w:w="35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(expense) income, net</w:t>
            </w:r>
          </w:p>
        </w:tc>
        <w:tc>
          <w:tcPr>
            <w:tcW w:w="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(289)</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521</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(2,090)</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w:t>
            </w:r>
          </w:p>
        </w:tc>
      </w:tr>
      <w:tr>
        <w:trPr>
          <w:trHeight w:val="237"/>
        </w:trPr>
        <w:tc>
          <w:tcPr>
            <w:tcW w:w="3540" w:type="dxa"/>
            <w:vAlign w:val="bottom"/>
            <w:gridSpan w:val="2"/>
          </w:tcPr>
          <w:p>
            <w:pPr>
              <w:ind w:left="660"/>
              <w:spacing w:after="0"/>
              <w:rPr>
                <w:sz w:val="20"/>
                <w:szCs w:val="20"/>
                <w:color w:val="auto"/>
              </w:rPr>
            </w:pPr>
            <w:r>
              <w:rPr>
                <w:rFonts w:ascii="Arial" w:cs="Arial" w:eastAsia="Arial" w:hAnsi="Arial"/>
                <w:sz w:val="18"/>
                <w:szCs w:val="18"/>
                <w:color w:val="auto"/>
              </w:rPr>
              <w:t>Income before income taxes</w:t>
            </w:r>
          </w:p>
        </w:tc>
        <w:tc>
          <w:tcPr>
            <w:tcW w:w="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119,140</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113,384</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330,990</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313,676</w:t>
            </w:r>
          </w:p>
        </w:tc>
      </w:tr>
      <w:tr>
        <w:trPr>
          <w:trHeight w:val="27"/>
        </w:trPr>
        <w:tc>
          <w:tcPr>
            <w:tcW w:w="35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3540" w:type="dxa"/>
            <w:vAlign w:val="bottom"/>
            <w:gridSpan w:val="2"/>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17,924</w:t>
            </w:r>
          </w:p>
        </w:tc>
        <w:tc>
          <w:tcPr>
            <w:tcW w:w="3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21,119</w:t>
            </w:r>
          </w:p>
        </w:tc>
        <w:tc>
          <w:tcPr>
            <w:tcW w:w="3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47,131</w:t>
            </w:r>
          </w:p>
        </w:tc>
        <w:tc>
          <w:tcPr>
            <w:tcW w:w="3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52,413</w:t>
            </w:r>
          </w:p>
        </w:tc>
      </w:tr>
      <w:tr>
        <w:trPr>
          <w:trHeight w:val="27"/>
        </w:trPr>
        <w:tc>
          <w:tcPr>
            <w:tcW w:w="354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3"/>
        </w:trPr>
        <w:tc>
          <w:tcPr>
            <w:tcW w:w="3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101,216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92,265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283,859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261,263</w:t>
            </w:r>
          </w:p>
        </w:tc>
      </w:tr>
      <w:tr>
        <w:trPr>
          <w:trHeight w:val="20"/>
        </w:trPr>
        <w:tc>
          <w:tcPr>
            <w:tcW w:w="354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6.85</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Diluted earnings per common share</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2.37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7.36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6.73</w:t>
            </w:r>
          </w:p>
        </w:tc>
      </w:tr>
      <w:tr>
        <w:trPr>
          <w:trHeight w:val="27"/>
        </w:trPr>
        <w:tc>
          <w:tcPr>
            <w:tcW w:w="35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3540" w:type="dxa"/>
            <w:vAlign w:val="bottom"/>
            <w:gridSpan w:val="2"/>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Basic weighted average common shares</w:t>
            </w: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37,885</w:t>
            </w:r>
          </w:p>
        </w:tc>
        <w:tc>
          <w:tcPr>
            <w:tcW w:w="3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38,223</w:t>
            </w:r>
          </w:p>
        </w:tc>
        <w:tc>
          <w:tcPr>
            <w:tcW w:w="3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37,912</w:t>
            </w:r>
          </w:p>
        </w:tc>
        <w:tc>
          <w:tcPr>
            <w:tcW w:w="3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38,128</w:t>
            </w:r>
          </w:p>
        </w:tc>
      </w:tr>
      <w:tr>
        <w:trPr>
          <w:trHeight w:val="27"/>
        </w:trPr>
        <w:tc>
          <w:tcPr>
            <w:tcW w:w="35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38,481</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38,993</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38,548</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38,807</w:t>
            </w:r>
          </w:p>
        </w:tc>
      </w:tr>
      <w:tr>
        <w:trPr>
          <w:trHeight w:val="27"/>
        </w:trPr>
        <w:tc>
          <w:tcPr>
            <w:tcW w:w="12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7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772"/>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6460" w:type="dxa"/>
            <w:vAlign w:val="bottom"/>
            <w:gridSpan w:val="4"/>
          </w:tcPr>
          <w:p>
            <w:pPr>
              <w:spacing w:after="0"/>
              <w:rPr>
                <w:sz w:val="20"/>
                <w:szCs w:val="20"/>
                <w:color w:val="auto"/>
              </w:rPr>
            </w:pPr>
            <w:r>
              <w:rPr>
                <w:rFonts w:ascii="Arial" w:cs="Arial" w:eastAsia="Arial" w:hAnsi="Arial"/>
                <w:sz w:val="18"/>
                <w:szCs w:val="18"/>
                <w:b w:val="1"/>
                <w:bCs w:val="1"/>
                <w:color w:val="auto"/>
                <w:w w:val="99"/>
              </w:rPr>
              <w:t>CONSOLIDATED STATEMENTS OF COMPREHENSIVE INCOME – Unaudited</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0" w:type="dxa"/>
            <w:vAlign w:val="bottom"/>
            <w:gridSpan w:val="3"/>
          </w:tcPr>
          <w:p>
            <w:pPr>
              <w:jc w:val="right"/>
              <w:ind w:right="75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23"/>
                <w:szCs w:val="23"/>
                <w:color w:val="auto"/>
              </w:rPr>
            </w:pPr>
          </w:p>
        </w:tc>
        <w:tc>
          <w:tcPr>
            <w:tcW w:w="2980" w:type="dxa"/>
            <w:vAlign w:val="bottom"/>
            <w:gridSpan w:val="3"/>
          </w:tcPr>
          <w:p>
            <w:pPr>
              <w:jc w:val="right"/>
              <w:ind w:right="770"/>
              <w:spacing w:after="0"/>
              <w:rPr>
                <w:sz w:val="20"/>
                <w:szCs w:val="20"/>
                <w:color w:val="auto"/>
              </w:rPr>
            </w:pPr>
            <w:r>
              <w:rPr>
                <w:rFonts w:ascii="Arial" w:cs="Arial" w:eastAsia="Arial" w:hAnsi="Arial"/>
                <w:sz w:val="18"/>
                <w:szCs w:val="18"/>
                <w:color w:val="auto"/>
              </w:rPr>
              <w:t>Nine Months Ended</w:t>
            </w:r>
          </w:p>
        </w:tc>
      </w:tr>
      <w:tr>
        <w:trPr>
          <w:trHeight w:val="270"/>
        </w:trPr>
        <w:tc>
          <w:tcPr>
            <w:tcW w:w="47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3"/>
                <w:szCs w:val="23"/>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w w:val="97"/>
              </w:rPr>
              <w:t>May 31, 2020</w:t>
            </w:r>
          </w:p>
        </w:tc>
        <w:tc>
          <w:tcPr>
            <w:tcW w:w="180" w:type="dxa"/>
            <w:vAlign w:val="bottom"/>
          </w:tcPr>
          <w:p>
            <w:pPr>
              <w:spacing w:after="0"/>
              <w:rPr>
                <w:sz w:val="23"/>
                <w:szCs w:val="23"/>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w w:val="97"/>
              </w:rPr>
              <w:t>May 31, 2019</w:t>
            </w:r>
          </w:p>
        </w:tc>
        <w:tc>
          <w:tcPr>
            <w:tcW w:w="280" w:type="dxa"/>
            <w:vAlign w:val="bottom"/>
          </w:tcPr>
          <w:p>
            <w:pPr>
              <w:spacing w:after="0"/>
              <w:rPr>
                <w:sz w:val="23"/>
                <w:szCs w:val="23"/>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w w:val="97"/>
              </w:rPr>
              <w:t>May 31, 2020</w:t>
            </w:r>
          </w:p>
        </w:tc>
        <w:tc>
          <w:tcPr>
            <w:tcW w:w="280" w:type="dxa"/>
            <w:vAlign w:val="bottom"/>
          </w:tcPr>
          <w:p>
            <w:pPr>
              <w:spacing w:after="0"/>
              <w:rPr>
                <w:sz w:val="23"/>
                <w:szCs w:val="23"/>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w w:val="97"/>
              </w:rPr>
              <w:t>May 31, 2019</w:t>
            </w:r>
          </w:p>
        </w:tc>
      </w:tr>
      <w:tr>
        <w:trPr>
          <w:trHeight w:val="27"/>
        </w:trPr>
        <w:tc>
          <w:tcPr>
            <w:tcW w:w="4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101,216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92,265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283,859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261,263</w:t>
            </w:r>
          </w:p>
        </w:tc>
      </w:tr>
      <w:tr>
        <w:trPr>
          <w:trHeight w:val="256"/>
        </w:trPr>
        <w:tc>
          <w:tcPr>
            <w:tcW w:w="478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gridSpan w:val="2"/>
          </w:tcPr>
          <w:p>
            <w:pPr>
              <w:ind w:left="340"/>
              <w:spacing w:after="0"/>
              <w:rPr>
                <w:sz w:val="20"/>
                <w:szCs w:val="20"/>
                <w:color w:val="auto"/>
              </w:rPr>
            </w:pPr>
            <w:r>
              <w:rPr>
                <w:rFonts w:ascii="Arial" w:cs="Arial" w:eastAsia="Arial" w:hAnsi="Arial"/>
                <w:sz w:val="18"/>
                <w:szCs w:val="18"/>
                <w:color w:val="auto"/>
              </w:rPr>
              <w:t>Net unrealized (loss) gain on cash flow hedges*</w:t>
            </w:r>
          </w:p>
        </w:tc>
        <w:tc>
          <w:tcPr>
            <w:tcW w:w="20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(3,948)</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(2,105)</w:t>
            </w: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1,405</w:t>
            </w:r>
          </w:p>
        </w:tc>
      </w:tr>
      <w:tr>
        <w:trPr>
          <w:trHeight w:val="27"/>
        </w:trPr>
        <w:tc>
          <w:tcPr>
            <w:tcW w:w="4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(4,633)</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(11,326)</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1,589</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(15,804)</w:t>
            </w:r>
          </w:p>
        </w:tc>
      </w:tr>
      <w:tr>
        <w:trPr>
          <w:trHeight w:val="237"/>
        </w:trPr>
        <w:tc>
          <w:tcPr>
            <w:tcW w:w="4780" w:type="dxa"/>
            <w:vAlign w:val="bottom"/>
            <w:gridSpan w:val="2"/>
          </w:tcPr>
          <w:p>
            <w:pPr>
              <w:ind w:left="78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(8,581)</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(11,486)</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(516)</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(14,399)</w:t>
            </w:r>
          </w:p>
        </w:tc>
      </w:tr>
      <w:tr>
        <w:trPr>
          <w:trHeight w:val="27"/>
        </w:trPr>
        <w:tc>
          <w:tcPr>
            <w:tcW w:w="47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9"/>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92,635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80,779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283,343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246,864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8"/>
        <w:spacing w:after="0" w:line="263"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three and nine months ended May 31, 2020, the net unrealized loss on cash flow hedges were net of a tax benefit of $1,337 thousand and $696 thousand, respectively. For the three and nine months ended May 31, 2019, the net unrealized loss and gain on cash flow hedges were net of a tax benefit of $65 thousand and a tax expense of $702 thousand,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9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 – Unaudited</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9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 except share data)</w:t>
            </w:r>
          </w:p>
        </w:tc>
        <w:tc>
          <w:tcPr>
            <w:tcW w:w="200" w:type="dxa"/>
            <w:vAlign w:val="bottom"/>
          </w:tcPr>
          <w:p>
            <w:pPr>
              <w:spacing w:after="0"/>
              <w:rPr>
                <w:sz w:val="23"/>
                <w:szCs w:val="23"/>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w w:val="98"/>
              </w:rPr>
              <w:t>May 31, 2020</w:t>
            </w:r>
          </w:p>
        </w:tc>
        <w:tc>
          <w:tcPr>
            <w:tcW w:w="260" w:type="dxa"/>
            <w:vAlign w:val="bottom"/>
          </w:tcPr>
          <w:p>
            <w:pPr>
              <w:spacing w:after="0"/>
              <w:rPr>
                <w:sz w:val="23"/>
                <w:szCs w:val="23"/>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w w:val="93"/>
              </w:rPr>
              <w:t>August 31, 2019</w:t>
            </w:r>
          </w:p>
        </w:tc>
        <w:tc>
          <w:tcPr>
            <w:tcW w:w="0" w:type="dxa"/>
            <w:vAlign w:val="bottom"/>
          </w:tcPr>
          <w:p>
            <w:pPr>
              <w:spacing w:after="0"/>
              <w:rPr>
                <w:sz w:val="1"/>
                <w:szCs w:val="1"/>
                <w:color w:val="auto"/>
              </w:rPr>
            </w:pPr>
          </w:p>
        </w:tc>
      </w:tr>
      <w:tr>
        <w:trPr>
          <w:trHeight w:val="27"/>
        </w:trPr>
        <w:tc>
          <w:tcPr>
            <w:tcW w:w="7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457,707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359,799</w:t>
            </w:r>
          </w:p>
        </w:tc>
        <w:tc>
          <w:tcPr>
            <w:tcW w:w="0" w:type="dxa"/>
            <w:vAlign w:val="bottom"/>
          </w:tcPr>
          <w:p>
            <w:pPr>
              <w:spacing w:after="0"/>
              <w:rPr>
                <w:sz w:val="1"/>
                <w:szCs w:val="1"/>
                <w:color w:val="auto"/>
              </w:rPr>
            </w:pPr>
          </w:p>
        </w:tc>
      </w:tr>
      <w:tr>
        <w:trPr>
          <w:trHeight w:val="27"/>
        </w:trPr>
        <w:tc>
          <w:tcPr>
            <w:tcW w:w="7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22,606</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25,813</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 of reserves of $7,357 at May 31, 2020 and $10,511 at August 31, 2019</w:t>
            </w: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151,398</w:t>
            </w:r>
          </w:p>
        </w:tc>
        <w:tc>
          <w:tcPr>
            <w:tcW w:w="26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146,309</w:t>
            </w:r>
          </w:p>
        </w:tc>
        <w:tc>
          <w:tcPr>
            <w:tcW w:w="0" w:type="dxa"/>
            <w:vAlign w:val="bottom"/>
          </w:tcPr>
          <w:p>
            <w:pPr>
              <w:spacing w:after="0"/>
              <w:rPr>
                <w:sz w:val="1"/>
                <w:szCs w:val="1"/>
                <w:color w:val="auto"/>
              </w:rPr>
            </w:pPr>
          </w:p>
        </w:tc>
      </w:tr>
      <w:tr>
        <w:trPr>
          <w:trHeight w:val="27"/>
        </w:trPr>
        <w:tc>
          <w:tcPr>
            <w:tcW w:w="7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Prepaid taxes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42,250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15,033</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34,468</w:t>
            </w:r>
          </w:p>
        </w:tc>
        <w:tc>
          <w:tcPr>
            <w:tcW w:w="26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36,858</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708,429</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583,812</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Property, equipment and leasehold improvements, net</w:t>
            </w: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136,655</w:t>
            </w:r>
          </w:p>
        </w:tc>
        <w:tc>
          <w:tcPr>
            <w:tcW w:w="26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119,384</w:t>
            </w:r>
          </w:p>
        </w:tc>
        <w:tc>
          <w:tcPr>
            <w:tcW w:w="0" w:type="dxa"/>
            <w:vAlign w:val="bottom"/>
          </w:tcPr>
          <w:p>
            <w:pPr>
              <w:spacing w:after="0"/>
              <w:rPr>
                <w:sz w:val="1"/>
                <w:szCs w:val="1"/>
                <w:color w:val="auto"/>
              </w:rPr>
            </w:pPr>
          </w:p>
        </w:tc>
      </w:tr>
      <w:tr>
        <w:trPr>
          <w:trHeight w:val="27"/>
        </w:trPr>
        <w:tc>
          <w:tcPr>
            <w:tcW w:w="7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688,484</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685,729</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127,207</w:t>
            </w:r>
          </w:p>
        </w:tc>
        <w:tc>
          <w:tcPr>
            <w:tcW w:w="26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133,691</w:t>
            </w:r>
          </w:p>
        </w:tc>
        <w:tc>
          <w:tcPr>
            <w:tcW w:w="0" w:type="dxa"/>
            <w:vAlign w:val="bottom"/>
          </w:tcPr>
          <w:p>
            <w:pPr>
              <w:spacing w:after="0"/>
              <w:rPr>
                <w:sz w:val="1"/>
                <w:szCs w:val="1"/>
                <w:color w:val="auto"/>
              </w:rPr>
            </w:pPr>
          </w:p>
        </w:tc>
      </w:tr>
      <w:tr>
        <w:trPr>
          <w:trHeight w:val="27"/>
        </w:trPr>
        <w:tc>
          <w:tcPr>
            <w:tcW w:w="7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Deferred taxes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20"/>
              <w:spacing w:after="0"/>
              <w:rPr>
                <w:sz w:val="20"/>
                <w:szCs w:val="20"/>
                <w:color w:val="auto"/>
              </w:rPr>
            </w:pPr>
            <w:r>
              <w:rPr>
                <w:rFonts w:ascii="Arial" w:cs="Arial" w:eastAsia="Arial" w:hAnsi="Arial"/>
                <w:sz w:val="18"/>
                <w:szCs w:val="18"/>
                <w:color w:val="auto"/>
              </w:rPr>
              <w:t>Lease right-of-use assets, net</w:t>
            </w: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254,391</w:t>
            </w:r>
          </w:p>
        </w:tc>
        <w:tc>
          <w:tcPr>
            <w:tcW w:w="26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32,539</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29,943</w:t>
            </w:r>
          </w:p>
        </w:tc>
        <w:tc>
          <w:tcPr>
            <w:tcW w:w="0" w:type="dxa"/>
            <w:vAlign w:val="bottom"/>
          </w:tcPr>
          <w:p>
            <w:pPr>
              <w:spacing w:after="0"/>
              <w:rPr>
                <w:sz w:val="1"/>
                <w:szCs w:val="1"/>
                <w:color w:val="auto"/>
              </w:rPr>
            </w:pPr>
          </w:p>
        </w:tc>
      </w:tr>
      <w:tr>
        <w:trPr>
          <w:trHeight w:val="263"/>
        </w:trPr>
        <w:tc>
          <w:tcPr>
            <w:tcW w:w="7920" w:type="dxa"/>
            <w:vAlign w:val="bottom"/>
            <w:gridSpan w:val="2"/>
          </w:tcPr>
          <w:p>
            <w:pPr>
              <w:ind w:left="9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1,947,705</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1,560,130</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80,048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79,620</w:t>
            </w:r>
          </w:p>
        </w:tc>
        <w:tc>
          <w:tcPr>
            <w:tcW w:w="0" w:type="dxa"/>
            <w:vAlign w:val="bottom"/>
          </w:tcPr>
          <w:p>
            <w:pPr>
              <w:spacing w:after="0"/>
              <w:rPr>
                <w:sz w:val="1"/>
                <w:szCs w:val="1"/>
                <w:color w:val="auto"/>
              </w:rPr>
            </w:pPr>
          </w:p>
        </w:tc>
      </w:tr>
      <w:tr>
        <w:trPr>
          <w:trHeight w:val="27"/>
        </w:trPr>
        <w:tc>
          <w:tcPr>
            <w:tcW w:w="7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Current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29,225</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50,114</w:t>
            </w:r>
          </w:p>
        </w:tc>
        <w:tc>
          <w:tcPr>
            <w:tcW w:w="26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64,202</w:t>
            </w:r>
          </w:p>
        </w:tc>
        <w:tc>
          <w:tcPr>
            <w:tcW w:w="0" w:type="dxa"/>
            <w:vAlign w:val="bottom"/>
          </w:tcPr>
          <w:p>
            <w:pPr>
              <w:spacing w:after="0"/>
              <w:rPr>
                <w:sz w:val="1"/>
                <w:szCs w:val="1"/>
                <w:color w:val="auto"/>
              </w:rPr>
            </w:pPr>
          </w:p>
        </w:tc>
      </w:tr>
      <w:tr>
        <w:trPr>
          <w:trHeight w:val="27"/>
        </w:trPr>
        <w:tc>
          <w:tcPr>
            <w:tcW w:w="7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Deferred fees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58,725</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47,656</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Dividends payable</w:t>
            </w: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29,188</w:t>
            </w:r>
          </w:p>
        </w:tc>
        <w:tc>
          <w:tcPr>
            <w:tcW w:w="26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27,445</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247,300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218,923</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574,309</w:t>
            </w:r>
          </w:p>
        </w:tc>
        <w:tc>
          <w:tcPr>
            <w:tcW w:w="26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574,174</w:t>
            </w:r>
          </w:p>
        </w:tc>
        <w:tc>
          <w:tcPr>
            <w:tcW w:w="0" w:type="dxa"/>
            <w:vAlign w:val="bottom"/>
          </w:tcPr>
          <w:p>
            <w:pPr>
              <w:spacing w:after="0"/>
              <w:rPr>
                <w:sz w:val="1"/>
                <w:szCs w:val="1"/>
                <w:color w:val="auto"/>
              </w:rPr>
            </w:pPr>
          </w:p>
        </w:tc>
      </w:tr>
      <w:tr>
        <w:trPr>
          <w:trHeight w:val="27"/>
        </w:trPr>
        <w:tc>
          <w:tcPr>
            <w:tcW w:w="7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Deferred taxes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15,502</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16,391</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Deferred fees</w:t>
            </w: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8,885</w:t>
            </w:r>
          </w:p>
        </w:tc>
        <w:tc>
          <w:tcPr>
            <w:tcW w:w="26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10,088</w:t>
            </w:r>
          </w:p>
        </w:tc>
        <w:tc>
          <w:tcPr>
            <w:tcW w:w="0" w:type="dxa"/>
            <w:vAlign w:val="bottom"/>
          </w:tcPr>
          <w:p>
            <w:pPr>
              <w:spacing w:after="0"/>
              <w:rPr>
                <w:sz w:val="1"/>
                <w:szCs w:val="1"/>
                <w:color w:val="auto"/>
              </w:rPr>
            </w:pPr>
          </w:p>
        </w:tc>
      </w:tr>
      <w:tr>
        <w:trPr>
          <w:trHeight w:val="27"/>
        </w:trPr>
        <w:tc>
          <w:tcPr>
            <w:tcW w:w="7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26,816</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26,292</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20"/>
              <w:spacing w:after="0"/>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276,019</w:t>
            </w:r>
          </w:p>
        </w:tc>
        <w:tc>
          <w:tcPr>
            <w:tcW w:w="26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5,916</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42,006</w:t>
            </w:r>
          </w:p>
        </w:tc>
        <w:tc>
          <w:tcPr>
            <w:tcW w:w="0" w:type="dxa"/>
            <w:vAlign w:val="bottom"/>
          </w:tcPr>
          <w:p>
            <w:pPr>
              <w:spacing w:after="0"/>
              <w:rPr>
                <w:sz w:val="1"/>
                <w:szCs w:val="1"/>
                <w:color w:val="auto"/>
              </w:rPr>
            </w:pPr>
          </w:p>
        </w:tc>
      </w:tr>
      <w:tr>
        <w:trPr>
          <w:trHeight w:val="263"/>
        </w:trPr>
        <w:tc>
          <w:tcPr>
            <w:tcW w:w="7920" w:type="dxa"/>
            <w:vAlign w:val="bottom"/>
            <w:gridSpan w:val="2"/>
          </w:tcPr>
          <w:p>
            <w:pPr>
              <w:ind w:left="80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1,154,747</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887,874</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color w:val="auto"/>
                <w:highlight w:val="white"/>
              </w:rPr>
              <w:t>(see Note 16)</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9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89"/>
              </w:rPr>
              <w:t>Common stock, $0.01 par value, 150,000,000 shares authorized, 40,556,920 and 40,104,192 shares issued,</w:t>
            </w:r>
          </w:p>
        </w:tc>
        <w:tc>
          <w:tcPr>
            <w:tcW w:w="200" w:type="dxa"/>
            <w:vAlign w:val="bottom"/>
          </w:tcPr>
          <w:p>
            <w:pPr>
              <w:spacing w:after="0"/>
              <w:rPr>
                <w:sz w:val="15"/>
                <w:szCs w:val="15"/>
                <w:color w:val="auto"/>
              </w:rPr>
            </w:pPr>
          </w:p>
        </w:tc>
        <w:tc>
          <w:tcPr>
            <w:tcW w:w="1400" w:type="dxa"/>
            <w:vAlign w:val="bottom"/>
            <w:vMerge w:val="restart"/>
          </w:tcPr>
          <w:p>
            <w:pPr>
              <w:jc w:val="right"/>
              <w:ind w:right="70"/>
              <w:spacing w:after="0"/>
              <w:rPr>
                <w:sz w:val="20"/>
                <w:szCs w:val="20"/>
                <w:color w:val="auto"/>
              </w:rPr>
            </w:pPr>
            <w:r>
              <w:rPr>
                <w:rFonts w:ascii="Arial" w:cs="Arial" w:eastAsia="Arial" w:hAnsi="Arial"/>
                <w:sz w:val="18"/>
                <w:szCs w:val="18"/>
                <w:color w:val="auto"/>
              </w:rPr>
              <w:t>406</w:t>
            </w:r>
          </w:p>
        </w:tc>
        <w:tc>
          <w:tcPr>
            <w:tcW w:w="260" w:type="dxa"/>
            <w:vAlign w:val="bottom"/>
          </w:tcPr>
          <w:p>
            <w:pPr>
              <w:spacing w:after="0"/>
              <w:rPr>
                <w:sz w:val="15"/>
                <w:szCs w:val="15"/>
                <w:color w:val="auto"/>
              </w:rPr>
            </w:pPr>
          </w:p>
        </w:tc>
        <w:tc>
          <w:tcPr>
            <w:tcW w:w="1440" w:type="dxa"/>
            <w:vAlign w:val="bottom"/>
            <w:vMerge w:val="restart"/>
          </w:tcPr>
          <w:p>
            <w:pPr>
              <w:jc w:val="right"/>
              <w:ind w:right="7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7920" w:type="dxa"/>
            <w:vAlign w:val="bottom"/>
            <w:gridSpan w:val="2"/>
          </w:tcPr>
          <w:p>
            <w:pPr>
              <w:ind w:left="140"/>
              <w:spacing w:after="0"/>
              <w:rPr>
                <w:sz w:val="20"/>
                <w:szCs w:val="20"/>
                <w:color w:val="auto"/>
              </w:rPr>
            </w:pPr>
            <w:r>
              <w:rPr>
                <w:rFonts w:ascii="Arial" w:cs="Arial" w:eastAsia="Arial" w:hAnsi="Arial"/>
                <w:sz w:val="18"/>
                <w:szCs w:val="18"/>
                <w:color w:val="auto"/>
                <w:w w:val="98"/>
              </w:rPr>
              <w:t>37,907,127 and 38,117,840 shares outstanding at May 31, 2020 and August 31, 2019, respectively</w:t>
            </w: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900,663</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806,973</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Arial" w:cs="Arial" w:eastAsia="Arial" w:hAnsi="Arial"/>
                <w:sz w:val="18"/>
                <w:szCs w:val="18"/>
                <w:color w:val="auto"/>
                <w:w w:val="90"/>
              </w:rPr>
              <w:t>Treasury stock, at cost: 2,649,793 and 1,986,352 shares at May 31, 2020 and August 31, 2019, respectively</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(606,405)</w:t>
            </w:r>
          </w:p>
        </w:tc>
        <w:tc>
          <w:tcPr>
            <w:tcW w:w="2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(433,799)</w:t>
            </w:r>
          </w:p>
        </w:tc>
        <w:tc>
          <w:tcPr>
            <w:tcW w:w="0" w:type="dxa"/>
            <w:vAlign w:val="bottom"/>
          </w:tcPr>
          <w:p>
            <w:pPr>
              <w:spacing w:after="0"/>
              <w:rPr>
                <w:sz w:val="1"/>
                <w:szCs w:val="1"/>
                <w:color w:val="auto"/>
              </w:rPr>
            </w:pPr>
          </w:p>
        </w:tc>
      </w:tr>
      <w:tr>
        <w:trPr>
          <w:trHeight w:val="27"/>
        </w:trPr>
        <w:tc>
          <w:tcPr>
            <w:tcW w:w="7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573,354</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373,225</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(75,060)</w:t>
            </w:r>
          </w:p>
        </w:tc>
        <w:tc>
          <w:tcPr>
            <w:tcW w:w="2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(74,544)</w:t>
            </w:r>
          </w:p>
        </w:tc>
        <w:tc>
          <w:tcPr>
            <w:tcW w:w="0" w:type="dxa"/>
            <w:vAlign w:val="bottom"/>
          </w:tcPr>
          <w:p>
            <w:pPr>
              <w:spacing w:after="0"/>
              <w:rPr>
                <w:sz w:val="1"/>
                <w:szCs w:val="1"/>
                <w:color w:val="auto"/>
              </w:rPr>
            </w:pPr>
          </w:p>
        </w:tc>
      </w:tr>
      <w:tr>
        <w:trPr>
          <w:trHeight w:val="27"/>
        </w:trPr>
        <w:tc>
          <w:tcPr>
            <w:tcW w:w="79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792,958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672,256</w:t>
            </w:r>
          </w:p>
        </w:tc>
        <w:tc>
          <w:tcPr>
            <w:tcW w:w="0" w:type="dxa"/>
            <w:vAlign w:val="bottom"/>
          </w:tcPr>
          <w:p>
            <w:pPr>
              <w:spacing w:after="0"/>
              <w:rPr>
                <w:sz w:val="1"/>
                <w:szCs w:val="1"/>
                <w:color w:val="auto"/>
              </w:rPr>
            </w:pPr>
          </w:p>
        </w:tc>
      </w:tr>
      <w:tr>
        <w:trPr>
          <w:trHeight w:val="270"/>
        </w:trPr>
        <w:tc>
          <w:tcPr>
            <w:tcW w:w="79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1,947,705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1,560,130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772"/>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FactSet Research Systems Inc.</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 – Unaudited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80" w:type="dxa"/>
            <w:vAlign w:val="bottom"/>
            <w:gridSpan w:val="3"/>
          </w:tcPr>
          <w:p>
            <w:pPr>
              <w:jc w:val="right"/>
              <w:ind w:right="710"/>
              <w:spacing w:after="0"/>
              <w:rPr>
                <w:sz w:val="20"/>
                <w:szCs w:val="20"/>
                <w:color w:val="auto"/>
              </w:rPr>
            </w:pPr>
            <w:r>
              <w:rPr>
                <w:rFonts w:ascii="Arial" w:cs="Arial" w:eastAsia="Arial" w:hAnsi="Arial"/>
                <w:sz w:val="18"/>
                <w:szCs w:val="18"/>
                <w:color w:val="auto"/>
              </w:rPr>
              <w:t>Nine Months Ended</w:t>
            </w:r>
          </w:p>
        </w:tc>
      </w:tr>
      <w:tr>
        <w:trPr>
          <w:trHeight w:val="27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5"/>
              </w:rPr>
              <w:t>May 31, 2020</w:t>
            </w:r>
          </w:p>
        </w:tc>
        <w:tc>
          <w:tcPr>
            <w:tcW w:w="28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5"/>
              </w:rPr>
              <w:t>May 31, 2019</w:t>
            </w:r>
          </w:p>
        </w:tc>
      </w:tr>
      <w:tr>
        <w:trPr>
          <w:trHeight w:val="27"/>
        </w:trPr>
        <w:tc>
          <w:tcPr>
            <w:tcW w:w="8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283,859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261,263</w:t>
            </w:r>
          </w:p>
        </w:tc>
      </w:tr>
      <w:tr>
        <w:trPr>
          <w:trHeight w:val="27"/>
        </w:trPr>
        <w:tc>
          <w:tcPr>
            <w:tcW w:w="8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41,333</w:t>
            </w:r>
          </w:p>
        </w:tc>
        <w:tc>
          <w:tcPr>
            <w:tcW w:w="2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43,943</w:t>
            </w:r>
          </w:p>
        </w:tc>
      </w:tr>
      <w:tr>
        <w:trPr>
          <w:trHeight w:val="27"/>
        </w:trPr>
        <w:tc>
          <w:tcPr>
            <w:tcW w:w="8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28,372</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24,135</w:t>
            </w:r>
          </w:p>
        </w:tc>
      </w:tr>
      <w:tr>
        <w:trPr>
          <w:trHeight w:val="243"/>
        </w:trPr>
        <w:tc>
          <w:tcPr>
            <w:tcW w:w="8180" w:type="dxa"/>
            <w:vAlign w:val="bottom"/>
            <w:gridSpan w:val="2"/>
          </w:tcPr>
          <w:p>
            <w:pPr>
              <w:ind w:left="1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7,230</w:t>
            </w:r>
          </w:p>
        </w:tc>
        <w:tc>
          <w:tcPr>
            <w:tcW w:w="2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1,294</w:t>
            </w:r>
          </w:p>
        </w:tc>
      </w:tr>
      <w:tr>
        <w:trPr>
          <w:trHeight w:val="27"/>
        </w:trPr>
        <w:tc>
          <w:tcPr>
            <w:tcW w:w="8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Loss on sale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w:t>
            </w:r>
          </w:p>
        </w:tc>
      </w:tr>
      <w:tr>
        <w:trPr>
          <w:trHeight w:val="243"/>
        </w:trPr>
        <w:tc>
          <w:tcPr>
            <w:tcW w:w="8180" w:type="dxa"/>
            <w:vAlign w:val="bottom"/>
            <w:gridSpan w:val="2"/>
          </w:tcPr>
          <w:p>
            <w:pPr>
              <w:ind w:left="120"/>
              <w:spacing w:after="0"/>
              <w:rPr>
                <w:sz w:val="20"/>
                <w:szCs w:val="20"/>
                <w:color w:val="auto"/>
              </w:rPr>
            </w:pPr>
            <w:r>
              <w:rPr>
                <w:rFonts w:ascii="Arial" w:cs="Arial" w:eastAsia="Arial" w:hAnsi="Arial"/>
                <w:sz w:val="18"/>
                <w:szCs w:val="18"/>
                <w:color w:val="auto"/>
              </w:rPr>
              <w:t>Changes in assets and liabilities, net of effects of acquisitions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 of reserves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(5,091)</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3,112</w:t>
            </w:r>
          </w:p>
        </w:tc>
      </w:tr>
      <w:tr>
        <w:trPr>
          <w:trHeight w:val="243"/>
        </w:trPr>
        <w:tc>
          <w:tcPr>
            <w:tcW w:w="818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10,400</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(4,783)</w:t>
            </w:r>
          </w:p>
        </w:tc>
      </w:tr>
      <w:tr>
        <w:trPr>
          <w:trHeight w:val="27"/>
        </w:trPr>
        <w:tc>
          <w:tcPr>
            <w:tcW w:w="8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(14,154)</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(23,672)</w:t>
            </w:r>
          </w:p>
        </w:tc>
      </w:tr>
      <w:tr>
        <w:trPr>
          <w:trHeight w:val="243"/>
        </w:trPr>
        <w:tc>
          <w:tcPr>
            <w:tcW w:w="8180" w:type="dxa"/>
            <w:vAlign w:val="bottom"/>
            <w:gridSpan w:val="2"/>
          </w:tcPr>
          <w:p>
            <w:pPr>
              <w:ind w:left="340"/>
              <w:spacing w:after="0"/>
              <w:rPr>
                <w:sz w:val="20"/>
                <w:szCs w:val="20"/>
                <w:color w:val="auto"/>
              </w:rPr>
            </w:pPr>
            <w:r>
              <w:rPr>
                <w:rFonts w:ascii="Arial" w:cs="Arial" w:eastAsia="Arial" w:hAnsi="Arial"/>
                <w:sz w:val="18"/>
                <w:szCs w:val="18"/>
                <w:color w:val="auto"/>
              </w:rPr>
              <w:t>Deferred fees</w:t>
            </w: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9,856</w:t>
            </w:r>
          </w:p>
        </w:tc>
        <w:tc>
          <w:tcPr>
            <w:tcW w:w="2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4,826</w:t>
            </w:r>
          </w:p>
        </w:tc>
      </w:tr>
      <w:tr>
        <w:trPr>
          <w:trHeight w:val="27"/>
        </w:trPr>
        <w:tc>
          <w:tcPr>
            <w:tcW w:w="8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Taxes payable, net of prepaid taxes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(27,088)</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(2,232)</w:t>
            </w:r>
          </w:p>
        </w:tc>
      </w:tr>
      <w:tr>
        <w:trPr>
          <w:trHeight w:val="243"/>
        </w:trPr>
        <w:tc>
          <w:tcPr>
            <w:tcW w:w="8180" w:type="dxa"/>
            <w:vAlign w:val="bottom"/>
            <w:gridSpan w:val="2"/>
          </w:tcPr>
          <w:p>
            <w:pPr>
              <w:ind w:left="12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11,530</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(2,757)</w:t>
            </w:r>
          </w:p>
        </w:tc>
      </w:tr>
      <w:tr>
        <w:trPr>
          <w:trHeight w:val="27"/>
        </w:trPr>
        <w:tc>
          <w:tcPr>
            <w:tcW w:w="81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346,413</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305,324</w:t>
            </w:r>
          </w:p>
        </w:tc>
      </w:tr>
      <w:tr>
        <w:trPr>
          <w:trHeight w:val="20"/>
        </w:trPr>
        <w:tc>
          <w:tcPr>
            <w:tcW w:w="12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INVESTING ACTIVITIES</w:t>
      </w:r>
    </w:p>
    <w:p>
      <w:pPr>
        <w:sectPr>
          <w:pgSz w:w="11900" w:h="16838" w:orient="portrait"/>
          <w:cols w:equalWidth="0" w:num="1">
            <w:col w:w="11240"/>
          </w:cols>
          <w:pgMar w:left="320" w:top="108" w:right="339" w:bottom="1440" w:gutter="0" w:footer="0" w:header="0"/>
        </w:sectPr>
      </w:pPr>
    </w:p>
    <w:p>
      <w:pPr>
        <w:spacing w:after="0" w:line="67" w:lineRule="exact"/>
        <w:rPr>
          <w:sz w:val="20"/>
          <w:szCs w:val="20"/>
          <w:color w:val="auto"/>
        </w:rPr>
      </w:pPr>
    </w:p>
    <w:p>
      <w:pPr>
        <w:ind w:left="20" w:right="60"/>
        <w:spacing w:after="0" w:line="277" w:lineRule="auto"/>
        <w:rPr>
          <w:sz w:val="20"/>
          <w:szCs w:val="20"/>
          <w:color w:val="auto"/>
        </w:rPr>
      </w:pPr>
      <w:r>
        <w:rPr>
          <w:rFonts w:ascii="Arial" w:cs="Arial" w:eastAsia="Arial" w:hAnsi="Arial"/>
          <w:sz w:val="18"/>
          <w:szCs w:val="18"/>
          <w:color w:val="auto"/>
        </w:rPr>
        <w:t>Purchases of property, equipment, leasehold improvements and intangible assets, net of proceeds from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Purchases of investments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maturity or sale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60" w:type="dxa"/>
            <w:vAlign w:val="bottom"/>
          </w:tcPr>
          <w:p>
            <w:pPr>
              <w:jc w:val="right"/>
              <w:ind w:right="390"/>
              <w:spacing w:after="0"/>
              <w:rPr>
                <w:sz w:val="20"/>
                <w:szCs w:val="20"/>
                <w:color w:val="auto"/>
              </w:rPr>
            </w:pPr>
            <w:r>
              <w:rPr>
                <w:rFonts w:ascii="Arial" w:cs="Arial" w:eastAsia="Arial" w:hAnsi="Arial"/>
                <w:sz w:val="18"/>
                <w:szCs w:val="18"/>
                <w:color w:val="auto"/>
              </w:rPr>
              <w:t>(62,909)</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(32,906)</w:t>
            </w:r>
          </w:p>
        </w:tc>
      </w:tr>
      <w:tr>
        <w:trPr>
          <w:trHeight w:val="378"/>
        </w:trPr>
        <w:tc>
          <w:tcPr>
            <w:tcW w:w="1860" w:type="dxa"/>
            <w:vAlign w:val="bottom"/>
          </w:tcPr>
          <w:p>
            <w:pPr>
              <w:jc w:val="right"/>
              <w:ind w:right="390"/>
              <w:spacing w:after="0"/>
              <w:rPr>
                <w:sz w:val="20"/>
                <w:szCs w:val="20"/>
                <w:color w:val="auto"/>
              </w:rPr>
            </w:pPr>
            <w:r>
              <w:rPr>
                <w:rFonts w:ascii="Arial" w:cs="Arial" w:eastAsia="Arial" w:hAnsi="Arial"/>
                <w:sz w:val="18"/>
                <w:szCs w:val="18"/>
                <w:color w:val="auto"/>
              </w:rPr>
              <w:t>(2,736)</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(8,180)</w:t>
            </w:r>
          </w:p>
        </w:tc>
      </w:tr>
      <w:tr>
        <w:trPr>
          <w:trHeight w:val="270"/>
        </w:trPr>
        <w:tc>
          <w:tcPr>
            <w:tcW w:w="1860" w:type="dxa"/>
            <w:vAlign w:val="bottom"/>
          </w:tcPr>
          <w:p>
            <w:pPr>
              <w:jc w:val="right"/>
              <w:ind w:right="450"/>
              <w:spacing w:after="0"/>
              <w:rPr>
                <w:sz w:val="20"/>
                <w:szCs w:val="20"/>
                <w:color w:val="auto"/>
              </w:rPr>
            </w:pPr>
            <w:r>
              <w:rPr>
                <w:rFonts w:ascii="Arial" w:cs="Arial" w:eastAsia="Arial" w:hAnsi="Arial"/>
                <w:sz w:val="18"/>
                <w:szCs w:val="18"/>
                <w:color w:val="auto"/>
              </w:rPr>
              <w:t>4,199</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11,543</w:t>
            </w:r>
          </w:p>
        </w:tc>
      </w:tr>
      <w:tr>
        <w:trPr>
          <w:trHeight w:val="27"/>
        </w:trPr>
        <w:tc>
          <w:tcPr>
            <w:tcW w:w="18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860" w:type="dxa"/>
            <w:vAlign w:val="bottom"/>
          </w:tcPr>
          <w:p>
            <w:pPr>
              <w:jc w:val="right"/>
              <w:ind w:right="390"/>
              <w:spacing w:after="0"/>
              <w:rPr>
                <w:sz w:val="20"/>
                <w:szCs w:val="20"/>
                <w:color w:val="auto"/>
              </w:rPr>
            </w:pPr>
            <w:r>
              <w:rPr>
                <w:rFonts w:ascii="Arial" w:cs="Arial" w:eastAsia="Arial" w:hAnsi="Arial"/>
                <w:sz w:val="18"/>
                <w:szCs w:val="18"/>
                <w:color w:val="auto"/>
              </w:rPr>
              <w:t>(61,446)</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(29,543)</w:t>
            </w:r>
          </w:p>
        </w:tc>
      </w:tr>
    </w:tbl>
    <w:p>
      <w:pPr>
        <w:spacing w:after="0" w:line="525" w:lineRule="exact"/>
        <w:rPr>
          <w:sz w:val="20"/>
          <w:szCs w:val="20"/>
          <w:color w:val="auto"/>
        </w:rPr>
      </w:pPr>
    </w:p>
    <w:p>
      <w:pPr>
        <w:sectPr>
          <w:pgSz w:w="11900" w:h="16838" w:orient="portrait"/>
          <w:cols w:equalWidth="0" w:num="2">
            <w:col w:w="7460" w:space="720"/>
            <w:col w:w="3060"/>
          </w:cols>
          <w:pgMar w:left="320" w:top="108"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Repurchases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Dividend payments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employee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 of debt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financing, net</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Net cash used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4" w:lineRule="exact"/>
        <w:rPr>
          <w:sz w:val="20"/>
          <w:szCs w:val="20"/>
          <w:color w:val="auto"/>
        </w:rPr>
      </w:pPr>
    </w:p>
    <w:p>
      <w:pPr>
        <w:ind w:left="20" w:right="3020"/>
        <w:spacing w:after="0" w:line="385" w:lineRule="auto"/>
        <w:rPr>
          <w:sz w:val="20"/>
          <w:szCs w:val="20"/>
          <w:color w:val="auto"/>
        </w:rPr>
      </w:pPr>
      <w:r>
        <w:rPr>
          <w:rFonts w:ascii="Arial" w:cs="Arial" w:eastAsia="Arial" w:hAnsi="Arial"/>
          <w:sz w:val="15"/>
          <w:szCs w:val="15"/>
          <w:color w:val="auto"/>
        </w:rPr>
        <w:t>Effect of exchange rate changes on cash and cash equivalents 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60" w:type="dxa"/>
        <w:tblCellMar>
          <w:top w:w="0" w:type="dxa"/>
          <w:left w:w="0" w:type="dxa"/>
          <w:bottom w:w="0" w:type="dxa"/>
          <w:right w:w="0" w:type="dxa"/>
        </w:tblCellMar>
      </w:tblPr>
      <w:tr>
        <w:trPr>
          <w:trHeight w:val="230"/>
        </w:trPr>
        <w:tc>
          <w:tcPr>
            <w:tcW w:w="1160" w:type="dxa"/>
            <w:vAlign w:val="bottom"/>
          </w:tcPr>
          <w:p>
            <w:pPr>
              <w:jc w:val="right"/>
              <w:ind w:right="350"/>
              <w:spacing w:after="0"/>
              <w:rPr>
                <w:sz w:val="20"/>
                <w:szCs w:val="20"/>
                <w:color w:val="auto"/>
              </w:rPr>
            </w:pPr>
            <w:r>
              <w:rPr>
                <w:rFonts w:ascii="Arial" w:cs="Arial" w:eastAsia="Arial" w:hAnsi="Arial"/>
                <w:sz w:val="18"/>
                <w:szCs w:val="18"/>
                <w:color w:val="auto"/>
                <w:w w:val="90"/>
              </w:rPr>
              <w:t>(171,005)</w:t>
            </w:r>
          </w:p>
        </w:tc>
        <w:tc>
          <w:tcPr>
            <w:tcW w:w="1140" w:type="dxa"/>
            <w:vAlign w:val="bottom"/>
          </w:tcPr>
          <w:p>
            <w:pPr>
              <w:jc w:val="right"/>
              <w:spacing w:after="0"/>
              <w:rPr>
                <w:sz w:val="20"/>
                <w:szCs w:val="20"/>
                <w:color w:val="auto"/>
              </w:rPr>
            </w:pPr>
            <w:r>
              <w:rPr>
                <w:rFonts w:ascii="Arial" w:cs="Arial" w:eastAsia="Arial" w:hAnsi="Arial"/>
                <w:sz w:val="18"/>
                <w:szCs w:val="18"/>
                <w:color w:val="auto"/>
              </w:rPr>
              <w:t>(158,294)</w:t>
            </w:r>
          </w:p>
        </w:tc>
      </w:tr>
      <w:tr>
        <w:trPr>
          <w:trHeight w:val="270"/>
        </w:trPr>
        <w:tc>
          <w:tcPr>
            <w:tcW w:w="1160" w:type="dxa"/>
            <w:vAlign w:val="bottom"/>
          </w:tcPr>
          <w:p>
            <w:pPr>
              <w:jc w:val="right"/>
              <w:ind w:right="350"/>
              <w:spacing w:after="0"/>
              <w:rPr>
                <w:sz w:val="20"/>
                <w:szCs w:val="20"/>
                <w:color w:val="auto"/>
              </w:rPr>
            </w:pPr>
            <w:r>
              <w:rPr>
                <w:rFonts w:ascii="Arial" w:cs="Arial" w:eastAsia="Arial" w:hAnsi="Arial"/>
                <w:sz w:val="18"/>
                <w:szCs w:val="18"/>
                <w:color w:val="auto"/>
              </w:rPr>
              <w:t>(81,438)</w:t>
            </w:r>
          </w:p>
        </w:tc>
        <w:tc>
          <w:tcPr>
            <w:tcW w:w="1140" w:type="dxa"/>
            <w:vAlign w:val="bottom"/>
          </w:tcPr>
          <w:p>
            <w:pPr>
              <w:jc w:val="right"/>
              <w:spacing w:after="0"/>
              <w:rPr>
                <w:sz w:val="20"/>
                <w:szCs w:val="20"/>
                <w:color w:val="auto"/>
              </w:rPr>
            </w:pPr>
            <w:r>
              <w:rPr>
                <w:rFonts w:ascii="Arial" w:cs="Arial" w:eastAsia="Arial" w:hAnsi="Arial"/>
                <w:sz w:val="18"/>
                <w:szCs w:val="18"/>
                <w:color w:val="auto"/>
              </w:rPr>
              <w:t>(75,769)</w:t>
            </w:r>
          </w:p>
        </w:tc>
      </w:tr>
      <w:tr>
        <w:trPr>
          <w:trHeight w:val="270"/>
        </w:trPr>
        <w:tc>
          <w:tcPr>
            <w:tcW w:w="1160" w:type="dxa"/>
            <w:vAlign w:val="bottom"/>
          </w:tcPr>
          <w:p>
            <w:pPr>
              <w:jc w:val="right"/>
              <w:ind w:right="410"/>
              <w:spacing w:after="0"/>
              <w:rPr>
                <w:sz w:val="20"/>
                <w:szCs w:val="20"/>
                <w:color w:val="auto"/>
              </w:rPr>
            </w:pPr>
            <w:r>
              <w:rPr>
                <w:rFonts w:ascii="Arial" w:cs="Arial" w:eastAsia="Arial" w:hAnsi="Arial"/>
                <w:sz w:val="18"/>
                <w:szCs w:val="18"/>
                <w:color w:val="auto"/>
              </w:rPr>
              <w:t>65,323</w:t>
            </w:r>
          </w:p>
        </w:tc>
        <w:tc>
          <w:tcPr>
            <w:tcW w:w="1140" w:type="dxa"/>
            <w:vAlign w:val="bottom"/>
          </w:tcPr>
          <w:p>
            <w:pPr>
              <w:jc w:val="right"/>
              <w:spacing w:after="0"/>
              <w:rPr>
                <w:sz w:val="20"/>
                <w:szCs w:val="20"/>
                <w:color w:val="auto"/>
              </w:rPr>
            </w:pPr>
            <w:r>
              <w:rPr>
                <w:rFonts w:ascii="Arial" w:cs="Arial" w:eastAsia="Arial" w:hAnsi="Arial"/>
                <w:sz w:val="18"/>
                <w:szCs w:val="18"/>
                <w:color w:val="auto"/>
              </w:rPr>
              <w:t>78,926</w:t>
            </w:r>
          </w:p>
        </w:tc>
      </w:tr>
    </w:tbl>
    <w:p>
      <w:pPr>
        <w:spacing w:after="0" w:line="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(575,000)</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575,000</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(1,592)</w:t>
      </w:r>
      <w:r>
        <w:rPr>
          <w:rFonts w:ascii="Arial" w:cs="Arial" w:eastAsia="Arial" w:hAnsi="Arial"/>
          <w:sz w:val="17"/>
          <w:szCs w:val="17"/>
          <w:color w:val="auto"/>
        </w:rPr>
        <w:t>(901)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9373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57"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(188,712)</w:t>
      </w:r>
      <w:r>
        <w:rPr>
          <w:sz w:val="20"/>
          <w:szCs w:val="20"/>
          <w:color w:val="auto"/>
        </w:rPr>
        <w:tab/>
      </w:r>
      <w:r>
        <w:rPr>
          <w:rFonts w:ascii="Arial" w:cs="Arial" w:eastAsia="Arial" w:hAnsi="Arial"/>
          <w:sz w:val="18"/>
          <w:szCs w:val="18"/>
          <w:color w:val="auto"/>
        </w:rPr>
        <w:t>(156,038)</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1,653</w:t>
            </w:r>
          </w:p>
        </w:tc>
        <w:tc>
          <w:tcPr>
            <w:tcW w:w="5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(4,406)</w:t>
            </w:r>
          </w:p>
        </w:tc>
      </w:tr>
      <w:tr>
        <w:trPr>
          <w:trHeight w:val="27"/>
        </w:trPr>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97,908</w:t>
            </w:r>
          </w:p>
        </w:tc>
        <w:tc>
          <w:tcPr>
            <w:tcW w:w="54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115,337</w:t>
            </w:r>
          </w:p>
        </w:tc>
      </w:tr>
      <w:tr>
        <w:trPr>
          <w:trHeight w:val="270"/>
        </w:trPr>
        <w:tc>
          <w:tcPr>
            <w:tcW w:w="42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359,799</w:t>
            </w:r>
          </w:p>
        </w:tc>
        <w:tc>
          <w:tcPr>
            <w:tcW w:w="54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208,623</w:t>
            </w:r>
          </w:p>
        </w:tc>
      </w:tr>
      <w:tr>
        <w:trPr>
          <w:trHeight w:val="27"/>
        </w:trPr>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457,707</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323,960</w:t>
            </w:r>
          </w:p>
        </w:tc>
      </w:tr>
      <w:tr>
        <w:trPr>
          <w:trHeight w:val="27"/>
        </w:trPr>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08" w:right="339" w:bottom="1440" w:gutter="0" w:footer="0" w:header="0"/>
          <w:type w:val="continuous"/>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May 31, 2020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2140" w:type="dxa"/>
            <w:vAlign w:val="bottom"/>
            <w:gridSpan w:val="3"/>
            <w:vMerge w:val="restart"/>
          </w:tcPr>
          <w:p>
            <w:pPr>
              <w:jc w:val="right"/>
              <w:ind w:right="657"/>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3"/>
                <w:szCs w:val="13"/>
                <w:color w:val="auto"/>
              </w:rPr>
              <w:t>Treasury Stock</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90"/>
              </w:rPr>
              <w:t>Accumulated</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540" w:type="dxa"/>
            <w:vAlign w:val="bottom"/>
          </w:tcPr>
          <w:p>
            <w:pPr>
              <w:spacing w:after="0"/>
              <w:rPr>
                <w:sz w:val="11"/>
                <w:szCs w:val="11"/>
                <w:color w:val="auto"/>
              </w:rPr>
            </w:pPr>
          </w:p>
        </w:tc>
        <w:tc>
          <w:tcPr>
            <w:tcW w:w="2140" w:type="dxa"/>
            <w:vAlign w:val="bottom"/>
            <w:tcBorders>
              <w:bottom w:val="single" w:sz="8" w:color="auto"/>
            </w:tcBorders>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57"/>
              <w:spacing w:after="0" w:line="136" w:lineRule="exact"/>
              <w:rPr>
                <w:sz w:val="20"/>
                <w:szCs w:val="20"/>
                <w:color w:val="auto"/>
              </w:rPr>
            </w:pPr>
            <w:r>
              <w:rPr>
                <w:rFonts w:ascii="Arial" w:cs="Arial" w:eastAsia="Arial" w:hAnsi="Arial"/>
                <w:sz w:val="13"/>
                <w:szCs w:val="13"/>
                <w:color w:val="auto"/>
              </w:rPr>
              <w:t>Additional</w:t>
            </w:r>
          </w:p>
        </w:tc>
        <w:tc>
          <w:tcPr>
            <w:tcW w:w="1520" w:type="dxa"/>
            <w:vAlign w:val="bottom"/>
            <w:tcBorders>
              <w:bottom w:val="single" w:sz="8" w:color="auto"/>
            </w:tcBorders>
            <w:gridSpan w:val="2"/>
            <w:vMerge w:val="continue"/>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77"/>
              <w:spacing w:after="0" w:line="136" w:lineRule="exact"/>
              <w:rPr>
                <w:sz w:val="20"/>
                <w:szCs w:val="20"/>
                <w:color w:val="auto"/>
              </w:rPr>
            </w:pPr>
            <w:r>
              <w:rPr>
                <w:rFonts w:ascii="Arial" w:cs="Arial" w:eastAsia="Arial" w:hAnsi="Arial"/>
                <w:sz w:val="13"/>
                <w:szCs w:val="13"/>
                <w:color w:val="auto"/>
                <w:w w:val="85"/>
              </w:rPr>
              <w:t>Other</w:t>
            </w:r>
          </w:p>
        </w:tc>
        <w:tc>
          <w:tcPr>
            <w:tcW w:w="220" w:type="dxa"/>
            <w:vAlign w:val="bottom"/>
          </w:tcPr>
          <w:p>
            <w:pPr>
              <w:spacing w:after="0"/>
              <w:rPr>
                <w:sz w:val="11"/>
                <w:szCs w:val="11"/>
                <w:color w:val="auto"/>
              </w:rPr>
            </w:pPr>
          </w:p>
        </w:tc>
        <w:tc>
          <w:tcPr>
            <w:tcW w:w="960" w:type="dxa"/>
            <w:vAlign w:val="bottom"/>
          </w:tcPr>
          <w:p>
            <w:pPr>
              <w:jc w:val="center"/>
              <w:ind w:right="77"/>
              <w:spacing w:after="0" w:line="136" w:lineRule="exact"/>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14"/>
        </w:trPr>
        <w:tc>
          <w:tcPr>
            <w:tcW w:w="2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right"/>
              <w:ind w:right="237"/>
              <w:spacing w:after="0" w:line="114" w:lineRule="exact"/>
              <w:rPr>
                <w:sz w:val="20"/>
                <w:szCs w:val="20"/>
                <w:color w:val="auto"/>
              </w:rPr>
            </w:pPr>
            <w:r>
              <w:rPr>
                <w:rFonts w:ascii="Arial" w:cs="Arial" w:eastAsia="Arial" w:hAnsi="Arial"/>
                <w:sz w:val="13"/>
                <w:szCs w:val="13"/>
                <w:color w:val="auto"/>
              </w:rPr>
              <w:t>Paid-in</w:t>
            </w: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ind w:left="100"/>
              <w:spacing w:after="0" w:line="114" w:lineRule="exact"/>
              <w:rPr>
                <w:sz w:val="20"/>
                <w:szCs w:val="20"/>
                <w:color w:val="auto"/>
              </w:rPr>
            </w:pPr>
            <w:r>
              <w:rPr>
                <w:rFonts w:ascii="Arial" w:cs="Arial" w:eastAsia="Arial" w:hAnsi="Arial"/>
                <w:sz w:val="13"/>
                <w:szCs w:val="13"/>
                <w:color w:val="auto"/>
              </w:rPr>
              <w:t>Retained</w:t>
            </w:r>
          </w:p>
        </w:tc>
        <w:tc>
          <w:tcPr>
            <w:tcW w:w="220" w:type="dxa"/>
            <w:vAlign w:val="bottom"/>
          </w:tcPr>
          <w:p>
            <w:pPr>
              <w:spacing w:after="0"/>
              <w:rPr>
                <w:sz w:val="9"/>
                <w:szCs w:val="9"/>
                <w:color w:val="auto"/>
              </w:rPr>
            </w:pPr>
          </w:p>
        </w:tc>
        <w:tc>
          <w:tcPr>
            <w:tcW w:w="980" w:type="dxa"/>
            <w:vAlign w:val="bottom"/>
          </w:tcPr>
          <w:p>
            <w:pPr>
              <w:jc w:val="center"/>
              <w:ind w:right="57"/>
              <w:spacing w:after="0" w:line="114" w:lineRule="exact"/>
              <w:rPr>
                <w:sz w:val="20"/>
                <w:szCs w:val="20"/>
                <w:color w:val="auto"/>
              </w:rPr>
            </w:pPr>
            <w:r>
              <w:rPr>
                <w:rFonts w:ascii="Arial" w:cs="Arial" w:eastAsia="Arial" w:hAnsi="Arial"/>
                <w:sz w:val="13"/>
                <w:szCs w:val="13"/>
                <w:color w:val="auto"/>
                <w:w w:val="85"/>
              </w:rPr>
              <w:t>Comprehensive</w:t>
            </w:r>
          </w:p>
        </w:tc>
        <w:tc>
          <w:tcPr>
            <w:tcW w:w="220" w:type="dxa"/>
            <w:vAlign w:val="bottom"/>
          </w:tcPr>
          <w:p>
            <w:pPr>
              <w:spacing w:after="0"/>
              <w:rPr>
                <w:sz w:val="9"/>
                <w:szCs w:val="9"/>
                <w:color w:val="auto"/>
              </w:rPr>
            </w:pPr>
          </w:p>
        </w:tc>
        <w:tc>
          <w:tcPr>
            <w:tcW w:w="960" w:type="dxa"/>
            <w:vAlign w:val="bottom"/>
          </w:tcPr>
          <w:p>
            <w:pPr>
              <w:jc w:val="center"/>
              <w:ind w:right="77"/>
              <w:spacing w:after="0" w:line="114"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170"/>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 except share data)</w:t>
            </w: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Shares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94"/>
              </w:rPr>
              <w:t>Par Value</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Capital</w:t>
            </w:r>
          </w:p>
        </w:tc>
        <w:tc>
          <w:tcPr>
            <w:tcW w:w="10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Shares</w:t>
            </w:r>
          </w:p>
        </w:tc>
        <w:tc>
          <w:tcPr>
            <w:tcW w:w="1180" w:type="dxa"/>
            <w:vAlign w:val="bottom"/>
            <w:tcBorders>
              <w:bottom w:val="single" w:sz="8" w:color="auto"/>
            </w:tcBorders>
            <w:gridSpan w:val="2"/>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Earnings</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87"/>
              </w:rPr>
              <w:t>Loss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February 29, 2020</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40,452,351</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405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875,488</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2,603,104</w:t>
            </w:r>
          </w:p>
        </w:tc>
        <w:tc>
          <w:tcPr>
            <w:tcW w:w="4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6"/>
              </w:rPr>
              <w:t>(593,980)</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501,326</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(66,479)</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716,760</w:t>
            </w:r>
          </w:p>
        </w:tc>
        <w:tc>
          <w:tcPr>
            <w:tcW w:w="0" w:type="dxa"/>
            <w:vAlign w:val="bottom"/>
          </w:tcPr>
          <w:p>
            <w:pPr>
              <w:spacing w:after="0"/>
              <w:rPr>
                <w:sz w:val="1"/>
                <w:szCs w:val="1"/>
                <w:color w:val="auto"/>
              </w:rPr>
            </w:pPr>
          </w:p>
        </w:tc>
      </w:tr>
      <w:tr>
        <w:trPr>
          <w:trHeight w:val="181"/>
        </w:trPr>
        <w:tc>
          <w:tcPr>
            <w:tcW w:w="254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ind w:left="240"/>
              <w:spacing w:after="0"/>
              <w:rPr>
                <w:sz w:val="20"/>
                <w:szCs w:val="20"/>
                <w:color w:val="auto"/>
              </w:rPr>
            </w:pPr>
            <w:r>
              <w:rPr>
                <w:rFonts w:ascii="Arial" w:cs="Arial" w:eastAsia="Arial" w:hAnsi="Arial"/>
                <w:sz w:val="13"/>
                <w:szCs w:val="13"/>
                <w:color w:val="auto"/>
              </w:rPr>
              <w:t>101,216</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101,216</w:t>
            </w: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loss</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(8,581)</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(8,581)</w:t>
            </w:r>
          </w:p>
        </w:tc>
        <w:tc>
          <w:tcPr>
            <w:tcW w:w="0" w:type="dxa"/>
            <w:vAlign w:val="bottom"/>
          </w:tcPr>
          <w:p>
            <w:pPr>
              <w:spacing w:after="0"/>
              <w:rPr>
                <w:sz w:val="1"/>
                <w:szCs w:val="1"/>
                <w:color w:val="auto"/>
              </w:rPr>
            </w:pPr>
          </w:p>
        </w:tc>
      </w:tr>
      <w:tr>
        <w:trPr>
          <w:trHeight w:val="148"/>
        </w:trPr>
        <w:tc>
          <w:tcPr>
            <w:tcW w:w="2540" w:type="dxa"/>
            <w:vAlign w:val="bottom"/>
          </w:tcPr>
          <w:p>
            <w:pPr>
              <w:ind w:left="120"/>
              <w:spacing w:after="0" w:line="148" w:lineRule="exact"/>
              <w:rPr>
                <w:sz w:val="20"/>
                <w:szCs w:val="20"/>
                <w:color w:val="auto"/>
              </w:rPr>
            </w:pPr>
            <w:r>
              <w:rPr>
                <w:rFonts w:ascii="Arial" w:cs="Arial" w:eastAsia="Arial" w:hAnsi="Arial"/>
                <w:sz w:val="13"/>
                <w:szCs w:val="13"/>
                <w:color w:val="auto"/>
                <w:w w:val="99"/>
              </w:rPr>
              <w:t>Common stock issued for employee stock</w:t>
            </w: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104,388</w:t>
            </w:r>
          </w:p>
        </w:tc>
        <w:tc>
          <w:tcPr>
            <w:tcW w:w="280" w:type="dxa"/>
            <w:vAlign w:val="bottom"/>
          </w:tcPr>
          <w:p>
            <w:pPr>
              <w:spacing w:after="0"/>
              <w:rPr>
                <w:sz w:val="12"/>
                <w:szCs w:val="12"/>
                <w:color w:val="auto"/>
              </w:rPr>
            </w:pPr>
          </w:p>
        </w:tc>
        <w:tc>
          <w:tcPr>
            <w:tcW w:w="900" w:type="dxa"/>
            <w:vAlign w:val="bottom"/>
            <w:vMerge w:val="restart"/>
          </w:tcPr>
          <w:p>
            <w:pPr>
              <w:jc w:val="right"/>
              <w:ind w:right="17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3"/>
                <w:szCs w:val="13"/>
                <w:color w:val="auto"/>
              </w:rPr>
              <w:t>14,832</w:t>
            </w:r>
          </w:p>
        </w:tc>
        <w:tc>
          <w:tcPr>
            <w:tcW w:w="1060" w:type="dxa"/>
            <w:vAlign w:val="bottom"/>
            <w:vMerge w:val="restart"/>
          </w:tcPr>
          <w:p>
            <w:pPr>
              <w:jc w:val="right"/>
              <w:ind w:right="77"/>
              <w:spacing w:after="0"/>
              <w:rPr>
                <w:sz w:val="20"/>
                <w:szCs w:val="20"/>
                <w:color w:val="auto"/>
              </w:rPr>
            </w:pPr>
            <w:r>
              <w:rPr>
                <w:rFonts w:ascii="Arial" w:cs="Arial" w:eastAsia="Arial" w:hAnsi="Arial"/>
                <w:sz w:val="13"/>
                <w:szCs w:val="13"/>
                <w:color w:val="auto"/>
              </w:rPr>
              <w:t>32</w:t>
            </w:r>
          </w:p>
        </w:tc>
        <w:tc>
          <w:tcPr>
            <w:tcW w:w="460" w:type="dxa"/>
            <w:vAlign w:val="bottom"/>
          </w:tcPr>
          <w:p>
            <w:pPr>
              <w:spacing w:after="0"/>
              <w:rPr>
                <w:sz w:val="12"/>
                <w:szCs w:val="12"/>
                <w:color w:val="auto"/>
              </w:rPr>
            </w:pPr>
          </w:p>
        </w:tc>
        <w:tc>
          <w:tcPr>
            <w:tcW w:w="720" w:type="dxa"/>
            <w:vAlign w:val="bottom"/>
            <w:vMerge w:val="restart"/>
          </w:tcPr>
          <w:p>
            <w:pPr>
              <w:jc w:val="right"/>
              <w:ind w:right="157"/>
              <w:spacing w:after="0"/>
              <w:rPr>
                <w:sz w:val="20"/>
                <w:szCs w:val="20"/>
                <w:color w:val="auto"/>
              </w:rPr>
            </w:pPr>
            <w:r>
              <w:rPr>
                <w:rFonts w:ascii="Arial" w:cs="Arial" w:eastAsia="Arial" w:hAnsi="Arial"/>
                <w:sz w:val="13"/>
                <w:szCs w:val="13"/>
                <w:color w:val="auto"/>
              </w:rPr>
              <w:t>(9)</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14,824</w:t>
            </w:r>
          </w:p>
        </w:tc>
        <w:tc>
          <w:tcPr>
            <w:tcW w:w="0" w:type="dxa"/>
            <w:vAlign w:val="bottom"/>
          </w:tcPr>
          <w:p>
            <w:pPr>
              <w:spacing w:after="0"/>
              <w:rPr>
                <w:sz w:val="1"/>
                <w:szCs w:val="1"/>
                <w:color w:val="auto"/>
              </w:rPr>
            </w:pPr>
          </w:p>
        </w:tc>
      </w:tr>
      <w:tr>
        <w:trPr>
          <w:trHeight w:val="93"/>
        </w:trPr>
        <w:tc>
          <w:tcPr>
            <w:tcW w:w="2540" w:type="dxa"/>
            <w:vAlign w:val="bottom"/>
            <w:vMerge w:val="restart"/>
          </w:tcPr>
          <w:p>
            <w:pPr>
              <w:ind w:left="120"/>
              <w:spacing w:after="0"/>
              <w:rPr>
                <w:sz w:val="20"/>
                <w:szCs w:val="20"/>
                <w:color w:val="auto"/>
              </w:rPr>
            </w:pPr>
            <w:r>
              <w:rPr>
                <w:rFonts w:ascii="Arial" w:cs="Arial" w:eastAsia="Arial" w:hAnsi="Arial"/>
                <w:sz w:val="13"/>
                <w:szCs w:val="13"/>
                <w:color w:val="auto"/>
              </w:rPr>
              <w:t>plans</w:t>
            </w:r>
          </w:p>
        </w:tc>
        <w:tc>
          <w:tcPr>
            <w:tcW w:w="9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5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181</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1"/>
        </w:trPr>
        <w:tc>
          <w:tcPr>
            <w:tcW w:w="254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46,636</w:t>
            </w:r>
          </w:p>
        </w:tc>
        <w:tc>
          <w:tcPr>
            <w:tcW w:w="460" w:type="dxa"/>
            <w:vAlign w:val="bottom"/>
          </w:tcPr>
          <w:p>
            <w:pPr>
              <w:spacing w:after="0"/>
              <w:rPr>
                <w:sz w:val="15"/>
                <w:szCs w:val="15"/>
                <w:color w:val="auto"/>
              </w:rPr>
            </w:pPr>
          </w:p>
        </w:tc>
        <w:tc>
          <w:tcPr>
            <w:tcW w:w="720" w:type="dxa"/>
            <w:vAlign w:val="bottom"/>
          </w:tcPr>
          <w:p>
            <w:pPr>
              <w:jc w:val="right"/>
              <w:ind w:right="157"/>
              <w:spacing w:after="0"/>
              <w:rPr>
                <w:sz w:val="20"/>
                <w:szCs w:val="20"/>
                <w:color w:val="auto"/>
              </w:rPr>
            </w:pPr>
            <w:r>
              <w:rPr>
                <w:rFonts w:ascii="Arial" w:cs="Arial" w:eastAsia="Arial" w:hAnsi="Arial"/>
                <w:sz w:val="13"/>
                <w:szCs w:val="13"/>
                <w:color w:val="auto"/>
                <w:w w:val="99"/>
              </w:rPr>
              <w:t>(12,410)</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(12,410)</w:t>
            </w: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10,343</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10,343</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Dividends declared</w:t>
            </w: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(29,188)</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(29,188)</w:t>
            </w:r>
          </w:p>
        </w:tc>
        <w:tc>
          <w:tcPr>
            <w:tcW w:w="0" w:type="dxa"/>
            <w:vAlign w:val="bottom"/>
          </w:tcPr>
          <w:p>
            <w:pPr>
              <w:spacing w:after="0"/>
              <w:rPr>
                <w:sz w:val="1"/>
                <w:szCs w:val="1"/>
                <w:color w:val="auto"/>
              </w:rPr>
            </w:pPr>
          </w:p>
        </w:tc>
      </w:tr>
      <w:tr>
        <w:trPr>
          <w:trHeight w:val="208"/>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May 31, 2020</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40,556,920</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406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900,663</w:t>
            </w: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2,649,793</w:t>
            </w:r>
          </w:p>
        </w:tc>
        <w:tc>
          <w:tcPr>
            <w:tcW w:w="4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6"/>
              </w:rPr>
              <w:t>(606,405)</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573,354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(75,060)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792,958</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 the Nine Months Ended May 31, 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2140" w:type="dxa"/>
            <w:vAlign w:val="bottom"/>
            <w:gridSpan w:val="3"/>
            <w:vMerge w:val="restart"/>
          </w:tcPr>
          <w:p>
            <w:pPr>
              <w:jc w:val="right"/>
              <w:ind w:right="657"/>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3"/>
                <w:szCs w:val="13"/>
                <w:color w:val="auto"/>
              </w:rPr>
              <w:t>Treasury Stock</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90"/>
              </w:rPr>
              <w:t>Accumulated</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540" w:type="dxa"/>
            <w:vAlign w:val="bottom"/>
          </w:tcPr>
          <w:p>
            <w:pPr>
              <w:spacing w:after="0"/>
              <w:rPr>
                <w:sz w:val="11"/>
                <w:szCs w:val="11"/>
                <w:color w:val="auto"/>
              </w:rPr>
            </w:pPr>
          </w:p>
        </w:tc>
        <w:tc>
          <w:tcPr>
            <w:tcW w:w="2140" w:type="dxa"/>
            <w:vAlign w:val="bottom"/>
            <w:tcBorders>
              <w:bottom w:val="single" w:sz="8" w:color="auto"/>
            </w:tcBorders>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57"/>
              <w:spacing w:after="0" w:line="136" w:lineRule="exact"/>
              <w:rPr>
                <w:sz w:val="20"/>
                <w:szCs w:val="20"/>
                <w:color w:val="auto"/>
              </w:rPr>
            </w:pPr>
            <w:r>
              <w:rPr>
                <w:rFonts w:ascii="Arial" w:cs="Arial" w:eastAsia="Arial" w:hAnsi="Arial"/>
                <w:sz w:val="13"/>
                <w:szCs w:val="13"/>
                <w:color w:val="auto"/>
              </w:rPr>
              <w:t>Additional</w:t>
            </w:r>
          </w:p>
        </w:tc>
        <w:tc>
          <w:tcPr>
            <w:tcW w:w="1520" w:type="dxa"/>
            <w:vAlign w:val="bottom"/>
            <w:tcBorders>
              <w:bottom w:val="single" w:sz="8" w:color="auto"/>
            </w:tcBorders>
            <w:gridSpan w:val="2"/>
            <w:vMerge w:val="continue"/>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77"/>
              <w:spacing w:after="0" w:line="136" w:lineRule="exact"/>
              <w:rPr>
                <w:sz w:val="20"/>
                <w:szCs w:val="20"/>
                <w:color w:val="auto"/>
              </w:rPr>
            </w:pPr>
            <w:r>
              <w:rPr>
                <w:rFonts w:ascii="Arial" w:cs="Arial" w:eastAsia="Arial" w:hAnsi="Arial"/>
                <w:sz w:val="13"/>
                <w:szCs w:val="13"/>
                <w:color w:val="auto"/>
                <w:w w:val="85"/>
              </w:rPr>
              <w:t>Other</w:t>
            </w:r>
          </w:p>
        </w:tc>
        <w:tc>
          <w:tcPr>
            <w:tcW w:w="220" w:type="dxa"/>
            <w:vAlign w:val="bottom"/>
          </w:tcPr>
          <w:p>
            <w:pPr>
              <w:spacing w:after="0"/>
              <w:rPr>
                <w:sz w:val="11"/>
                <w:szCs w:val="11"/>
                <w:color w:val="auto"/>
              </w:rPr>
            </w:pPr>
          </w:p>
        </w:tc>
        <w:tc>
          <w:tcPr>
            <w:tcW w:w="960" w:type="dxa"/>
            <w:vAlign w:val="bottom"/>
          </w:tcPr>
          <w:p>
            <w:pPr>
              <w:jc w:val="center"/>
              <w:ind w:right="77"/>
              <w:spacing w:after="0" w:line="136" w:lineRule="exact"/>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14"/>
        </w:trPr>
        <w:tc>
          <w:tcPr>
            <w:tcW w:w="2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right"/>
              <w:ind w:right="237"/>
              <w:spacing w:after="0" w:line="114" w:lineRule="exact"/>
              <w:rPr>
                <w:sz w:val="20"/>
                <w:szCs w:val="20"/>
                <w:color w:val="auto"/>
              </w:rPr>
            </w:pPr>
            <w:r>
              <w:rPr>
                <w:rFonts w:ascii="Arial" w:cs="Arial" w:eastAsia="Arial" w:hAnsi="Arial"/>
                <w:sz w:val="13"/>
                <w:szCs w:val="13"/>
                <w:color w:val="auto"/>
              </w:rPr>
              <w:t>Paid-in</w:t>
            </w: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ind w:left="100"/>
              <w:spacing w:after="0" w:line="114" w:lineRule="exact"/>
              <w:rPr>
                <w:sz w:val="20"/>
                <w:szCs w:val="20"/>
                <w:color w:val="auto"/>
              </w:rPr>
            </w:pPr>
            <w:r>
              <w:rPr>
                <w:rFonts w:ascii="Arial" w:cs="Arial" w:eastAsia="Arial" w:hAnsi="Arial"/>
                <w:sz w:val="13"/>
                <w:szCs w:val="13"/>
                <w:color w:val="auto"/>
              </w:rPr>
              <w:t>Retained</w:t>
            </w:r>
          </w:p>
        </w:tc>
        <w:tc>
          <w:tcPr>
            <w:tcW w:w="220" w:type="dxa"/>
            <w:vAlign w:val="bottom"/>
          </w:tcPr>
          <w:p>
            <w:pPr>
              <w:spacing w:after="0"/>
              <w:rPr>
                <w:sz w:val="9"/>
                <w:szCs w:val="9"/>
                <w:color w:val="auto"/>
              </w:rPr>
            </w:pPr>
          </w:p>
        </w:tc>
        <w:tc>
          <w:tcPr>
            <w:tcW w:w="980" w:type="dxa"/>
            <w:vAlign w:val="bottom"/>
          </w:tcPr>
          <w:p>
            <w:pPr>
              <w:jc w:val="center"/>
              <w:ind w:right="57"/>
              <w:spacing w:after="0" w:line="114" w:lineRule="exact"/>
              <w:rPr>
                <w:sz w:val="20"/>
                <w:szCs w:val="20"/>
                <w:color w:val="auto"/>
              </w:rPr>
            </w:pPr>
            <w:r>
              <w:rPr>
                <w:rFonts w:ascii="Arial" w:cs="Arial" w:eastAsia="Arial" w:hAnsi="Arial"/>
                <w:sz w:val="13"/>
                <w:szCs w:val="13"/>
                <w:color w:val="auto"/>
                <w:w w:val="85"/>
              </w:rPr>
              <w:t>Comprehensive</w:t>
            </w:r>
          </w:p>
        </w:tc>
        <w:tc>
          <w:tcPr>
            <w:tcW w:w="220" w:type="dxa"/>
            <w:vAlign w:val="bottom"/>
          </w:tcPr>
          <w:p>
            <w:pPr>
              <w:spacing w:after="0"/>
              <w:rPr>
                <w:sz w:val="9"/>
                <w:szCs w:val="9"/>
                <w:color w:val="auto"/>
              </w:rPr>
            </w:pPr>
          </w:p>
        </w:tc>
        <w:tc>
          <w:tcPr>
            <w:tcW w:w="960" w:type="dxa"/>
            <w:vAlign w:val="bottom"/>
          </w:tcPr>
          <w:p>
            <w:pPr>
              <w:jc w:val="center"/>
              <w:ind w:right="77"/>
              <w:spacing w:after="0" w:line="114"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170"/>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 except share data)</w:t>
            </w: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Shares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94"/>
              </w:rPr>
              <w:t>Par Value</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Capital</w:t>
            </w:r>
          </w:p>
        </w:tc>
        <w:tc>
          <w:tcPr>
            <w:tcW w:w="10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Shares</w:t>
            </w:r>
          </w:p>
        </w:tc>
        <w:tc>
          <w:tcPr>
            <w:tcW w:w="1180" w:type="dxa"/>
            <w:vAlign w:val="bottom"/>
            <w:tcBorders>
              <w:bottom w:val="single" w:sz="8" w:color="auto"/>
            </w:tcBorders>
            <w:gridSpan w:val="2"/>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Earnings</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87"/>
              </w:rPr>
              <w:t>Loss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August 31, 2019</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40,104,192</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401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806,973</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1,986,352</w:t>
            </w:r>
          </w:p>
        </w:tc>
        <w:tc>
          <w:tcPr>
            <w:tcW w:w="4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6"/>
              </w:rPr>
              <w:t>(433,799)</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373,225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(74,544)</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672,256</w:t>
            </w:r>
          </w:p>
        </w:tc>
        <w:tc>
          <w:tcPr>
            <w:tcW w:w="0" w:type="dxa"/>
            <w:vAlign w:val="bottom"/>
          </w:tcPr>
          <w:p>
            <w:pPr>
              <w:spacing w:after="0"/>
              <w:rPr>
                <w:sz w:val="1"/>
                <w:szCs w:val="1"/>
                <w:color w:val="auto"/>
              </w:rPr>
            </w:pPr>
          </w:p>
        </w:tc>
      </w:tr>
      <w:tr>
        <w:trPr>
          <w:trHeight w:val="181"/>
        </w:trPr>
        <w:tc>
          <w:tcPr>
            <w:tcW w:w="254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ind w:left="240"/>
              <w:spacing w:after="0"/>
              <w:rPr>
                <w:sz w:val="20"/>
                <w:szCs w:val="20"/>
                <w:color w:val="auto"/>
              </w:rPr>
            </w:pPr>
            <w:r>
              <w:rPr>
                <w:rFonts w:ascii="Arial" w:cs="Arial" w:eastAsia="Arial" w:hAnsi="Arial"/>
                <w:sz w:val="13"/>
                <w:szCs w:val="13"/>
                <w:color w:val="auto"/>
              </w:rPr>
              <w:t>283,859</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283,859</w:t>
            </w: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(516)</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(516)</w:t>
            </w:r>
          </w:p>
        </w:tc>
        <w:tc>
          <w:tcPr>
            <w:tcW w:w="0" w:type="dxa"/>
            <w:vAlign w:val="bottom"/>
          </w:tcPr>
          <w:p>
            <w:pPr>
              <w:spacing w:after="0"/>
              <w:rPr>
                <w:sz w:val="1"/>
                <w:szCs w:val="1"/>
                <w:color w:val="auto"/>
              </w:rPr>
            </w:pPr>
          </w:p>
        </w:tc>
      </w:tr>
      <w:tr>
        <w:trPr>
          <w:trHeight w:val="148"/>
        </w:trPr>
        <w:tc>
          <w:tcPr>
            <w:tcW w:w="2540" w:type="dxa"/>
            <w:vAlign w:val="bottom"/>
          </w:tcPr>
          <w:p>
            <w:pPr>
              <w:ind w:left="120"/>
              <w:spacing w:after="0" w:line="148" w:lineRule="exact"/>
              <w:rPr>
                <w:sz w:val="20"/>
                <w:szCs w:val="20"/>
                <w:color w:val="auto"/>
              </w:rPr>
            </w:pPr>
            <w:r>
              <w:rPr>
                <w:rFonts w:ascii="Arial" w:cs="Arial" w:eastAsia="Arial" w:hAnsi="Arial"/>
                <w:sz w:val="13"/>
                <w:szCs w:val="13"/>
                <w:color w:val="auto"/>
                <w:w w:val="99"/>
              </w:rPr>
              <w:t>Common stock issued for employee stock</w:t>
            </w: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436,071</w:t>
            </w:r>
          </w:p>
        </w:tc>
        <w:tc>
          <w:tcPr>
            <w:tcW w:w="280" w:type="dxa"/>
            <w:vAlign w:val="bottom"/>
          </w:tcPr>
          <w:p>
            <w:pPr>
              <w:spacing w:after="0"/>
              <w:rPr>
                <w:sz w:val="12"/>
                <w:szCs w:val="12"/>
                <w:color w:val="auto"/>
              </w:rPr>
            </w:pPr>
          </w:p>
        </w:tc>
        <w:tc>
          <w:tcPr>
            <w:tcW w:w="900" w:type="dxa"/>
            <w:vAlign w:val="bottom"/>
            <w:vMerge w:val="restart"/>
          </w:tcPr>
          <w:p>
            <w:pPr>
              <w:jc w:val="right"/>
              <w:ind w:right="177"/>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2"/>
                <w:szCs w:val="12"/>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3"/>
                <w:szCs w:val="13"/>
                <w:color w:val="auto"/>
              </w:rPr>
              <w:t>65,318</w:t>
            </w:r>
          </w:p>
        </w:tc>
        <w:tc>
          <w:tcPr>
            <w:tcW w:w="1060" w:type="dxa"/>
            <w:vAlign w:val="bottom"/>
            <w:vMerge w:val="restart"/>
          </w:tcPr>
          <w:p>
            <w:pPr>
              <w:jc w:val="right"/>
              <w:ind w:right="77"/>
              <w:spacing w:after="0"/>
              <w:rPr>
                <w:sz w:val="20"/>
                <w:szCs w:val="20"/>
                <w:color w:val="auto"/>
              </w:rPr>
            </w:pPr>
            <w:r>
              <w:rPr>
                <w:rFonts w:ascii="Arial" w:cs="Arial" w:eastAsia="Arial" w:hAnsi="Arial"/>
                <w:sz w:val="13"/>
                <w:szCs w:val="13"/>
                <w:color w:val="auto"/>
              </w:rPr>
              <w:t>75</w:t>
            </w:r>
          </w:p>
        </w:tc>
        <w:tc>
          <w:tcPr>
            <w:tcW w:w="460" w:type="dxa"/>
            <w:vAlign w:val="bottom"/>
          </w:tcPr>
          <w:p>
            <w:pPr>
              <w:spacing w:after="0"/>
              <w:rPr>
                <w:sz w:val="12"/>
                <w:szCs w:val="12"/>
                <w:color w:val="auto"/>
              </w:rPr>
            </w:pPr>
          </w:p>
        </w:tc>
        <w:tc>
          <w:tcPr>
            <w:tcW w:w="720" w:type="dxa"/>
            <w:vAlign w:val="bottom"/>
            <w:vMerge w:val="restart"/>
          </w:tcPr>
          <w:p>
            <w:pPr>
              <w:jc w:val="right"/>
              <w:ind w:right="157"/>
              <w:spacing w:after="0"/>
              <w:rPr>
                <w:sz w:val="20"/>
                <w:szCs w:val="20"/>
                <w:color w:val="auto"/>
              </w:rPr>
            </w:pPr>
            <w:r>
              <w:rPr>
                <w:rFonts w:ascii="Arial" w:cs="Arial" w:eastAsia="Arial" w:hAnsi="Arial"/>
                <w:sz w:val="13"/>
                <w:szCs w:val="13"/>
                <w:color w:val="auto"/>
              </w:rPr>
              <w:t>(20)</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65,303</w:t>
            </w:r>
          </w:p>
        </w:tc>
        <w:tc>
          <w:tcPr>
            <w:tcW w:w="0" w:type="dxa"/>
            <w:vAlign w:val="bottom"/>
          </w:tcPr>
          <w:p>
            <w:pPr>
              <w:spacing w:after="0"/>
              <w:rPr>
                <w:sz w:val="1"/>
                <w:szCs w:val="1"/>
                <w:color w:val="auto"/>
              </w:rPr>
            </w:pPr>
          </w:p>
        </w:tc>
      </w:tr>
      <w:tr>
        <w:trPr>
          <w:trHeight w:val="93"/>
        </w:trPr>
        <w:tc>
          <w:tcPr>
            <w:tcW w:w="2540" w:type="dxa"/>
            <w:vAlign w:val="bottom"/>
            <w:vMerge w:val="restart"/>
          </w:tcPr>
          <w:p>
            <w:pPr>
              <w:ind w:left="120"/>
              <w:spacing w:after="0"/>
              <w:rPr>
                <w:sz w:val="20"/>
                <w:szCs w:val="20"/>
                <w:color w:val="auto"/>
              </w:rPr>
            </w:pPr>
            <w:r>
              <w:rPr>
                <w:rFonts w:ascii="Arial" w:cs="Arial" w:eastAsia="Arial" w:hAnsi="Arial"/>
                <w:sz w:val="13"/>
                <w:szCs w:val="13"/>
                <w:color w:val="auto"/>
              </w:rPr>
              <w:t>plans</w:t>
            </w:r>
          </w:p>
        </w:tc>
        <w:tc>
          <w:tcPr>
            <w:tcW w:w="9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5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16,657</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6,230</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(1,581)</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(1,581)</w:t>
            </w:r>
          </w:p>
        </w:tc>
        <w:tc>
          <w:tcPr>
            <w:tcW w:w="0" w:type="dxa"/>
            <w:vAlign w:val="bottom"/>
          </w:tcPr>
          <w:p>
            <w:pPr>
              <w:spacing w:after="0"/>
              <w:rPr>
                <w:sz w:val="1"/>
                <w:szCs w:val="1"/>
                <w:color w:val="auto"/>
              </w:rPr>
            </w:pPr>
          </w:p>
        </w:tc>
      </w:tr>
      <w:tr>
        <w:trPr>
          <w:trHeight w:val="181"/>
        </w:trPr>
        <w:tc>
          <w:tcPr>
            <w:tcW w:w="254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657,136</w:t>
            </w:r>
          </w:p>
        </w:tc>
        <w:tc>
          <w:tcPr>
            <w:tcW w:w="460" w:type="dxa"/>
            <w:vAlign w:val="bottom"/>
          </w:tcPr>
          <w:p>
            <w:pPr>
              <w:spacing w:after="0"/>
              <w:rPr>
                <w:sz w:val="15"/>
                <w:szCs w:val="15"/>
                <w:color w:val="auto"/>
              </w:rPr>
            </w:pPr>
          </w:p>
        </w:tc>
        <w:tc>
          <w:tcPr>
            <w:tcW w:w="720" w:type="dxa"/>
            <w:vAlign w:val="bottom"/>
          </w:tcPr>
          <w:p>
            <w:pPr>
              <w:jc w:val="right"/>
              <w:ind w:right="157"/>
              <w:spacing w:after="0"/>
              <w:rPr>
                <w:sz w:val="20"/>
                <w:szCs w:val="20"/>
                <w:color w:val="auto"/>
              </w:rPr>
            </w:pPr>
            <w:r>
              <w:rPr>
                <w:rFonts w:ascii="Arial" w:cs="Arial" w:eastAsia="Arial" w:hAnsi="Arial"/>
                <w:sz w:val="13"/>
                <w:szCs w:val="13"/>
                <w:color w:val="auto"/>
                <w:w w:val="86"/>
              </w:rPr>
              <w:t>(171,005)</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(171,005)</w:t>
            </w: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28,372</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28,372</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Dividends declared</w:t>
            </w: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(83,730)</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(83,730)</w:t>
            </w:r>
          </w:p>
        </w:tc>
        <w:tc>
          <w:tcPr>
            <w:tcW w:w="0" w:type="dxa"/>
            <w:vAlign w:val="bottom"/>
          </w:tcPr>
          <w:p>
            <w:pPr>
              <w:spacing w:after="0"/>
              <w:rPr>
                <w:sz w:val="1"/>
                <w:szCs w:val="1"/>
                <w:color w:val="auto"/>
              </w:rPr>
            </w:pPr>
          </w:p>
        </w:tc>
      </w:tr>
      <w:tr>
        <w:trPr>
          <w:trHeight w:val="208"/>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May 31, 2020</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40,556,920</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406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900,663</w:t>
            </w: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2,649,793</w:t>
            </w:r>
          </w:p>
        </w:tc>
        <w:tc>
          <w:tcPr>
            <w:tcW w:w="4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6"/>
              </w:rPr>
              <w:t>(606,405)</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573,354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(75,060)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792,958</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May 31, 2019</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3"/>
                <w:szCs w:val="13"/>
                <w:color w:val="auto"/>
              </w:rPr>
              <w:t>Treasury Stock</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90"/>
              </w:rPr>
              <w:t>Accumulated</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vMerge w:val="restart"/>
          </w:tcPr>
          <w:p>
            <w:pPr>
              <w:jc w:val="right"/>
              <w:ind w:right="157"/>
              <w:spacing w:after="0" w:line="135" w:lineRule="exact"/>
              <w:rPr>
                <w:sz w:val="20"/>
                <w:szCs w:val="20"/>
                <w:color w:val="auto"/>
              </w:rPr>
            </w:pPr>
            <w:r>
              <w:rPr>
                <w:rFonts w:ascii="Arial" w:cs="Arial" w:eastAsia="Arial" w:hAnsi="Arial"/>
                <w:sz w:val="13"/>
                <w:szCs w:val="13"/>
                <w:color w:val="auto"/>
              </w:rPr>
              <w:t>Additional</w:t>
            </w:r>
          </w:p>
        </w:tc>
        <w:tc>
          <w:tcPr>
            <w:tcW w:w="152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vMerge w:val="restart"/>
          </w:tcPr>
          <w:p>
            <w:pPr>
              <w:jc w:val="center"/>
              <w:ind w:right="77"/>
              <w:spacing w:after="0" w:line="135" w:lineRule="exact"/>
              <w:rPr>
                <w:sz w:val="20"/>
                <w:szCs w:val="20"/>
                <w:color w:val="auto"/>
              </w:rPr>
            </w:pPr>
            <w:r>
              <w:rPr>
                <w:rFonts w:ascii="Arial" w:cs="Arial" w:eastAsia="Arial" w:hAnsi="Arial"/>
                <w:sz w:val="13"/>
                <w:szCs w:val="13"/>
                <w:color w:val="auto"/>
                <w:w w:val="85"/>
              </w:rPr>
              <w:t>Other</w:t>
            </w:r>
          </w:p>
        </w:tc>
        <w:tc>
          <w:tcPr>
            <w:tcW w:w="220" w:type="dxa"/>
            <w:vAlign w:val="bottom"/>
          </w:tcPr>
          <w:p>
            <w:pPr>
              <w:spacing w:after="0"/>
              <w:rPr>
                <w:sz w:val="3"/>
                <w:szCs w:val="3"/>
                <w:color w:val="auto"/>
              </w:rPr>
            </w:pPr>
          </w:p>
        </w:tc>
        <w:tc>
          <w:tcPr>
            <w:tcW w:w="960" w:type="dxa"/>
            <w:vAlign w:val="bottom"/>
            <w:vMerge w:val="restart"/>
          </w:tcPr>
          <w:p>
            <w:pPr>
              <w:jc w:val="center"/>
              <w:ind w:right="77"/>
              <w:spacing w:after="0" w:line="135" w:lineRule="exact"/>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94"/>
        </w:trPr>
        <w:tc>
          <w:tcPr>
            <w:tcW w:w="2540" w:type="dxa"/>
            <w:vAlign w:val="bottom"/>
          </w:tcPr>
          <w:p>
            <w:pPr>
              <w:spacing w:after="0"/>
              <w:rPr>
                <w:sz w:val="8"/>
                <w:szCs w:val="8"/>
                <w:color w:val="auto"/>
              </w:rPr>
            </w:pPr>
          </w:p>
        </w:tc>
        <w:tc>
          <w:tcPr>
            <w:tcW w:w="2140" w:type="dxa"/>
            <w:vAlign w:val="bottom"/>
            <w:gridSpan w:val="3"/>
            <w:vMerge w:val="restart"/>
          </w:tcPr>
          <w:p>
            <w:pPr>
              <w:jc w:val="right"/>
              <w:ind w:right="657"/>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3"/>
                <w:szCs w:val="13"/>
                <w:color w:val="auto"/>
              </w:rPr>
              <w:t>Shares Amount</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540" w:type="dxa"/>
            <w:vAlign w:val="bottom"/>
          </w:tcPr>
          <w:p>
            <w:pPr>
              <w:spacing w:after="0"/>
              <w:rPr>
                <w:sz w:val="6"/>
                <w:szCs w:val="6"/>
                <w:color w:val="auto"/>
              </w:rPr>
            </w:pPr>
          </w:p>
        </w:tc>
        <w:tc>
          <w:tcPr>
            <w:tcW w:w="2140" w:type="dxa"/>
            <w:vAlign w:val="bottom"/>
            <w:tcBorders>
              <w:bottom w:val="single" w:sz="8" w:color="auto"/>
            </w:tcBorders>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vMerge w:val="restart"/>
          </w:tcPr>
          <w:p>
            <w:pPr>
              <w:jc w:val="right"/>
              <w:ind w:right="237"/>
              <w:spacing w:after="0" w:line="135" w:lineRule="exact"/>
              <w:rPr>
                <w:sz w:val="20"/>
                <w:szCs w:val="20"/>
                <w:color w:val="auto"/>
              </w:rPr>
            </w:pPr>
            <w:r>
              <w:rPr>
                <w:rFonts w:ascii="Arial" w:cs="Arial" w:eastAsia="Arial" w:hAnsi="Arial"/>
                <w:sz w:val="13"/>
                <w:szCs w:val="13"/>
                <w:color w:val="auto"/>
              </w:rPr>
              <w:t>Paid-in</w:t>
            </w:r>
          </w:p>
        </w:tc>
        <w:tc>
          <w:tcPr>
            <w:tcW w:w="1520" w:type="dxa"/>
            <w:vAlign w:val="bottom"/>
            <w:tcBorders>
              <w:bottom w:val="single" w:sz="8" w:color="auto"/>
            </w:tcBorders>
            <w:gridSpan w:val="2"/>
            <w:vMerge w:val="continue"/>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restart"/>
          </w:tcPr>
          <w:p>
            <w:pPr>
              <w:jc w:val="right"/>
              <w:ind w:right="197"/>
              <w:spacing w:after="0" w:line="135" w:lineRule="exact"/>
              <w:rPr>
                <w:sz w:val="20"/>
                <w:szCs w:val="20"/>
                <w:color w:val="auto"/>
              </w:rPr>
            </w:pPr>
            <w:r>
              <w:rPr>
                <w:rFonts w:ascii="Arial" w:cs="Arial" w:eastAsia="Arial" w:hAnsi="Arial"/>
                <w:sz w:val="13"/>
                <w:szCs w:val="13"/>
                <w:color w:val="auto"/>
                <w:w w:val="99"/>
              </w:rPr>
              <w:t>Retained</w:t>
            </w:r>
          </w:p>
        </w:tc>
        <w:tc>
          <w:tcPr>
            <w:tcW w:w="220" w:type="dxa"/>
            <w:vAlign w:val="bottom"/>
          </w:tcPr>
          <w:p>
            <w:pPr>
              <w:spacing w:after="0"/>
              <w:rPr>
                <w:sz w:val="6"/>
                <w:szCs w:val="6"/>
                <w:color w:val="auto"/>
              </w:rPr>
            </w:pPr>
          </w:p>
        </w:tc>
        <w:tc>
          <w:tcPr>
            <w:tcW w:w="980" w:type="dxa"/>
            <w:vAlign w:val="bottom"/>
            <w:vMerge w:val="restart"/>
          </w:tcPr>
          <w:p>
            <w:pPr>
              <w:jc w:val="center"/>
              <w:ind w:right="57"/>
              <w:spacing w:after="0" w:line="135" w:lineRule="exact"/>
              <w:rPr>
                <w:sz w:val="20"/>
                <w:szCs w:val="20"/>
                <w:color w:val="auto"/>
              </w:rPr>
            </w:pPr>
            <w:r>
              <w:rPr>
                <w:rFonts w:ascii="Arial" w:cs="Arial" w:eastAsia="Arial" w:hAnsi="Arial"/>
                <w:sz w:val="13"/>
                <w:szCs w:val="13"/>
                <w:color w:val="auto"/>
                <w:w w:val="85"/>
              </w:rPr>
              <w:t>Comprehensive</w:t>
            </w:r>
          </w:p>
        </w:tc>
        <w:tc>
          <w:tcPr>
            <w:tcW w:w="220" w:type="dxa"/>
            <w:vAlign w:val="bottom"/>
          </w:tcPr>
          <w:p>
            <w:pPr>
              <w:spacing w:after="0"/>
              <w:rPr>
                <w:sz w:val="6"/>
                <w:szCs w:val="6"/>
                <w:color w:val="auto"/>
              </w:rPr>
            </w:pPr>
          </w:p>
        </w:tc>
        <w:tc>
          <w:tcPr>
            <w:tcW w:w="960" w:type="dxa"/>
            <w:vAlign w:val="bottom"/>
            <w:vMerge w:val="restart"/>
          </w:tcPr>
          <w:p>
            <w:pPr>
              <w:jc w:val="center"/>
              <w:ind w:right="77"/>
              <w:spacing w:after="0" w:line="135"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40"/>
        </w:trPr>
        <w:tc>
          <w:tcPr>
            <w:tcW w:w="2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 except share data)</w:t>
            </w: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Shares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94"/>
              </w:rPr>
              <w:t>Par Value</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Capital</w:t>
            </w:r>
          </w:p>
        </w:tc>
        <w:tc>
          <w:tcPr>
            <w:tcW w:w="10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Shares</w:t>
            </w:r>
          </w:p>
        </w:tc>
        <w:tc>
          <w:tcPr>
            <w:tcW w:w="1180" w:type="dxa"/>
            <w:vAlign w:val="bottom"/>
            <w:tcBorders>
              <w:bottom w:val="single" w:sz="8" w:color="auto"/>
            </w:tcBorders>
            <w:gridSpan w:val="2"/>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Earnings</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87"/>
              </w:rPr>
              <w:t>Loss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February 28, 2019</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39,690,225</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397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732,538</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1,590,060</w:t>
            </w:r>
          </w:p>
        </w:tc>
        <w:tc>
          <w:tcPr>
            <w:tcW w:w="4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6"/>
              </w:rPr>
              <w:t>(324,167)</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244,388</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(53,635)</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599,521</w:t>
            </w:r>
          </w:p>
        </w:tc>
        <w:tc>
          <w:tcPr>
            <w:tcW w:w="0" w:type="dxa"/>
            <w:vAlign w:val="bottom"/>
          </w:tcPr>
          <w:p>
            <w:pPr>
              <w:spacing w:after="0"/>
              <w:rPr>
                <w:sz w:val="1"/>
                <w:szCs w:val="1"/>
                <w:color w:val="auto"/>
              </w:rPr>
            </w:pPr>
          </w:p>
        </w:tc>
      </w:tr>
      <w:tr>
        <w:trPr>
          <w:trHeight w:val="181"/>
        </w:trPr>
        <w:tc>
          <w:tcPr>
            <w:tcW w:w="254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92,265</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92,265</w:t>
            </w: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(11,486)</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(11,486)</w:t>
            </w:r>
          </w:p>
        </w:tc>
        <w:tc>
          <w:tcPr>
            <w:tcW w:w="0" w:type="dxa"/>
            <w:vAlign w:val="bottom"/>
          </w:tcPr>
          <w:p>
            <w:pPr>
              <w:spacing w:after="0"/>
              <w:rPr>
                <w:sz w:val="1"/>
                <w:szCs w:val="1"/>
                <w:color w:val="auto"/>
              </w:rPr>
            </w:pPr>
          </w:p>
        </w:tc>
      </w:tr>
      <w:tr>
        <w:trPr>
          <w:trHeight w:val="148"/>
        </w:trPr>
        <w:tc>
          <w:tcPr>
            <w:tcW w:w="2540" w:type="dxa"/>
            <w:vAlign w:val="bottom"/>
          </w:tcPr>
          <w:p>
            <w:pPr>
              <w:ind w:left="120"/>
              <w:spacing w:after="0" w:line="148" w:lineRule="exact"/>
              <w:rPr>
                <w:sz w:val="20"/>
                <w:szCs w:val="20"/>
                <w:color w:val="auto"/>
              </w:rPr>
            </w:pPr>
            <w:r>
              <w:rPr>
                <w:rFonts w:ascii="Arial" w:cs="Arial" w:eastAsia="Arial" w:hAnsi="Arial"/>
                <w:sz w:val="13"/>
                <w:szCs w:val="13"/>
                <w:color w:val="auto"/>
                <w:w w:val="99"/>
              </w:rPr>
              <w:t>Common stock issued for employee stock</w:t>
            </w: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292,598</w:t>
            </w:r>
          </w:p>
        </w:tc>
        <w:tc>
          <w:tcPr>
            <w:tcW w:w="280" w:type="dxa"/>
            <w:vAlign w:val="bottom"/>
          </w:tcPr>
          <w:p>
            <w:pPr>
              <w:spacing w:after="0"/>
              <w:rPr>
                <w:sz w:val="12"/>
                <w:szCs w:val="12"/>
                <w:color w:val="auto"/>
              </w:rPr>
            </w:pPr>
          </w:p>
        </w:tc>
        <w:tc>
          <w:tcPr>
            <w:tcW w:w="900" w:type="dxa"/>
            <w:vAlign w:val="bottom"/>
            <w:vMerge w:val="restart"/>
          </w:tcPr>
          <w:p>
            <w:pPr>
              <w:jc w:val="right"/>
              <w:ind w:right="177"/>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3"/>
                <w:szCs w:val="13"/>
                <w:color w:val="auto"/>
              </w:rPr>
              <w:t>41,172</w:t>
            </w: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41,175</w:t>
            </w:r>
          </w:p>
        </w:tc>
        <w:tc>
          <w:tcPr>
            <w:tcW w:w="0" w:type="dxa"/>
            <w:vAlign w:val="bottom"/>
          </w:tcPr>
          <w:p>
            <w:pPr>
              <w:spacing w:after="0"/>
              <w:rPr>
                <w:sz w:val="1"/>
                <w:szCs w:val="1"/>
                <w:color w:val="auto"/>
              </w:rPr>
            </w:pPr>
          </w:p>
        </w:tc>
      </w:tr>
      <w:tr>
        <w:trPr>
          <w:trHeight w:val="93"/>
        </w:trPr>
        <w:tc>
          <w:tcPr>
            <w:tcW w:w="2540" w:type="dxa"/>
            <w:vAlign w:val="bottom"/>
            <w:vMerge w:val="restart"/>
          </w:tcPr>
          <w:p>
            <w:pPr>
              <w:ind w:left="120"/>
              <w:spacing w:after="0"/>
              <w:rPr>
                <w:sz w:val="20"/>
                <w:szCs w:val="20"/>
                <w:color w:val="auto"/>
              </w:rPr>
            </w:pPr>
            <w:r>
              <w:rPr>
                <w:rFonts w:ascii="Arial" w:cs="Arial" w:eastAsia="Arial" w:hAnsi="Arial"/>
                <w:sz w:val="13"/>
                <w:szCs w:val="13"/>
                <w:color w:val="auto"/>
              </w:rPr>
              <w:t>plans</w:t>
            </w:r>
          </w:p>
        </w:tc>
        <w:tc>
          <w:tcPr>
            <w:tcW w:w="9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5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54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175,000</w:t>
            </w:r>
          </w:p>
        </w:tc>
        <w:tc>
          <w:tcPr>
            <w:tcW w:w="460" w:type="dxa"/>
            <w:vAlign w:val="bottom"/>
          </w:tcPr>
          <w:p>
            <w:pPr>
              <w:spacing w:after="0"/>
              <w:rPr>
                <w:sz w:val="15"/>
                <w:szCs w:val="15"/>
                <w:color w:val="auto"/>
              </w:rPr>
            </w:pPr>
          </w:p>
        </w:tc>
        <w:tc>
          <w:tcPr>
            <w:tcW w:w="720" w:type="dxa"/>
            <w:vAlign w:val="bottom"/>
          </w:tcPr>
          <w:p>
            <w:pPr>
              <w:jc w:val="right"/>
              <w:ind w:right="157"/>
              <w:spacing w:after="0"/>
              <w:rPr>
                <w:sz w:val="20"/>
                <w:szCs w:val="20"/>
                <w:color w:val="auto"/>
              </w:rPr>
            </w:pPr>
            <w:r>
              <w:rPr>
                <w:rFonts w:ascii="Arial" w:cs="Arial" w:eastAsia="Arial" w:hAnsi="Arial"/>
                <w:sz w:val="13"/>
                <w:szCs w:val="13"/>
                <w:color w:val="auto"/>
                <w:w w:val="99"/>
              </w:rPr>
              <w:t>(47,555)</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(47,555)</w:t>
            </w: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7,995</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7,995</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Dividends declared</w:t>
            </w: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(27,506)</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(27,506)</w:t>
            </w:r>
          </w:p>
        </w:tc>
        <w:tc>
          <w:tcPr>
            <w:tcW w:w="0" w:type="dxa"/>
            <w:vAlign w:val="bottom"/>
          </w:tcPr>
          <w:p>
            <w:pPr>
              <w:spacing w:after="0"/>
              <w:rPr>
                <w:sz w:val="1"/>
                <w:szCs w:val="1"/>
                <w:color w:val="auto"/>
              </w:rPr>
            </w:pPr>
          </w:p>
        </w:tc>
      </w:tr>
      <w:tr>
        <w:trPr>
          <w:trHeight w:val="208"/>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May 31, 2019</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39,982,823</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400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781,705</w:t>
            </w: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1,765,060</w:t>
            </w:r>
          </w:p>
        </w:tc>
        <w:tc>
          <w:tcPr>
            <w:tcW w:w="4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6"/>
              </w:rPr>
              <w:t>(371,722)</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309,147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(65,121)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654,409</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 the Nine Months Ended May 31, 2019</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3"/>
                <w:szCs w:val="13"/>
                <w:color w:val="auto"/>
              </w:rPr>
              <w:t>Treasury Stock</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90"/>
              </w:rPr>
              <w:t>Accumulated</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ind w:left="60"/>
              <w:spacing w:after="0" w:line="135" w:lineRule="exact"/>
              <w:rPr>
                <w:sz w:val="20"/>
                <w:szCs w:val="20"/>
                <w:color w:val="auto"/>
              </w:rPr>
            </w:pPr>
            <w:r>
              <w:rPr>
                <w:rFonts w:ascii="Arial" w:cs="Arial" w:eastAsia="Arial" w:hAnsi="Arial"/>
                <w:sz w:val="13"/>
                <w:szCs w:val="13"/>
                <w:color w:val="auto"/>
              </w:rPr>
              <w:t>Additional</w:t>
            </w:r>
          </w:p>
        </w:tc>
        <w:tc>
          <w:tcPr>
            <w:tcW w:w="142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vMerge w:val="restart"/>
          </w:tcPr>
          <w:p>
            <w:pPr>
              <w:jc w:val="center"/>
              <w:ind w:right="77"/>
              <w:spacing w:after="0" w:line="135" w:lineRule="exact"/>
              <w:rPr>
                <w:sz w:val="20"/>
                <w:szCs w:val="20"/>
                <w:color w:val="auto"/>
              </w:rPr>
            </w:pPr>
            <w:r>
              <w:rPr>
                <w:rFonts w:ascii="Arial" w:cs="Arial" w:eastAsia="Arial" w:hAnsi="Arial"/>
                <w:sz w:val="13"/>
                <w:szCs w:val="13"/>
                <w:color w:val="auto"/>
                <w:w w:val="85"/>
              </w:rPr>
              <w:t>Other</w:t>
            </w:r>
          </w:p>
        </w:tc>
        <w:tc>
          <w:tcPr>
            <w:tcW w:w="220" w:type="dxa"/>
            <w:vAlign w:val="bottom"/>
          </w:tcPr>
          <w:p>
            <w:pPr>
              <w:spacing w:after="0"/>
              <w:rPr>
                <w:sz w:val="3"/>
                <w:szCs w:val="3"/>
                <w:color w:val="auto"/>
              </w:rPr>
            </w:pPr>
          </w:p>
        </w:tc>
        <w:tc>
          <w:tcPr>
            <w:tcW w:w="960" w:type="dxa"/>
            <w:vAlign w:val="bottom"/>
            <w:vMerge w:val="restart"/>
          </w:tcPr>
          <w:p>
            <w:pPr>
              <w:jc w:val="center"/>
              <w:ind w:right="77"/>
              <w:spacing w:after="0" w:line="135" w:lineRule="exact"/>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94"/>
        </w:trPr>
        <w:tc>
          <w:tcPr>
            <w:tcW w:w="2540" w:type="dxa"/>
            <w:vAlign w:val="bottom"/>
          </w:tcPr>
          <w:p>
            <w:pPr>
              <w:spacing w:after="0"/>
              <w:rPr>
                <w:sz w:val="8"/>
                <w:szCs w:val="8"/>
                <w:color w:val="auto"/>
              </w:rPr>
            </w:pPr>
          </w:p>
        </w:tc>
        <w:tc>
          <w:tcPr>
            <w:tcW w:w="2140" w:type="dxa"/>
            <w:vAlign w:val="bottom"/>
            <w:gridSpan w:val="4"/>
            <w:vMerge w:val="restart"/>
          </w:tcPr>
          <w:p>
            <w:pPr>
              <w:ind w:left="620"/>
              <w:spacing w:after="0"/>
              <w:rPr>
                <w:sz w:val="20"/>
                <w:szCs w:val="20"/>
                <w:color w:val="auto"/>
              </w:rPr>
            </w:pPr>
            <w:r>
              <w:rPr>
                <w:rFonts w:ascii="Arial" w:cs="Arial" w:eastAsia="Arial" w:hAnsi="Arial"/>
                <w:sz w:val="13"/>
                <w:szCs w:val="13"/>
                <w:color w:val="auto"/>
              </w:rPr>
              <w:t>Common Stock</w:t>
            </w: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3"/>
                <w:szCs w:val="13"/>
                <w:color w:val="auto"/>
              </w:rPr>
              <w:t>Shares Amount</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540" w:type="dxa"/>
            <w:vAlign w:val="bottom"/>
          </w:tcPr>
          <w:p>
            <w:pPr>
              <w:spacing w:after="0"/>
              <w:rPr>
                <w:sz w:val="6"/>
                <w:szCs w:val="6"/>
                <w:color w:val="auto"/>
              </w:rPr>
            </w:pPr>
          </w:p>
        </w:tc>
        <w:tc>
          <w:tcPr>
            <w:tcW w:w="2140" w:type="dxa"/>
            <w:vAlign w:val="bottom"/>
            <w:tcBorders>
              <w:bottom w:val="single" w:sz="8" w:color="auto"/>
            </w:tcBorders>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vMerge w:val="restart"/>
          </w:tcPr>
          <w:p>
            <w:pPr>
              <w:jc w:val="right"/>
              <w:ind w:right="237"/>
              <w:spacing w:after="0" w:line="135" w:lineRule="exact"/>
              <w:rPr>
                <w:sz w:val="20"/>
                <w:szCs w:val="20"/>
                <w:color w:val="auto"/>
              </w:rPr>
            </w:pPr>
            <w:r>
              <w:rPr>
                <w:rFonts w:ascii="Arial" w:cs="Arial" w:eastAsia="Arial" w:hAnsi="Arial"/>
                <w:sz w:val="13"/>
                <w:szCs w:val="13"/>
                <w:color w:val="auto"/>
              </w:rPr>
              <w:t>Paid-in</w:t>
            </w:r>
          </w:p>
        </w:tc>
        <w:tc>
          <w:tcPr>
            <w:tcW w:w="1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gridSpan w:val="2"/>
            <w:vMerge w:val="continue"/>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restart"/>
          </w:tcPr>
          <w:p>
            <w:pPr>
              <w:jc w:val="right"/>
              <w:ind w:right="197"/>
              <w:spacing w:after="0" w:line="135" w:lineRule="exact"/>
              <w:rPr>
                <w:sz w:val="20"/>
                <w:szCs w:val="20"/>
                <w:color w:val="auto"/>
              </w:rPr>
            </w:pPr>
            <w:r>
              <w:rPr>
                <w:rFonts w:ascii="Arial" w:cs="Arial" w:eastAsia="Arial" w:hAnsi="Arial"/>
                <w:sz w:val="13"/>
                <w:szCs w:val="13"/>
                <w:color w:val="auto"/>
                <w:w w:val="99"/>
              </w:rPr>
              <w:t>Retained</w:t>
            </w:r>
          </w:p>
        </w:tc>
        <w:tc>
          <w:tcPr>
            <w:tcW w:w="220" w:type="dxa"/>
            <w:vAlign w:val="bottom"/>
          </w:tcPr>
          <w:p>
            <w:pPr>
              <w:spacing w:after="0"/>
              <w:rPr>
                <w:sz w:val="6"/>
                <w:szCs w:val="6"/>
                <w:color w:val="auto"/>
              </w:rPr>
            </w:pPr>
          </w:p>
        </w:tc>
        <w:tc>
          <w:tcPr>
            <w:tcW w:w="980" w:type="dxa"/>
            <w:vAlign w:val="bottom"/>
            <w:vMerge w:val="restart"/>
          </w:tcPr>
          <w:p>
            <w:pPr>
              <w:jc w:val="center"/>
              <w:ind w:right="57"/>
              <w:spacing w:after="0" w:line="135" w:lineRule="exact"/>
              <w:rPr>
                <w:sz w:val="20"/>
                <w:szCs w:val="20"/>
                <w:color w:val="auto"/>
              </w:rPr>
            </w:pPr>
            <w:r>
              <w:rPr>
                <w:rFonts w:ascii="Arial" w:cs="Arial" w:eastAsia="Arial" w:hAnsi="Arial"/>
                <w:sz w:val="13"/>
                <w:szCs w:val="13"/>
                <w:color w:val="auto"/>
                <w:w w:val="85"/>
              </w:rPr>
              <w:t>Comprehensive</w:t>
            </w:r>
          </w:p>
        </w:tc>
        <w:tc>
          <w:tcPr>
            <w:tcW w:w="220" w:type="dxa"/>
            <w:vAlign w:val="bottom"/>
          </w:tcPr>
          <w:p>
            <w:pPr>
              <w:spacing w:after="0"/>
              <w:rPr>
                <w:sz w:val="6"/>
                <w:szCs w:val="6"/>
                <w:color w:val="auto"/>
              </w:rPr>
            </w:pPr>
          </w:p>
        </w:tc>
        <w:tc>
          <w:tcPr>
            <w:tcW w:w="960" w:type="dxa"/>
            <w:vAlign w:val="bottom"/>
            <w:vMerge w:val="restart"/>
          </w:tcPr>
          <w:p>
            <w:pPr>
              <w:jc w:val="center"/>
              <w:ind w:right="77"/>
              <w:spacing w:after="0" w:line="135" w:lineRule="exact"/>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40"/>
        </w:trPr>
        <w:tc>
          <w:tcPr>
            <w:tcW w:w="2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54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share data)</w:t>
            </w:r>
          </w:p>
        </w:tc>
        <w:tc>
          <w:tcPr>
            <w:tcW w:w="960" w:type="dxa"/>
            <w:vAlign w:val="bottom"/>
          </w:tcPr>
          <w:p>
            <w:pPr>
              <w:jc w:val="right"/>
              <w:ind w:right="237"/>
              <w:spacing w:after="0"/>
              <w:rPr>
                <w:sz w:val="20"/>
                <w:szCs w:val="20"/>
                <w:color w:val="auto"/>
              </w:rPr>
            </w:pPr>
            <w:r>
              <w:rPr>
                <w:rFonts w:ascii="Arial" w:cs="Arial" w:eastAsia="Arial" w:hAnsi="Arial"/>
                <w:sz w:val="13"/>
                <w:szCs w:val="13"/>
                <w:color w:val="auto"/>
              </w:rPr>
              <w:t>Shares</w:t>
            </w:r>
          </w:p>
        </w:tc>
        <w:tc>
          <w:tcPr>
            <w:tcW w:w="28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auto"/>
              </w:rPr>
              <w:t>Par Value</w:t>
            </w: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Capital</w:t>
            </w:r>
          </w:p>
        </w:tc>
        <w:tc>
          <w:tcPr>
            <w:tcW w:w="960" w:type="dxa"/>
            <w:vAlign w:val="bottom"/>
          </w:tcPr>
          <w:p>
            <w:pPr>
              <w:jc w:val="right"/>
              <w:ind w:right="237"/>
              <w:spacing w:after="0"/>
              <w:rPr>
                <w:sz w:val="20"/>
                <w:szCs w:val="20"/>
                <w:color w:val="auto"/>
              </w:rPr>
            </w:pPr>
            <w:r>
              <w:rPr>
                <w:rFonts w:ascii="Arial" w:cs="Arial" w:eastAsia="Arial" w:hAnsi="Arial"/>
                <w:sz w:val="13"/>
                <w:szCs w:val="13"/>
                <w:color w:val="auto"/>
              </w:rPr>
              <w:t>Shares</w:t>
            </w:r>
          </w:p>
        </w:tc>
        <w:tc>
          <w:tcPr>
            <w:tcW w:w="1180" w:type="dxa"/>
            <w:vAlign w:val="bottom"/>
            <w:gridSpan w:val="2"/>
          </w:tcPr>
          <w:p>
            <w:pPr>
              <w:jc w:val="right"/>
              <w:ind w:right="317"/>
              <w:spacing w:after="0"/>
              <w:rPr>
                <w:sz w:val="20"/>
                <w:szCs w:val="20"/>
                <w:color w:val="auto"/>
              </w:rPr>
            </w:pPr>
            <w:r>
              <w:rPr>
                <w:rFonts w:ascii="Arial" w:cs="Arial" w:eastAsia="Arial" w:hAnsi="Arial"/>
                <w:sz w:val="13"/>
                <w:szCs w:val="13"/>
                <w:color w:val="auto"/>
              </w:rPr>
              <w:t>Amount</w:t>
            </w:r>
          </w:p>
        </w:tc>
        <w:tc>
          <w:tcPr>
            <w:tcW w:w="160" w:type="dxa"/>
            <w:vAlign w:val="bottom"/>
          </w:tcPr>
          <w:p>
            <w:pPr>
              <w:spacing w:after="0"/>
              <w:rPr>
                <w:sz w:val="14"/>
                <w:szCs w:val="14"/>
                <w:color w:val="auto"/>
              </w:rPr>
            </w:pP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Earnings</w:t>
            </w:r>
          </w:p>
        </w:tc>
        <w:tc>
          <w:tcPr>
            <w:tcW w:w="220" w:type="dxa"/>
            <w:vAlign w:val="bottom"/>
          </w:tcPr>
          <w:p>
            <w:pPr>
              <w:spacing w:after="0"/>
              <w:rPr>
                <w:sz w:val="14"/>
                <w:szCs w:val="14"/>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87"/>
              </w:rPr>
              <w:t>Loss</w:t>
            </w:r>
          </w:p>
        </w:tc>
        <w:tc>
          <w:tcPr>
            <w:tcW w:w="22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89"/>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Balance as of August 31, 2018</w:t>
            </w:r>
          </w:p>
        </w:tc>
        <w:tc>
          <w:tcPr>
            <w:tcW w:w="9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39,264,849</w:t>
            </w:r>
          </w:p>
        </w:tc>
        <w:tc>
          <w:tcPr>
            <w:tcW w:w="2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393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667,531</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1,072,263</w:t>
            </w:r>
          </w:p>
        </w:tc>
        <w:tc>
          <w:tcPr>
            <w:tcW w:w="4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6"/>
              </w:rPr>
              <w:t>(213,428)</w:t>
            </w: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122,843</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(51,439)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525,900</w:t>
            </w:r>
          </w:p>
        </w:tc>
        <w:tc>
          <w:tcPr>
            <w:tcW w:w="0" w:type="dxa"/>
            <w:vAlign w:val="bottom"/>
          </w:tcPr>
          <w:p>
            <w:pPr>
              <w:spacing w:after="0"/>
              <w:rPr>
                <w:sz w:val="1"/>
                <w:szCs w:val="1"/>
                <w:color w:val="auto"/>
              </w:rPr>
            </w:pPr>
          </w:p>
        </w:tc>
      </w:tr>
      <w:tr>
        <w:trPr>
          <w:trHeight w:val="181"/>
        </w:trPr>
        <w:tc>
          <w:tcPr>
            <w:tcW w:w="254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261,263</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261,263</w:t>
            </w: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loss</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(14,399)</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(14,399)</w:t>
            </w:r>
          </w:p>
        </w:tc>
        <w:tc>
          <w:tcPr>
            <w:tcW w:w="0" w:type="dxa"/>
            <w:vAlign w:val="bottom"/>
          </w:tcPr>
          <w:p>
            <w:pPr>
              <w:spacing w:after="0"/>
              <w:rPr>
                <w:sz w:val="1"/>
                <w:szCs w:val="1"/>
                <w:color w:val="auto"/>
              </w:rPr>
            </w:pPr>
          </w:p>
        </w:tc>
      </w:tr>
      <w:tr>
        <w:trPr>
          <w:trHeight w:val="148"/>
        </w:trPr>
        <w:tc>
          <w:tcPr>
            <w:tcW w:w="2540" w:type="dxa"/>
            <w:vAlign w:val="bottom"/>
          </w:tcPr>
          <w:p>
            <w:pPr>
              <w:ind w:left="120"/>
              <w:spacing w:after="0" w:line="148" w:lineRule="exact"/>
              <w:rPr>
                <w:sz w:val="20"/>
                <w:szCs w:val="20"/>
                <w:color w:val="auto"/>
              </w:rPr>
            </w:pPr>
            <w:r>
              <w:rPr>
                <w:rFonts w:ascii="Arial" w:cs="Arial" w:eastAsia="Arial" w:hAnsi="Arial"/>
                <w:sz w:val="13"/>
                <w:szCs w:val="13"/>
                <w:color w:val="auto"/>
                <w:w w:val="99"/>
              </w:rPr>
              <w:t>Common stock issued for employee stock</w:t>
            </w: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642,444</w:t>
            </w:r>
          </w:p>
        </w:tc>
        <w:tc>
          <w:tcPr>
            <w:tcW w:w="280" w:type="dxa"/>
            <w:vAlign w:val="bottom"/>
          </w:tcPr>
          <w:p>
            <w:pPr>
              <w:spacing w:after="0"/>
              <w:rPr>
                <w:sz w:val="12"/>
                <w:szCs w:val="12"/>
                <w:color w:val="auto"/>
              </w:rPr>
            </w:pPr>
          </w:p>
        </w:tc>
        <w:tc>
          <w:tcPr>
            <w:tcW w:w="800" w:type="dxa"/>
            <w:vAlign w:val="bottom"/>
            <w:vMerge w:val="restart"/>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3"/>
                <w:szCs w:val="13"/>
                <w:color w:val="auto"/>
              </w:rPr>
              <w:t>90,039</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color w:val="auto"/>
              </w:rPr>
              <w:t>90,046</w:t>
            </w:r>
          </w:p>
        </w:tc>
        <w:tc>
          <w:tcPr>
            <w:tcW w:w="0" w:type="dxa"/>
            <w:vAlign w:val="bottom"/>
          </w:tcPr>
          <w:p>
            <w:pPr>
              <w:spacing w:after="0"/>
              <w:rPr>
                <w:sz w:val="1"/>
                <w:szCs w:val="1"/>
                <w:color w:val="auto"/>
              </w:rPr>
            </w:pPr>
          </w:p>
        </w:tc>
      </w:tr>
      <w:tr>
        <w:trPr>
          <w:trHeight w:val="93"/>
        </w:trPr>
        <w:tc>
          <w:tcPr>
            <w:tcW w:w="2540" w:type="dxa"/>
            <w:vAlign w:val="bottom"/>
            <w:vMerge w:val="restart"/>
          </w:tcPr>
          <w:p>
            <w:pPr>
              <w:ind w:left="120"/>
              <w:spacing w:after="0"/>
              <w:rPr>
                <w:sz w:val="20"/>
                <w:szCs w:val="20"/>
                <w:color w:val="auto"/>
              </w:rPr>
            </w:pPr>
            <w:r>
              <w:rPr>
                <w:rFonts w:ascii="Arial" w:cs="Arial" w:eastAsia="Arial" w:hAnsi="Arial"/>
                <w:sz w:val="13"/>
                <w:szCs w:val="13"/>
                <w:color w:val="auto"/>
              </w:rPr>
              <w:t>plans</w:t>
            </w:r>
          </w:p>
        </w:tc>
        <w:tc>
          <w:tcPr>
            <w:tcW w:w="9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5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75,530</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27,852</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(6,155)</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(6,155)</w:t>
            </w:r>
          </w:p>
        </w:tc>
        <w:tc>
          <w:tcPr>
            <w:tcW w:w="0" w:type="dxa"/>
            <w:vAlign w:val="bottom"/>
          </w:tcPr>
          <w:p>
            <w:pPr>
              <w:spacing w:after="0"/>
              <w:rPr>
                <w:sz w:val="1"/>
                <w:szCs w:val="1"/>
                <w:color w:val="auto"/>
              </w:rPr>
            </w:pPr>
          </w:p>
        </w:tc>
      </w:tr>
      <w:tr>
        <w:trPr>
          <w:trHeight w:val="181"/>
        </w:trPr>
        <w:tc>
          <w:tcPr>
            <w:tcW w:w="254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664,945</w:t>
            </w:r>
          </w:p>
        </w:tc>
        <w:tc>
          <w:tcPr>
            <w:tcW w:w="460" w:type="dxa"/>
            <w:vAlign w:val="bottom"/>
          </w:tcPr>
          <w:p>
            <w:pPr>
              <w:spacing w:after="0"/>
              <w:rPr>
                <w:sz w:val="15"/>
                <w:szCs w:val="15"/>
                <w:color w:val="auto"/>
              </w:rPr>
            </w:pPr>
          </w:p>
        </w:tc>
        <w:tc>
          <w:tcPr>
            <w:tcW w:w="720" w:type="dxa"/>
            <w:vAlign w:val="bottom"/>
          </w:tcPr>
          <w:p>
            <w:pPr>
              <w:jc w:val="right"/>
              <w:ind w:right="157"/>
              <w:spacing w:after="0"/>
              <w:rPr>
                <w:sz w:val="20"/>
                <w:szCs w:val="20"/>
                <w:color w:val="auto"/>
              </w:rPr>
            </w:pPr>
            <w:r>
              <w:rPr>
                <w:rFonts w:ascii="Arial" w:cs="Arial" w:eastAsia="Arial" w:hAnsi="Arial"/>
                <w:sz w:val="13"/>
                <w:szCs w:val="13"/>
                <w:color w:val="auto"/>
                <w:w w:val="86"/>
              </w:rPr>
              <w:t>(152,139)</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(152,139)</w:t>
            </w:r>
          </w:p>
        </w:tc>
        <w:tc>
          <w:tcPr>
            <w:tcW w:w="0" w:type="dxa"/>
            <w:vAlign w:val="bottom"/>
          </w:tcPr>
          <w:p>
            <w:pPr>
              <w:spacing w:after="0"/>
              <w:rPr>
                <w:sz w:val="1"/>
                <w:szCs w:val="1"/>
                <w:color w:val="auto"/>
              </w:rPr>
            </w:pPr>
          </w:p>
        </w:tc>
      </w:tr>
      <w:tr>
        <w:trPr>
          <w:trHeight w:val="197"/>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expense</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24,135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24,135</w:t>
            </w:r>
          </w:p>
        </w:tc>
        <w:tc>
          <w:tcPr>
            <w:tcW w:w="0" w:type="dxa"/>
            <w:vAlign w:val="bottom"/>
          </w:tcPr>
          <w:p>
            <w:pPr>
              <w:spacing w:after="0"/>
              <w:rPr>
                <w:sz w:val="1"/>
                <w:szCs w:val="1"/>
                <w:color w:val="auto"/>
              </w:rPr>
            </w:pPr>
          </w:p>
        </w:tc>
      </w:tr>
      <w:tr>
        <w:trPr>
          <w:trHeight w:val="181"/>
        </w:trPr>
        <w:tc>
          <w:tcPr>
            <w:tcW w:w="2540" w:type="dxa"/>
            <w:vAlign w:val="bottom"/>
          </w:tcPr>
          <w:p>
            <w:pPr>
              <w:ind w:left="120"/>
              <w:spacing w:after="0"/>
              <w:rPr>
                <w:sz w:val="20"/>
                <w:szCs w:val="20"/>
                <w:color w:val="auto"/>
              </w:rPr>
            </w:pPr>
            <w:r>
              <w:rPr>
                <w:rFonts w:ascii="Arial" w:cs="Arial" w:eastAsia="Arial" w:hAnsi="Arial"/>
                <w:sz w:val="13"/>
                <w:szCs w:val="13"/>
                <w:color w:val="auto"/>
              </w:rPr>
              <w:t>Dividends declared</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(76,263)</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(76,263)</w:t>
            </w:r>
          </w:p>
        </w:tc>
        <w:tc>
          <w:tcPr>
            <w:tcW w:w="0" w:type="dxa"/>
            <w:vAlign w:val="bottom"/>
          </w:tcPr>
          <w:p>
            <w:pPr>
              <w:spacing w:after="0"/>
              <w:rPr>
                <w:sz w:val="1"/>
                <w:szCs w:val="1"/>
                <w:color w:val="auto"/>
              </w:rPr>
            </w:pPr>
          </w:p>
        </w:tc>
      </w:tr>
      <w:tr>
        <w:trPr>
          <w:trHeight w:val="156"/>
        </w:trPr>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6"/>
              </w:rPr>
              <w:t>Cumulative effect of adoption of accounting</w:t>
            </w: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1,304</w:t>
            </w:r>
          </w:p>
        </w:tc>
        <w:tc>
          <w:tcPr>
            <w:tcW w:w="2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717</w:t>
            </w:r>
          </w:p>
        </w:tc>
        <w:tc>
          <w:tcPr>
            <w:tcW w:w="2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93"/>
        </w:trPr>
        <w:tc>
          <w:tcPr>
            <w:tcW w:w="254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standards*</w:t>
            </w:r>
          </w:p>
        </w:tc>
        <w:tc>
          <w:tcPr>
            <w:tcW w:w="9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540" w:type="dxa"/>
            <w:vAlign w:val="bottom"/>
            <w:vMerge w:val="continue"/>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40" w:type="dxa"/>
            <w:vAlign w:val="bottom"/>
          </w:tcPr>
          <w:p>
            <w:pPr>
              <w:ind w:left="20"/>
              <w:spacing w:after="0"/>
              <w:rPr>
                <w:sz w:val="20"/>
                <w:szCs w:val="20"/>
                <w:color w:val="auto"/>
              </w:rPr>
            </w:pPr>
            <w:r>
              <w:rPr>
                <w:rFonts w:ascii="Arial" w:cs="Arial" w:eastAsia="Arial" w:hAnsi="Arial"/>
                <w:sz w:val="13"/>
                <w:szCs w:val="13"/>
                <w:color w:val="auto"/>
              </w:rPr>
              <w:t>Balance as of May 31, 2019</w:t>
            </w: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39,982,823</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400</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781,705</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1,765,060</w:t>
            </w:r>
          </w:p>
        </w:tc>
        <w:tc>
          <w:tcPr>
            <w:tcW w:w="4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6"/>
              </w:rPr>
              <w:t>(371,722)</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309,147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(65,121)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654,409</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8"/>
        <w:spacing w:after="0" w:line="259" w:lineRule="auto"/>
        <w:tabs>
          <w:tab w:leader="none" w:pos="13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the cumulative effect of adoption of accounting standards primarily due to both the adoption of the new revenue recognition standard (ASC 606) resulting in a cumulative increase to retained earnings related to certain fulfillment costs and the accounting standard update related to the U.S. Tax Cuts and Jobs Act ("TCJA") providing for the reclassification from accumulated other comprehensive loss to retained earnings for stranded tax effects. See Note 4 for additional revenue recognition information.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FactSet Research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FactSet Research Systems Inc. (the "Company" or "FactSet") is a global provider of integrated financial information, analytical applications and industry-leading services for the investment and corporate communities. For over 40 years, global financial professionals have utilized the Company's content and multi-asset class solutions across each stage of the investment process. FactSet's goal is to provide a seamless user experience spanning idea generation, research, portfolio construction and analysis, trade execution, performance measurement, risk management, and reporting, in which the Company serves the front, middle, and back offices to drive productivity and improved performance. FactSet's flexible, open data and technology solutions can be implemented both across the investment portfolio lifecycle or as standalone components serving different workflows in an organization. FactSet is focused on growing the business through three segments: the Americas, EMEA (formerly known as Europe), and Asia Pacific. The Company primarily delivers insight and information through the workflow solutions of Research, Analytics and Trading, Content and Technology Solutions ("CTS") and Wealth.</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FactSet currently serves financial professionals, which include portfolio managers, investment research professionals, investment bankers, risk and performance analysts, wealth advisors and corporate clients. FactSet provides both insights on global market trends and intelligence on companies and industries, as well as capabilities to monitor portfolio risk and performance and to execute trades. The Company combines dedicated client service with open and flexible technology offerings, such as a configurable desktop and mobile platform, comprehensive data feeds, an open marketplace and digital portals and application programming interfaces (APIs). The Company’s revenue is primarily derived from subscriptions to products and services such as workstations, portfolio analytics, enterprise data, and research management.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FactSet conducts business globally and is managed on a geographic basis. The accompanying unaudited consolidated financial statements and notes of FactSet and its wholly-owned subsidiaries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The accompanying consolidated financial statements include the accounts of the Company and its wholly-owned subsidiaries. All intercompany activity and balances have been eliminated.</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unaudited consolidated financial statements include all normal recurring adjustments, transactions or events discretely impacting the interim periods considered necessary to present fairly the Company’s results of operations, financial position, cash flows and equity. Certain notes and other information have been condensed or omitted in this Quarterly Report on Form 10-Q, therefore the information in this Quarterly Report on Form 10-Q should be read in conjunction with the audited consolidated financial statements and notes thereto included in the Company’s Annual Report on Form 10-K for the fiscal year ended August 31, 2019, filed with the Securities and Exchange Commission ("SEC") on October 30,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date the financial statements were issued.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3"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The Company reclassified certain prior year comparative figures from Interest expense net, to Other expense, net including non-operational foreign exchange gains and losses in the Consolidated Statement of Income to conform to the current year's presentation.</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reclassified certain capitalized software from Property, equipment and leasehold improvements, net to Intangible assets, net in the prior year comparative figures in the Consolidated Balance Sheets to conform to the current year's presentation.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novel strain of coronavirus, now known as COVID-19 (“COVID-19”), was first reported in December 2019, and it has since extensively impacted the global health and economic environment, with the World Health Organization characterizing COVID-19 as a pandemic on March 11, 2020. FactSet is closely monitoring pandemic-related developments and has taken, and continues to take, numerous steps to address them. Since the situation surrounding the COVID-19 pandemic remains fluid, FactSet is actively managing its response and has assessed potential impacts to its financial position and operating results for the three and nine months ended May 31, 2020.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 ACCOUNTING PRONOUNCEMENTS</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May 31, 2020, the Company implemented all applicable new accounting standards and updates issued by the Financial Accounting Standards Board ("FASB") that were in effect. There were no new standards or updates adopted during the first nine months of fiscal 2020 that had a material impact on the consolidated financial statements other than the new lease accounting standard discussed below. Refer to Note 15 Leases for additional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Standards or Updates Recently Adopted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February 2016, the FASB issued an accounting standard update related to accounting for leases, ASC 842, Leases. </w:t>
      </w:r>
      <w:r>
        <w:rPr>
          <w:rFonts w:ascii="Arial" w:cs="Arial" w:eastAsia="Arial" w:hAnsi="Arial"/>
          <w:sz w:val="18"/>
          <w:szCs w:val="18"/>
          <w:color w:val="212529"/>
        </w:rPr>
        <w:t>The update requires the recognition of</w:t>
      </w:r>
      <w:r>
        <w:rPr>
          <w:rFonts w:ascii="Arial" w:cs="Arial" w:eastAsia="Arial" w:hAnsi="Arial"/>
          <w:sz w:val="18"/>
          <w:szCs w:val="18"/>
          <w:color w:val="auto"/>
        </w:rPr>
        <w:t xml:space="preserve"> </w:t>
      </w:r>
      <w:r>
        <w:rPr>
          <w:rFonts w:ascii="Arial" w:cs="Arial" w:eastAsia="Arial" w:hAnsi="Arial"/>
          <w:sz w:val="18"/>
          <w:szCs w:val="18"/>
          <w:color w:val="212529"/>
        </w:rPr>
        <w:t>lease right-of use (“ROU”) assets and liabilities on the balance sheet and the disclosure of qualitative and quantitative information about leasing arrangements</w:t>
      </w:r>
      <w:r>
        <w:rPr>
          <w:rFonts w:ascii="Arial" w:cs="Arial" w:eastAsia="Arial" w:hAnsi="Arial"/>
          <w:sz w:val="18"/>
          <w:szCs w:val="18"/>
          <w:color w:val="000000"/>
        </w:rPr>
        <w:t>. The guidance also eliminates the requirement for an entity to use bright-line tests in determining lease classification. FactSet adopted the</w:t>
      </w:r>
      <w:r>
        <w:rPr>
          <w:rFonts w:ascii="Arial" w:cs="Arial" w:eastAsia="Arial" w:hAnsi="Arial"/>
          <w:sz w:val="18"/>
          <w:szCs w:val="18"/>
          <w:color w:val="212529"/>
        </w:rPr>
        <w:t xml:space="preserve"> </w:t>
      </w:r>
      <w:r>
        <w:rPr>
          <w:rFonts w:ascii="Arial" w:cs="Arial" w:eastAsia="Arial" w:hAnsi="Arial"/>
          <w:sz w:val="18"/>
          <w:szCs w:val="18"/>
          <w:color w:val="000000"/>
        </w:rPr>
        <w:t>new accounting standard effective September 1, 2019, using a modified retrospective approach to record the required cumulative effect adjustments to the opening balance sheet in the period of adoption, rather than in the earliest comparative period presented. As such, the Company's historical consolidated financial statements were not restated and follow the Company's previous policy under ASC 840, Leases. Refer to FactSet’s Annual Report on Form 10-K for the fiscal year ended August 31, 2019, filed with the SEC on October 30, 2019, for further details of the Company’s policy prior to adoption of ASC 842.</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FactSet elected the package of practical expedients permitted under the transition guidance, which permits the Company not to reassess the prior conclusions about lease identification, lease classification, and initial direct costs. FactSet did not elect the use-of-hindsight practical expedient in determining the lease term and in assessing impairment. FactSet elected the practical expedient not to separate lease components from non-lease components but, rather, to combine them into one single lease component. The Company has also elected to apply the short-term lease exception not to recognize lease liabilities and right-of-use assets for leases with a term of 12 months or less. FactSet will recognize lease payments on a straight-line basis over the lease term.</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November 30, 2019, the Company recognized ROU assets, net of amortization of $217.0 million and corresponding current and non-current lease liabilities of $266.4 million, related primarily to the Company’s real estate leases. There was no material impact to the Company’s Consolidated Statements of Income, Consolidated Statements of Comprehensive Income, Consolidated Statements of Cash Flows and Consolidated Statement of Changes in Stockholders' Equity. Refer to Note 15 Leases for more information regarding the Company's lease accounting.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Simplification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fiscal 2020, FactSet adopted the accounting standard updated issued by the FASB in August 2017, which focused on reducing the complexity of and simplifying the application of hedge accounting. The guidance refines and expands hedge accounting for both financial and nonfinancial risk components, eliminates the need to separately measure and report hedge ineffectiveness, and aligns the recognition and presentation of the effects of the hedging instrument and the hedged item in the financial statements. The adoption of this standard had no impact on the Company's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Standards or Updates Not Yet Effective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on Financial Instruments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2016, the FASB issued an accounting standard that significantly changes how entities will measure credit losses for most financial assets and certain other instruments that are not measured at fair value through net income. The standard will replace today's "incurred loss" approach with an "expected loss" model for instruments measured at amortized cost. The guidance will be effective for the Company beginning in the first quarter of fiscal 2021. The Company is currently evaluating the impact of this accounting standard update, but it is not expected to have a material impact on the Company's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January 2017, the FASB issued an accounting standard update which removes the requirement for companies to compare the implied fair value of goodwill with its carrying amount as part of step 2 of the goodwill impairment test. A goodwill impairment will now be the amount by which a reporting unit’s carrying value exceeds its fair value, not to exceed the carrying amount of goodwill. The accounting standard update will be effective for the Company beginning in the first quarter of fiscal 2021, with early adoption permitted for any impairment tests performed after January 1, 2017. The adoption of this accounting standard update is not expected to have a material impact on the Company's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Simplification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2019, the FASB issued an accounting standard update to simplify various aspects related to accounting for income taxes, eliminating certain exceptions to the general principles in accounting for income taxes related to intraperiod tax allocation, simplifying when companies recognize deferred taxes in an interim period, and clarifying certain aspects of the current guidance to promote consistent application. The guidance will be effective for the Company in the first quarter of fiscal 2022, with early adoption permitted. Most amendments are required to be applied on a prospective basis, while certain amendments must be applied on a retrospective or modified retrospective basis. The Company is currently evaluating the potential impact of adopting the guidance on its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Facilitation of the Effects of Reference Rate Reform on Financial Reporting</w:t>
      </w:r>
    </w:p>
    <w:p>
      <w:pPr>
        <w:spacing w:after="0" w:line="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2020, the FASB issued an accounting standard to provide optional expedients and exceptions for applying GAAP to contract modifications, hedging relationships, and other transactions affected by the anticipated transition from the LIBOR rate. As a result of the reference rate reform initiative, certain widely used reference rates such as the LIBOR rate are expected to be discontinued. The guidance is designed to simplify how entities account for contracts, such as receivables, debt, leases, derivative instruments and hedging, that are modified to replace the LIBOR rate or other benchmark interest rates with new rates. The guidance is effective upon issuance and may be applied through December 31, 2022. The Company is currently evaluating the impact of this accounting standard, but it is not expected to have a material impact on the Company’s consolidated financial statements.</w:t>
      </w:r>
    </w:p>
    <w:p>
      <w:pPr>
        <w:spacing w:after="0" w:line="12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 other new accounting pronouncements issued or effective as of May 31, 2020, have had or are expected to have a material impact on the Company’s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derives most of its revenue by providing client access to its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portfolio analytics, enterprise data, and research management. The Company determined that the subscription-based service represents a single performance obligation covering a series of distinct products and services that are substantially the same and that have the same pattern of transfer to the client. The Company also determined the nature of the promise to the client is to provide daily access to one overall data and analytics platform. This platform provides integrated financial information, analytical applications and industry-leading service for the investment community. Based on the nature of the services and products offered by FactSet, the Company applies an input time-based measure of progress as the client is simultaneously receiving and consuming the benefits of the platform. The Company records revenue for its contracts using the over-time revenue recognition model as a client is invoiced or performance is satisfied. FactSet does not consider payment terms as a performance obligation for clients with contractual terms that are one year or less and the Company has elected the practical expedient.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Contracts with clients can include certain fulfillment costs, comprised of up-front costs to allow for the delivery of services and products, which are recoverable. In connection with the adoption of the revenue recognition standard, fulfillment costs are recognized as an asset, recorded in the Prepaid expenses and other current assets account for the current portion and Other assets for the non-current portion, based on the term of the license period, and amortized consistent with the associated revenue for providing the services. There are no significant judgments that would impact the timing of revenue recognition. The majority of client contracts have a duration of one year or less, or the amount FactSet is entitled to receive corresponds directly with the value of performance obligations completed to date, and therefore, the Company does not disclose the value of the remaining unsatisfied performance obligations.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disaggregates revenue from contracts with clients by geographic region, which includes the Americas, EMEA and Asia Pacific. FactSet believes these regions are reflective of how the Company manages the business and the markets in which it serves. These regions best depict the nature, amount, timing and uncertainty of revenue and cash flows related to contracts with clients. Refer to Note 8 Segment Information for further information on revenue by geographic region.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this disaggregation of revenue by geography:</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0" w:type="dxa"/>
            <w:vAlign w:val="bottom"/>
            <w:gridSpan w:val="3"/>
          </w:tcPr>
          <w:p>
            <w:pPr>
              <w:jc w:val="right"/>
              <w:ind w:right="630"/>
              <w:spacing w:after="0"/>
              <w:rPr>
                <w:sz w:val="20"/>
                <w:szCs w:val="20"/>
                <w:color w:val="auto"/>
              </w:rPr>
            </w:pPr>
            <w:r>
              <w:rPr>
                <w:rFonts w:ascii="Arial" w:cs="Arial" w:eastAsia="Arial" w:hAnsi="Arial"/>
                <w:sz w:val="18"/>
                <w:szCs w:val="18"/>
                <w:color w:val="auto"/>
              </w:rPr>
              <w:t>Three Months Ended May 31,</w:t>
            </w:r>
          </w:p>
        </w:tc>
        <w:tc>
          <w:tcPr>
            <w:tcW w:w="520" w:type="dxa"/>
            <w:vAlign w:val="bottom"/>
          </w:tcPr>
          <w:p>
            <w:pPr>
              <w:spacing w:after="0"/>
              <w:rPr>
                <w:sz w:val="20"/>
                <w:szCs w:val="20"/>
                <w:color w:val="auto"/>
              </w:rPr>
            </w:pPr>
          </w:p>
        </w:tc>
        <w:tc>
          <w:tcPr>
            <w:tcW w:w="3220" w:type="dxa"/>
            <w:vAlign w:val="bottom"/>
            <w:gridSpan w:val="3"/>
          </w:tcPr>
          <w:p>
            <w:pPr>
              <w:jc w:val="right"/>
              <w:ind w:right="670"/>
              <w:spacing w:after="0"/>
              <w:rPr>
                <w:sz w:val="20"/>
                <w:szCs w:val="20"/>
                <w:color w:val="auto"/>
              </w:rPr>
            </w:pPr>
            <w:r>
              <w:rPr>
                <w:rFonts w:ascii="Arial" w:cs="Arial" w:eastAsia="Arial" w:hAnsi="Arial"/>
                <w:sz w:val="18"/>
                <w:szCs w:val="18"/>
                <w:color w:val="auto"/>
              </w:rPr>
              <w:t>Nine Months Ended May 31,</w:t>
            </w:r>
          </w:p>
        </w:tc>
      </w:tr>
      <w:tr>
        <w:trPr>
          <w:trHeight w:val="270"/>
        </w:trPr>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Pr>
          <w:p>
            <w:pPr>
              <w:spacing w:after="0"/>
              <w:rPr>
                <w:sz w:val="23"/>
                <w:szCs w:val="23"/>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3"/>
                <w:szCs w:val="23"/>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3"/>
                <w:szCs w:val="23"/>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3"/>
                <w:szCs w:val="23"/>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2019</w:t>
            </w:r>
          </w:p>
        </w:tc>
      </w:tr>
      <w:tr>
        <w:trPr>
          <w:trHeight w:val="27"/>
        </w:trPr>
        <w:tc>
          <w:tcPr>
            <w:tcW w:w="3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230,992</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226,961</w:t>
            </w:r>
          </w:p>
        </w:tc>
        <w:tc>
          <w:tcPr>
            <w:tcW w:w="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695,053</w:t>
            </w:r>
          </w:p>
        </w:tc>
        <w:tc>
          <w:tcPr>
            <w:tcW w:w="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672,479</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EMEA</w:t>
            </w:r>
          </w:p>
        </w:tc>
        <w:tc>
          <w:tcPr>
            <w:tcW w:w="4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105,420</w:t>
            </w:r>
          </w:p>
        </w:tc>
        <w:tc>
          <w:tcPr>
            <w:tcW w:w="5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102,499</w:t>
            </w:r>
          </w:p>
        </w:tc>
        <w:tc>
          <w:tcPr>
            <w:tcW w:w="52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308,355</w:t>
            </w:r>
          </w:p>
        </w:tc>
        <w:tc>
          <w:tcPr>
            <w:tcW w:w="5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299,197</w:t>
            </w:r>
          </w:p>
        </w:tc>
      </w:tr>
      <w:tr>
        <w:trPr>
          <w:trHeight w:val="27"/>
        </w:trPr>
        <w:tc>
          <w:tcPr>
            <w:tcW w:w="3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37,671</w:t>
            </w:r>
          </w:p>
        </w:tc>
        <w:tc>
          <w:tcPr>
            <w:tcW w:w="5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35,073</w:t>
            </w:r>
          </w:p>
        </w:tc>
        <w:tc>
          <w:tcPr>
            <w:tcW w:w="5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107,113</w:t>
            </w:r>
          </w:p>
        </w:tc>
        <w:tc>
          <w:tcPr>
            <w:tcW w:w="5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99,392</w:t>
            </w: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374,083</w:t>
            </w:r>
          </w:p>
        </w:tc>
        <w:tc>
          <w:tcPr>
            <w:tcW w:w="5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364,533</w:t>
            </w:r>
          </w:p>
        </w:tc>
        <w:tc>
          <w:tcPr>
            <w:tcW w:w="5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1,110,521</w:t>
            </w:r>
          </w:p>
        </w:tc>
        <w:tc>
          <w:tcPr>
            <w:tcW w:w="5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1,071,068</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Company considers the principal or most advantageous market in which it would transact and considers assumptions that market participants would use when pricing the asset or liability.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assessment of the significance of a particular input to the fair value measurement requires judgment and may affect its placement within the fair value hierarchy levels. FactSet has categorized its cash equivalents, investments and derivatives within the fair value hierarchy as follows: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Level 1</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quoted prices in active markets for identical assets or liabilities. These Level 1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include the Company’s corporate money market funds that are classified as cash equivalents.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Level 2</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inputs other than quoted prices that are observable for the asset or liability such as quoted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The Company’s certificates of deposit, mutual funds and derivative instruments are classified as Level 2.</w:t>
      </w:r>
    </w:p>
    <w:p>
      <w:pPr>
        <w:spacing w:after="0" w:line="14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u w:val="single" w:color="auto"/>
          <w:color w:val="auto"/>
        </w:rPr>
        <w:t>Level 3</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unobservable inputs to the valuation methodology that are significant to the measurement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assets or liabilities. There were no Level 3 assets or liabilities held by the Company as of May 31, 2020 or August 31, 2019.</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Assets and Liabilities Measured at Fair Value on a Recurring Basis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show, by level within the fair value hierarchy, the Company’s assets and liabilities that are measured at fair value on a recurring basis at May 31, 2020 and August 31, 2019. The Company did not have any transfers between Level 1 and Level 2 fair value measurements during the periods presented.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0" w:type="dxa"/>
            <w:vAlign w:val="bottom"/>
            <w:gridSpan w:val="5"/>
          </w:tcPr>
          <w:p>
            <w:pPr>
              <w:jc w:val="right"/>
              <w:ind w:right="150"/>
              <w:spacing w:after="0"/>
              <w:rPr>
                <w:sz w:val="20"/>
                <w:szCs w:val="20"/>
                <w:color w:val="auto"/>
              </w:rPr>
            </w:pPr>
            <w:r>
              <w:rPr>
                <w:rFonts w:ascii="Arial" w:cs="Arial" w:eastAsia="Arial" w:hAnsi="Arial"/>
                <w:sz w:val="18"/>
                <w:szCs w:val="18"/>
                <w:color w:val="auto"/>
                <w:w w:val="92"/>
              </w:rPr>
              <w:t>Fair Value Measurements at May 31, 2020</w:t>
            </w:r>
          </w:p>
        </w:tc>
        <w:tc>
          <w:tcPr>
            <w:tcW w:w="100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62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3"/>
                <w:szCs w:val="23"/>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Level 1</w:t>
            </w:r>
          </w:p>
        </w:tc>
        <w:tc>
          <w:tcPr>
            <w:tcW w:w="500" w:type="dxa"/>
            <w:vAlign w:val="bottom"/>
          </w:tcPr>
          <w:p>
            <w:pPr>
              <w:spacing w:after="0"/>
              <w:rPr>
                <w:sz w:val="23"/>
                <w:szCs w:val="23"/>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Level 2</w:t>
            </w:r>
          </w:p>
        </w:tc>
        <w:tc>
          <w:tcPr>
            <w:tcW w:w="360" w:type="dxa"/>
            <w:vAlign w:val="bottom"/>
          </w:tcPr>
          <w:p>
            <w:pPr>
              <w:spacing w:after="0"/>
              <w:rPr>
                <w:sz w:val="23"/>
                <w:szCs w:val="23"/>
                <w:color w:val="auto"/>
              </w:rPr>
            </w:pPr>
          </w:p>
        </w:tc>
        <w:tc>
          <w:tcPr>
            <w:tcW w:w="1040" w:type="dxa"/>
            <w:vAlign w:val="bottom"/>
          </w:tcPr>
          <w:p>
            <w:pPr>
              <w:ind w:left="140"/>
              <w:spacing w:after="0"/>
              <w:rPr>
                <w:sz w:val="20"/>
                <w:szCs w:val="20"/>
                <w:color w:val="auto"/>
              </w:rPr>
            </w:pPr>
            <w:r>
              <w:rPr>
                <w:rFonts w:ascii="Arial" w:cs="Arial" w:eastAsia="Arial" w:hAnsi="Arial"/>
                <w:sz w:val="18"/>
                <w:szCs w:val="18"/>
                <w:color w:val="auto"/>
              </w:rPr>
              <w:t>Level 3</w:t>
            </w:r>
          </w:p>
        </w:tc>
        <w:tc>
          <w:tcPr>
            <w:tcW w:w="440" w:type="dxa"/>
            <w:vAlign w:val="bottom"/>
          </w:tcPr>
          <w:p>
            <w:pPr>
              <w:spacing w:after="0"/>
              <w:rPr>
                <w:sz w:val="23"/>
                <w:szCs w:val="23"/>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Total</w:t>
            </w:r>
          </w:p>
        </w:tc>
      </w:tr>
      <w:tr>
        <w:trPr>
          <w:trHeight w:val="27"/>
        </w:trPr>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5"/>
              </w:rPr>
              <w:t>Assets</w:t>
            </w:r>
          </w:p>
        </w:tc>
        <w:tc>
          <w:tcPr>
            <w:tcW w:w="514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211,752</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211,752</w:t>
            </w:r>
          </w:p>
        </w:tc>
      </w:tr>
      <w:tr>
        <w:trPr>
          <w:trHeight w:val="270"/>
        </w:trPr>
        <w:tc>
          <w:tcPr>
            <w:tcW w:w="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17,599</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17,599</w:t>
            </w:r>
          </w:p>
        </w:tc>
      </w:tr>
      <w:tr>
        <w:trPr>
          <w:trHeight w:val="270"/>
        </w:trPr>
        <w:tc>
          <w:tcPr>
            <w:tcW w:w="20" w:type="dxa"/>
            <w:vAlign w:val="bottom"/>
          </w:tcPr>
          <w:p>
            <w:pPr>
              <w:spacing w:after="0"/>
              <w:rPr>
                <w:sz w:val="23"/>
                <w:szCs w:val="23"/>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3"/>
                <w:szCs w:val="23"/>
                <w:color w:val="auto"/>
                <w:vertAlign w:val="superscript"/>
              </w:rPr>
              <w:t>(3)</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5,007</w:t>
            </w:r>
          </w:p>
        </w:tc>
        <w:tc>
          <w:tcPr>
            <w:tcW w:w="360" w:type="dxa"/>
            <w:vAlign w:val="bottom"/>
          </w:tcPr>
          <w:p>
            <w:pPr>
              <w:spacing w:after="0"/>
              <w:rPr>
                <w:sz w:val="23"/>
                <w:szCs w:val="23"/>
                <w:color w:val="auto"/>
              </w:rPr>
            </w:pP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5,007</w:t>
            </w:r>
          </w:p>
        </w:tc>
      </w:tr>
      <w:tr>
        <w:trPr>
          <w:trHeight w:val="270"/>
        </w:trPr>
        <w:tc>
          <w:tcPr>
            <w:tcW w:w="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418</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418</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211,752</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23,024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234,776</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20" w:type="dxa"/>
            <w:vAlign w:val="bottom"/>
            <w:gridSpan w:val="3"/>
          </w:tcPr>
          <w:p>
            <w:pPr>
              <w:spacing w:after="0" w:line="202" w:lineRule="exact"/>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6,274</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6,274</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6,274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6,274</w:t>
            </w:r>
          </w:p>
        </w:tc>
      </w:tr>
      <w:tr>
        <w:trPr>
          <w:trHeight w:val="64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0" w:type="dxa"/>
            <w:vAlign w:val="bottom"/>
            <w:gridSpan w:val="5"/>
          </w:tcPr>
          <w:p>
            <w:pPr>
              <w:jc w:val="right"/>
              <w:ind w:right="70"/>
              <w:spacing w:after="0"/>
              <w:rPr>
                <w:sz w:val="20"/>
                <w:szCs w:val="20"/>
                <w:color w:val="auto"/>
              </w:rPr>
            </w:pPr>
            <w:r>
              <w:rPr>
                <w:rFonts w:ascii="Arial" w:cs="Arial" w:eastAsia="Arial" w:hAnsi="Arial"/>
                <w:sz w:val="18"/>
                <w:szCs w:val="18"/>
                <w:color w:val="auto"/>
                <w:w w:val="88"/>
              </w:rPr>
              <w:t>Fair Value Measurements at August 31, 2019</w:t>
            </w:r>
          </w:p>
        </w:tc>
        <w:tc>
          <w:tcPr>
            <w:tcW w:w="10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62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3"/>
                <w:szCs w:val="23"/>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Level 1</w:t>
            </w:r>
          </w:p>
        </w:tc>
        <w:tc>
          <w:tcPr>
            <w:tcW w:w="500" w:type="dxa"/>
            <w:vAlign w:val="bottom"/>
          </w:tcPr>
          <w:p>
            <w:pPr>
              <w:spacing w:after="0"/>
              <w:rPr>
                <w:sz w:val="23"/>
                <w:szCs w:val="23"/>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Level 2</w:t>
            </w:r>
          </w:p>
        </w:tc>
        <w:tc>
          <w:tcPr>
            <w:tcW w:w="360" w:type="dxa"/>
            <w:vAlign w:val="bottom"/>
          </w:tcPr>
          <w:p>
            <w:pPr>
              <w:spacing w:after="0"/>
              <w:rPr>
                <w:sz w:val="23"/>
                <w:szCs w:val="23"/>
                <w:color w:val="auto"/>
              </w:rPr>
            </w:pPr>
          </w:p>
        </w:tc>
        <w:tc>
          <w:tcPr>
            <w:tcW w:w="1040" w:type="dxa"/>
            <w:vAlign w:val="bottom"/>
          </w:tcPr>
          <w:p>
            <w:pPr>
              <w:ind w:left="140"/>
              <w:spacing w:after="0"/>
              <w:rPr>
                <w:sz w:val="20"/>
                <w:szCs w:val="20"/>
                <w:color w:val="auto"/>
              </w:rPr>
            </w:pPr>
            <w:r>
              <w:rPr>
                <w:rFonts w:ascii="Arial" w:cs="Arial" w:eastAsia="Arial" w:hAnsi="Arial"/>
                <w:sz w:val="18"/>
                <w:szCs w:val="18"/>
                <w:color w:val="auto"/>
              </w:rPr>
              <w:t>Level 3</w:t>
            </w:r>
          </w:p>
        </w:tc>
        <w:tc>
          <w:tcPr>
            <w:tcW w:w="440" w:type="dxa"/>
            <w:vAlign w:val="bottom"/>
          </w:tcPr>
          <w:p>
            <w:pPr>
              <w:spacing w:after="0"/>
              <w:rPr>
                <w:sz w:val="23"/>
                <w:szCs w:val="23"/>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Total</w:t>
            </w:r>
          </w:p>
        </w:tc>
      </w:tr>
      <w:tr>
        <w:trPr>
          <w:trHeight w:val="27"/>
        </w:trPr>
        <w:tc>
          <w:tcPr>
            <w:tcW w:w="2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5"/>
              </w:rPr>
              <w:t>Assets</w:t>
            </w:r>
          </w:p>
        </w:tc>
        <w:tc>
          <w:tcPr>
            <w:tcW w:w="514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75,849</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75,849</w:t>
            </w:r>
          </w:p>
        </w:tc>
      </w:tr>
      <w:tr>
        <w:trPr>
          <w:trHeight w:val="270"/>
        </w:trPr>
        <w:tc>
          <w:tcPr>
            <w:tcW w:w="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Mutual funds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18,583</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18,583</w:t>
            </w:r>
          </w:p>
        </w:tc>
      </w:tr>
      <w:tr>
        <w:trPr>
          <w:trHeight w:val="270"/>
        </w:trPr>
        <w:tc>
          <w:tcPr>
            <w:tcW w:w="20" w:type="dxa"/>
            <w:vAlign w:val="bottom"/>
          </w:tcPr>
          <w:p>
            <w:pPr>
              <w:spacing w:after="0"/>
              <w:rPr>
                <w:sz w:val="23"/>
                <w:szCs w:val="23"/>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3"/>
                <w:szCs w:val="23"/>
                <w:color w:val="auto"/>
                <w:vertAlign w:val="superscript"/>
              </w:rPr>
              <w:t>(3)</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7,090</w:t>
            </w:r>
          </w:p>
        </w:tc>
        <w:tc>
          <w:tcPr>
            <w:tcW w:w="360" w:type="dxa"/>
            <w:vAlign w:val="bottom"/>
          </w:tcPr>
          <w:p>
            <w:pPr>
              <w:spacing w:after="0"/>
              <w:rPr>
                <w:sz w:val="23"/>
                <w:szCs w:val="23"/>
                <w:color w:val="auto"/>
              </w:rPr>
            </w:pP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7,090</w:t>
            </w:r>
          </w:p>
        </w:tc>
      </w:tr>
      <w:tr>
        <w:trPr>
          <w:trHeight w:val="270"/>
        </w:trPr>
        <w:tc>
          <w:tcPr>
            <w:tcW w:w="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520</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520</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75,849</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26,193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102,042</w:t>
            </w:r>
          </w:p>
        </w:tc>
      </w:tr>
      <w:tr>
        <w:trPr>
          <w:trHeight w:val="27"/>
        </w:trPr>
        <w:tc>
          <w:tcPr>
            <w:tcW w:w="20" w:type="dxa"/>
            <w:vAlign w:val="bottom"/>
          </w:tcPr>
          <w:p>
            <w:pPr>
              <w:spacing w:after="0"/>
              <w:rPr>
                <w:sz w:val="2"/>
                <w:szCs w:val="2"/>
                <w:color w:val="auto"/>
              </w:rPr>
            </w:pPr>
          </w:p>
        </w:tc>
        <w:tc>
          <w:tcPr>
            <w:tcW w:w="562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562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20" w:type="dxa"/>
            <w:vAlign w:val="bottom"/>
            <w:gridSpan w:val="3"/>
          </w:tcPr>
          <w:p>
            <w:pPr>
              <w:spacing w:after="0" w:line="202" w:lineRule="exact"/>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Derivative instruments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3,575</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3,575</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3,575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3,575</w:t>
            </w:r>
          </w:p>
        </w:tc>
      </w:tr>
    </w:tbl>
    <w:p>
      <w:pPr>
        <w:spacing w:after="0" w:line="364" w:lineRule="exact"/>
        <w:rPr>
          <w:sz w:val="20"/>
          <w:szCs w:val="20"/>
          <w:color w:val="auto"/>
        </w:rPr>
      </w:pPr>
    </w:p>
    <w:p>
      <w:pPr>
        <w:jc w:val="both"/>
        <w:ind w:left="500" w:hanging="330"/>
        <w:spacing w:after="0" w:line="263" w:lineRule="auto"/>
        <w:tabs>
          <w:tab w:leader="none" w:pos="5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Company’s corporate money market funds are readily convertible into cash and the net asset value of each fund on the last day of the quarter is used to determine its fair value. As such, the Company’s corporate money market funds are classified as Level 1 assets and included in Cash and cash equivalents within the </w:t>
      </w:r>
      <w:r>
        <w:rPr>
          <w:rFonts w:ascii="Arial" w:cs="Arial" w:eastAsia="Arial" w:hAnsi="Arial"/>
          <w:sz w:val="18"/>
          <w:szCs w:val="18"/>
          <w:color w:val="auto"/>
        </w:rPr>
        <w:t>C</w:t>
      </w:r>
      <w:r>
        <w:rPr>
          <w:rFonts w:ascii="Arial" w:cs="Arial" w:eastAsia="Arial" w:hAnsi="Arial"/>
          <w:sz w:val="18"/>
          <w:szCs w:val="18"/>
          <w:i w:val="1"/>
          <w:iCs w:val="1"/>
          <w:color w:val="auto"/>
        </w:rPr>
        <w:t>onsolidated Balance Sheets.</w:t>
      </w:r>
    </w:p>
    <w:p>
      <w:pPr>
        <w:spacing w:after="0" w:line="48" w:lineRule="exact"/>
        <w:rPr>
          <w:rFonts w:ascii="Arial" w:cs="Arial" w:eastAsia="Arial" w:hAnsi="Arial"/>
          <w:sz w:val="18"/>
          <w:szCs w:val="18"/>
          <w:i w:val="1"/>
          <w:iCs w:val="1"/>
          <w:color w:val="auto"/>
        </w:rPr>
      </w:pPr>
    </w:p>
    <w:p>
      <w:pPr>
        <w:jc w:val="both"/>
        <w:ind w:left="500" w:hanging="330"/>
        <w:spacing w:after="0" w:line="311" w:lineRule="auto"/>
        <w:tabs>
          <w:tab w:leader="none" w:pos="50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Company’s mutual funds have a fair value based on the fair value of the underlying investments held by the mutual funds, allocated to each share of the mutual fund using a net asset value approach. The fair value of the underlying investments is based on observable inputs. As such, the Company’s mutual funds are classified as Level 2 and are classified as Investments (short-term) on the Consolidated Balance Sheets.</w:t>
      </w:r>
    </w:p>
    <w:p>
      <w:pPr>
        <w:spacing w:after="0" w:line="27" w:lineRule="exact"/>
        <w:rPr>
          <w:rFonts w:ascii="Arial" w:cs="Arial" w:eastAsia="Arial" w:hAnsi="Arial"/>
          <w:sz w:val="16"/>
          <w:szCs w:val="16"/>
          <w:i w:val="1"/>
          <w:iCs w:val="1"/>
          <w:color w:val="auto"/>
        </w:rPr>
      </w:pPr>
    </w:p>
    <w:p>
      <w:pPr>
        <w:jc w:val="both"/>
        <w:ind w:left="500" w:hanging="330"/>
        <w:spacing w:after="0" w:line="263" w:lineRule="auto"/>
        <w:tabs>
          <w:tab w:leader="none" w:pos="5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certificates of deposit held for investment are not debt securities and are classified as Level 2 assets. These certificates of deposit have original maturities greater than three months but less than one year and, as such, are classified as Investments (short-term) within the Consolidated Balance Sheets.</w:t>
      </w:r>
    </w:p>
    <w:p>
      <w:pPr>
        <w:spacing w:after="0" w:line="62" w:lineRule="exact"/>
        <w:rPr>
          <w:rFonts w:ascii="Arial" w:cs="Arial" w:eastAsia="Arial" w:hAnsi="Arial"/>
          <w:sz w:val="18"/>
          <w:szCs w:val="18"/>
          <w:i w:val="1"/>
          <w:iCs w:val="1"/>
          <w:color w:val="auto"/>
        </w:rPr>
      </w:pPr>
    </w:p>
    <w:p>
      <w:pPr>
        <w:jc w:val="both"/>
        <w:ind w:left="500" w:hanging="330"/>
        <w:spacing w:after="0" w:line="275" w:lineRule="auto"/>
        <w:tabs>
          <w:tab w:leader="none" w:pos="5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Company utilizes the income approach to measure fair value for its foreign exchange forward contracts. The income approach uses pricing models that rely on market observable inputs such as spot, forward and interest rates, as well as credit default swap spreads, and are classified as Level 2 assets. To estimate fair value for the interest rate swap agreement, the Company utilizes a present value of future cash flows, leveraging a model-derived valuation that uses Level 2 observable inputs such as interest rate yield curves. Refer to Note 6 Derivative Instruments for more information on the Company's derivative instruments designed as cash flow hedges.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Assets and Liabilities Measured at Fair Value on a Non-Recurring Basis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Assets and liabilities that are measured at fair value on a nonrecurring basis relate primarily to our tangible fixed assets, operating lease assets, goodwill and intangible assets. The fair values of these non-financial assets and liabilities are determined based on valuation techniques using the best information available, and may include quoted market prices, market comparable information, and discounted cash flow projections. These non-financial assets and liabilities are remeasured in the event of an other-than temporary impairment. The Company reviews goodwill and intangible assets for impairment annually, during the fourth quarter of each fiscal year, or as circumstances indicate the possibility for impairment. The Company monitors the carrying value of long-lived assets for impairment whenever events or changes in circumstances indicate the carrying amount may not be recoverable. During the nine months ended May 31, 2020, no fair value adjustments or material fair value measurements were required for the Company’s non-financial assets or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 Assets and Liabilities Measured at Fair Value for Disclosure Purposes </w:t>
      </w:r>
      <w:r>
        <w:rPr>
          <w:rFonts w:ascii="Arial" w:cs="Arial" w:eastAsia="Arial" w:hAnsi="Arial"/>
          <w:sz w:val="18"/>
          <w:szCs w:val="18"/>
          <w:color w:val="auto"/>
        </w:rPr>
        <w:t>O</w:t>
      </w:r>
      <w:r>
        <w:rPr>
          <w:rFonts w:ascii="Arial" w:cs="Arial" w:eastAsia="Arial" w:hAnsi="Arial"/>
          <w:sz w:val="18"/>
          <w:szCs w:val="18"/>
          <w:b w:val="1"/>
          <w:bCs w:val="1"/>
          <w:i w:val="1"/>
          <w:iCs w:val="1"/>
          <w:color w:val="auto"/>
        </w:rPr>
        <w:t>nly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May 31, 2020, and August 31, 2019, the fair value of the Company’s Long-term debt was $575.0 million, which approximated its carrying amount given the application of a floating interest rate equal to the LIBOR rate plus a spread using a debt leverage pricing grid. As the interest rate is a variable rate, adjusted based on market conditions, it approximates the current market-rate for similar instruments available to companies with comparable credit quality and maturity, and therefore, the long-term debt is categorized as Level 2 in the fair value hierarchy.</w:t>
      </w:r>
    </w:p>
    <w:p>
      <w:pPr>
        <w:spacing w:after="0" w:line="275" w:lineRule="exact"/>
        <w:rPr>
          <w:sz w:val="20"/>
          <w:szCs w:val="20"/>
          <w:color w:val="auto"/>
        </w:rPr>
      </w:pPr>
    </w:p>
    <w:p>
      <w:pPr>
        <w:ind w:right="8580" w:firstLine="8"/>
        <w:spacing w:after="0" w:line="461"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Cash Flow Hedges</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Forward Contracts</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FactSet conducts business outside the U.S. in several currencies including British Pound Sterling, Euro, Indian Rupee, and Philippine Peso. As such, the Company is exposed to movements in foreign currency exchange rates compared to the U.S. dollar. The Company utilizes derivative instruments (foreign currency forward contracts) to manage the exposures related to the effects of foreign exchange rate fluctuations and reduce the volatility of earnings and cash flows associated with changes in foreign currency. The Company does not enter into foreign currency forward contracts for trading or speculative purposes. Refer to Note 16, Commitments and Contingencies – Concentrations of Credit Risk, for further discussion on counterparty credit risk.</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designing a specific hedging approach, FactSet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 is settled. There was no discontinuance of cash flow hedges during the first nine months of fiscal 2020 or 2019, and as such, no corresponding gains or losses related to changes in the value of the Company’s contracts were reclassified into earnings prior to settlement.</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31, 2020, FactSet maintained foreign currency forward contracts to hedge a portion of its British Pound Sterling, Euro, Indian Rupee, and Philippine Peso exposures. FactSet entered into a series of forward contracts to mitigate its currency exposure ranging from 50% to 75% over their respective hedged periods. The current foreign currency forward contracts are set to mature at various points between the fourth quarter of fiscal 2020 through the first quarter of fiscal 2021.</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31, 2020, the gross notional value of foreign currency forward contracts to purchase Philippine Pesos and Indian Rupees with U.S. dollars was ₱466.8 billion and Rs830.6 billion, respectively. The gross notional value of foreign currency forward contracts to purchase U.S. dollars with Euros and British Pound Sterling was €11.4 million and £9.5 million,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5, 2020, FactSet entered into an interest rate swap agreement with a notional amount of $287.5 million to hedge the variable interest rate obligation on a portion of its outstanding debt under its 2019 Revolving Credit Facility (as defined in Note 14 Debt). As of May 31, 2020, FactSet has borrowed $575.0 million of the available $750.0 million under the 2019 Revolving Credit Facility, which bears interest on the outstanding principal amount at a rate equal to a contractual one month LIBOR rate plus a spread using a debt leverage pricing grid, which was 0.875% as of May 31, 2020. The variable interest rate on FactSet’s long-term debt can expose the Company to interest rate volatility arising from changes in the LIBOR rate. Under the terms of the interest rate swap agreement, FactSet will pay interest at a fixed rate of 0.7995% and receive variable interest payments based on the same one-month LIBOR rate utilized to calculate the interest expense from the 2019 Revolving Credit Facility. The interest rate swap agreement matures on March 28, 2024. Refer to Note 14 Debt, for further discussion on the 2019 Revolving Credit Facility.</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terms for the interest rate swap agreement align with the 2019 Revolving Credit Facility, the Company does not expect any hedge ineffectiveness. The Company has designated and accounted for this instrument as a cash flow hedge with the unrealized gains or losses on the interest rate swap agreement recorded in AOCL in the 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The following is a summary of the gross notional values of the derivative instruments:</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59"/>
        </w:trPr>
        <w:tc>
          <w:tcPr>
            <w:tcW w:w="7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gridSpan w:val="3"/>
          </w:tcPr>
          <w:p>
            <w:pPr>
              <w:jc w:val="right"/>
              <w:ind w:right="950"/>
              <w:spacing w:after="0"/>
              <w:rPr>
                <w:sz w:val="20"/>
                <w:szCs w:val="20"/>
                <w:color w:val="auto"/>
              </w:rPr>
            </w:pPr>
            <w:r>
              <w:rPr>
                <w:rFonts w:ascii="Arial" w:cs="Arial" w:eastAsia="Arial" w:hAnsi="Arial"/>
                <w:sz w:val="18"/>
                <w:szCs w:val="18"/>
                <w:color w:val="auto"/>
              </w:rPr>
              <w:t>Gross Notional Value</w:t>
            </w:r>
          </w:p>
        </w:tc>
      </w:tr>
      <w:tr>
        <w:trPr>
          <w:trHeight w:val="27"/>
        </w:trPr>
        <w:tc>
          <w:tcPr>
            <w:tcW w:w="7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in U.S. dollars)</w:t>
            </w: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May 31, 2020</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August 31, 2019</w:t>
            </w:r>
          </w:p>
        </w:tc>
      </w:tr>
      <w:tr>
        <w:trPr>
          <w:trHeight w:val="243"/>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45,242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113,700</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Interest rate swap agreement</w:t>
            </w:r>
          </w:p>
        </w:tc>
        <w:tc>
          <w:tcPr>
            <w:tcW w:w="28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287,500</w:t>
            </w:r>
          </w:p>
        </w:tc>
        <w:tc>
          <w:tcPr>
            <w:tcW w:w="28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332,742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113,700</w:t>
            </w:r>
          </w:p>
        </w:tc>
      </w:tr>
      <w:tr>
        <w:trPr>
          <w:trHeight w:val="27"/>
        </w:trPr>
        <w:tc>
          <w:tcPr>
            <w:tcW w:w="7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3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Fair Value of Derivative Instruments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20" w:type="dxa"/>
            <w:vAlign w:val="bottom"/>
            <w:gridSpan w:val="7"/>
          </w:tcPr>
          <w:p>
            <w:pPr>
              <w:spacing w:after="0"/>
              <w:rPr>
                <w:sz w:val="20"/>
                <w:szCs w:val="20"/>
                <w:color w:val="auto"/>
              </w:rPr>
            </w:pPr>
            <w:r>
              <w:rPr>
                <w:rFonts w:ascii="Arial" w:cs="Arial" w:eastAsia="Arial" w:hAnsi="Arial"/>
                <w:sz w:val="18"/>
                <w:szCs w:val="18"/>
                <w:color w:val="auto"/>
              </w:rPr>
              <w:t>The following is a summary of the fair values of the derivative instruments:</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920" w:type="dxa"/>
            <w:vAlign w:val="bottom"/>
            <w:gridSpan w:val="2"/>
          </w:tcPr>
          <w:p>
            <w:pPr>
              <w:ind w:left="40"/>
              <w:spacing w:after="0"/>
              <w:rPr>
                <w:sz w:val="20"/>
                <w:szCs w:val="20"/>
                <w:color w:val="auto"/>
              </w:rPr>
            </w:pPr>
            <w:r>
              <w:rPr>
                <w:rFonts w:ascii="Arial" w:cs="Arial" w:eastAsia="Arial" w:hAnsi="Arial"/>
                <w:sz w:val="18"/>
                <w:szCs w:val="18"/>
                <w:color w:val="auto"/>
                <w:w w:val="99"/>
              </w:rPr>
              <w:t>Fair Value of Derivative Instruments</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3"/>
          </w:tcPr>
          <w:p>
            <w:pPr>
              <w:jc w:val="right"/>
              <w:ind w:right="550"/>
              <w:spacing w:after="0"/>
              <w:rPr>
                <w:sz w:val="20"/>
                <w:szCs w:val="20"/>
                <w:color w:val="auto"/>
              </w:rPr>
            </w:pPr>
            <w:r>
              <w:rPr>
                <w:rFonts w:ascii="Arial" w:cs="Arial" w:eastAsia="Arial" w:hAnsi="Arial"/>
                <w:sz w:val="18"/>
                <w:szCs w:val="18"/>
                <w:color w:val="auto"/>
              </w:rPr>
              <w:t>Derivative Assets</w:t>
            </w: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3"/>
          </w:tcPr>
          <w:p>
            <w:pPr>
              <w:jc w:val="center"/>
              <w:ind w:right="70"/>
              <w:spacing w:after="0"/>
              <w:rPr>
                <w:sz w:val="20"/>
                <w:szCs w:val="20"/>
                <w:color w:val="auto"/>
              </w:rPr>
            </w:pPr>
            <w:r>
              <w:rPr>
                <w:rFonts w:ascii="Arial" w:cs="Arial" w:eastAsia="Arial" w:hAnsi="Arial"/>
                <w:sz w:val="18"/>
                <w:szCs w:val="18"/>
                <w:color w:val="auto"/>
                <w:w w:val="96"/>
              </w:rPr>
              <w:t>Derivative Liabilities</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580" w:type="dxa"/>
            <w:vAlign w:val="bottom"/>
            <w:gridSpan w:val="4"/>
          </w:tcPr>
          <w:p>
            <w:pPr>
              <w:jc w:val="right"/>
              <w:ind w:right="30"/>
              <w:spacing w:after="0"/>
              <w:rPr>
                <w:sz w:val="20"/>
                <w:szCs w:val="20"/>
                <w:color w:val="auto"/>
              </w:rPr>
            </w:pPr>
            <w:r>
              <w:rPr>
                <w:rFonts w:ascii="Arial" w:cs="Arial" w:eastAsia="Arial" w:hAnsi="Arial"/>
                <w:sz w:val="18"/>
                <w:szCs w:val="18"/>
                <w:color w:val="auto"/>
                <w:w w:val="97"/>
              </w:rPr>
              <w:t>May 31, 2020  August 31, 2019</w:t>
            </w: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1"/>
              </w:rPr>
              <w:t>May 31, 2020</w:t>
            </w:r>
          </w:p>
        </w:tc>
        <w:tc>
          <w:tcPr>
            <w:tcW w:w="20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w w:val="91"/>
              </w:rPr>
              <w:t>August 31, 2019</w:t>
            </w:r>
          </w:p>
        </w:tc>
        <w:tc>
          <w:tcPr>
            <w:tcW w:w="0" w:type="dxa"/>
            <w:vAlign w:val="bottom"/>
          </w:tcPr>
          <w:p>
            <w:pPr>
              <w:spacing w:after="0"/>
              <w:rPr>
                <w:sz w:val="1"/>
                <w:szCs w:val="1"/>
                <w:color w:val="auto"/>
              </w:rPr>
            </w:pPr>
          </w:p>
        </w:tc>
      </w:tr>
      <w:tr>
        <w:trPr>
          <w:trHeight w:val="27"/>
        </w:trPr>
        <w:tc>
          <w:tcPr>
            <w:tcW w:w="230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designated as</w:t>
            </w:r>
          </w:p>
        </w:tc>
        <w:tc>
          <w:tcPr>
            <w:tcW w:w="1740" w:type="dxa"/>
            <w:vAlign w:val="bottom"/>
            <w:vMerge w:val="restart"/>
          </w:tcPr>
          <w:p>
            <w:pPr>
              <w:ind w:left="20"/>
              <w:spacing w:after="0"/>
              <w:rPr>
                <w:sz w:val="20"/>
                <w:szCs w:val="20"/>
                <w:color w:val="auto"/>
              </w:rPr>
            </w:pPr>
            <w:r>
              <w:rPr>
                <w:rFonts w:ascii="Arial" w:cs="Arial" w:eastAsia="Arial" w:hAnsi="Arial"/>
                <w:sz w:val="18"/>
                <w:szCs w:val="18"/>
                <w:color w:val="auto"/>
              </w:rPr>
              <w:t>Balance Sheet</w:t>
            </w: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Balance Sheet</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gridSpan w:val="2"/>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hedging instruments</w:t>
            </w:r>
          </w:p>
        </w:tc>
        <w:tc>
          <w:tcPr>
            <w:tcW w:w="1740" w:type="dxa"/>
            <w:vAlign w:val="bottom"/>
          </w:tcPr>
          <w:p>
            <w:pPr>
              <w:ind w:left="20"/>
              <w:spacing w:after="0"/>
              <w:rPr>
                <w:sz w:val="20"/>
                <w:szCs w:val="20"/>
                <w:color w:val="auto"/>
              </w:rPr>
            </w:pPr>
            <w:r>
              <w:rPr>
                <w:rFonts w:ascii="Arial" w:cs="Arial" w:eastAsia="Arial" w:hAnsi="Arial"/>
                <w:sz w:val="18"/>
                <w:szCs w:val="18"/>
                <w:color w:val="auto"/>
              </w:rPr>
              <w:t>Classification</w:t>
            </w:r>
          </w:p>
        </w:tc>
        <w:tc>
          <w:tcPr>
            <w:tcW w:w="16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5"/>
              </w:rPr>
              <w:t>Fair Value</w:t>
            </w:r>
          </w:p>
        </w:tc>
        <w:tc>
          <w:tcPr>
            <w:tcW w:w="22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Fair Value</w:t>
            </w:r>
          </w:p>
        </w:tc>
        <w:tc>
          <w:tcPr>
            <w:tcW w:w="1640" w:type="dxa"/>
            <w:vAlign w:val="bottom"/>
          </w:tcPr>
          <w:p>
            <w:pPr>
              <w:ind w:left="20"/>
              <w:spacing w:after="0"/>
              <w:rPr>
                <w:sz w:val="20"/>
                <w:szCs w:val="20"/>
                <w:color w:val="auto"/>
              </w:rPr>
            </w:pPr>
            <w:r>
              <w:rPr>
                <w:rFonts w:ascii="Arial" w:cs="Arial" w:eastAsia="Arial" w:hAnsi="Arial"/>
                <w:sz w:val="18"/>
                <w:szCs w:val="18"/>
                <w:color w:val="auto"/>
              </w:rPr>
              <w:t>Classification</w:t>
            </w:r>
          </w:p>
        </w:tc>
        <w:tc>
          <w:tcPr>
            <w:tcW w:w="14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20"/>
                <w:szCs w:val="20"/>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Foreign currency forward</w:t>
            </w:r>
          </w:p>
        </w:tc>
        <w:tc>
          <w:tcPr>
            <w:tcW w:w="17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4"/>
              </w:rPr>
              <w:t>Prepaid expenses and</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300" w:type="dxa"/>
            <w:vAlign w:val="bottom"/>
            <w:gridSpan w:val="2"/>
            <w:vMerge w:val="continue"/>
            <w:shd w:val="clear" w:color="auto" w:fill="CCEEFF"/>
          </w:tcPr>
          <w:p>
            <w:pPr>
              <w:spacing w:after="0"/>
              <w:rPr>
                <w:sz w:val="9"/>
                <w:szCs w:val="9"/>
                <w:color w:val="auto"/>
              </w:rPr>
            </w:pPr>
          </w:p>
        </w:tc>
        <w:tc>
          <w:tcPr>
            <w:tcW w:w="1740" w:type="dxa"/>
            <w:vAlign w:val="bottom"/>
            <w:vMerge w:val="continue"/>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520</w:t>
            </w:r>
          </w:p>
        </w:tc>
        <w:tc>
          <w:tcPr>
            <w:tcW w:w="16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and accrued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108"/>
        </w:trPr>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7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1640" w:type="dxa"/>
            <w:vAlign w:val="bottom"/>
            <w:vMerge w:val="continue"/>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00" w:type="dxa"/>
            <w:vAlign w:val="bottom"/>
            <w:gridSpan w:val="2"/>
            <w:vMerge w:val="continue"/>
            <w:shd w:val="clear" w:color="auto" w:fill="CCEEFF"/>
          </w:tcPr>
          <w:p>
            <w:pPr>
              <w:spacing w:after="0"/>
              <w:rPr>
                <w:sz w:val="10"/>
                <w:szCs w:val="10"/>
                <w:color w:val="auto"/>
              </w:rPr>
            </w:pPr>
          </w:p>
        </w:tc>
        <w:tc>
          <w:tcPr>
            <w:tcW w:w="174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6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17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spacing w:after="0"/>
              <w:rPr>
                <w:sz w:val="10"/>
                <w:szCs w:val="10"/>
                <w:color w:val="auto"/>
              </w:rPr>
            </w:pPr>
          </w:p>
        </w:tc>
        <w:tc>
          <w:tcPr>
            <w:tcW w:w="1640" w:type="dxa"/>
            <w:vAlign w:val="bottom"/>
            <w:tcBorders>
              <w:bottom w:val="single" w:sz="8" w:color="CCEEFF"/>
            </w:tcBorders>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40" w:type="dxa"/>
            <w:vAlign w:val="bottom"/>
            <w:vMerge w:val="restart"/>
          </w:tcPr>
          <w:p>
            <w:pPr>
              <w:ind w:left="20"/>
              <w:spacing w:after="0"/>
              <w:rPr>
                <w:sz w:val="20"/>
                <w:szCs w:val="20"/>
                <w:color w:val="auto"/>
              </w:rPr>
            </w:pPr>
            <w:r>
              <w:rPr>
                <w:rFonts w:ascii="Arial" w:cs="Arial" w:eastAsia="Arial" w:hAnsi="Arial"/>
                <w:sz w:val="18"/>
                <w:szCs w:val="18"/>
                <w:color w:val="auto"/>
                <w:w w:val="94"/>
              </w:rPr>
              <w:t>Prepaid expenses and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and accrued</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1,786</w:t>
            </w:r>
          </w:p>
        </w:tc>
        <w:tc>
          <w:tcPr>
            <w:tcW w:w="20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300" w:type="dxa"/>
            <w:vAlign w:val="bottom"/>
            <w:gridSpan w:val="2"/>
            <w:vMerge w:val="restart"/>
          </w:tcPr>
          <w:p>
            <w:pPr>
              <w:ind w:left="20"/>
              <w:spacing w:after="0"/>
              <w:rPr>
                <w:sz w:val="20"/>
                <w:szCs w:val="20"/>
                <w:color w:val="auto"/>
              </w:rPr>
            </w:pPr>
            <w:r>
              <w:rPr>
                <w:rFonts w:ascii="Arial" w:cs="Arial" w:eastAsia="Arial" w:hAnsi="Arial"/>
                <w:sz w:val="18"/>
                <w:szCs w:val="18"/>
                <w:color w:val="auto"/>
                <w:w w:val="96"/>
              </w:rPr>
              <w:t>Interest rate swap agreement</w:t>
            </w:r>
          </w:p>
        </w:tc>
        <w:tc>
          <w:tcPr>
            <w:tcW w:w="1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1"/>
                <w:szCs w:val="11"/>
                <w:color w:val="auto"/>
              </w:rPr>
            </w:pPr>
          </w:p>
        </w:tc>
        <w:tc>
          <w:tcPr>
            <w:tcW w:w="12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300" w:type="dxa"/>
            <w:vAlign w:val="bottom"/>
            <w:gridSpan w:val="2"/>
            <w:vMerge w:val="continue"/>
          </w:tcPr>
          <w:p>
            <w:pPr>
              <w:spacing w:after="0"/>
              <w:rPr>
                <w:sz w:val="10"/>
                <w:szCs w:val="10"/>
                <w:color w:val="auto"/>
              </w:rPr>
            </w:pPr>
          </w:p>
        </w:tc>
        <w:tc>
          <w:tcPr>
            <w:tcW w:w="1740" w:type="dxa"/>
            <w:vAlign w:val="bottom"/>
            <w:vMerge w:val="restart"/>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3,478</w:t>
            </w:r>
          </w:p>
        </w:tc>
        <w:tc>
          <w:tcPr>
            <w:tcW w:w="200" w:type="dxa"/>
            <w:vAlign w:val="bottom"/>
          </w:tcPr>
          <w:p>
            <w:pPr>
              <w:spacing w:after="0"/>
              <w:rPr>
                <w:sz w:val="10"/>
                <w:szCs w:val="10"/>
                <w:color w:val="auto"/>
              </w:rPr>
            </w:pPr>
          </w:p>
        </w:tc>
        <w:tc>
          <w:tcPr>
            <w:tcW w:w="138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gridSpan w:val="2"/>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17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520</w:t>
            </w:r>
          </w:p>
        </w:tc>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derivatives were designated as hedging instruments as of May 31, 2020 and August 31,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 Cash Flow Hedging Relationships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pre-tax effect of derivative instruments in cash flow hedging relationships for the three months ended May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31, 2019, respectively:</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gridSpan w:val="3"/>
          </w:tcPr>
          <w:p>
            <w:pPr>
              <w:jc w:val="right"/>
              <w:ind w:right="239"/>
              <w:spacing w:after="0"/>
              <w:rPr>
                <w:sz w:val="20"/>
                <w:szCs w:val="20"/>
                <w:color w:val="auto"/>
              </w:rPr>
            </w:pPr>
            <w:r>
              <w:rPr>
                <w:rFonts w:ascii="Arial" w:cs="Arial" w:eastAsia="Arial" w:hAnsi="Arial"/>
                <w:sz w:val="16"/>
                <w:szCs w:val="16"/>
                <w:color w:val="auto"/>
                <w:w w:val="98"/>
              </w:rPr>
              <w:t>Loss Recognized in AOCL on</w:t>
            </w:r>
          </w:p>
        </w:tc>
        <w:tc>
          <w:tcPr>
            <w:tcW w:w="2080" w:type="dxa"/>
            <w:vAlign w:val="bottom"/>
          </w:tcPr>
          <w:p>
            <w:pPr>
              <w:spacing w:after="0"/>
              <w:rPr>
                <w:sz w:val="17"/>
                <w:szCs w:val="17"/>
                <w:color w:val="auto"/>
              </w:rPr>
            </w:pPr>
          </w:p>
        </w:tc>
        <w:tc>
          <w:tcPr>
            <w:tcW w:w="2380" w:type="dxa"/>
            <w:vAlign w:val="bottom"/>
            <w:gridSpan w:val="4"/>
          </w:tcPr>
          <w:p>
            <w:pPr>
              <w:jc w:val="right"/>
              <w:spacing w:after="0"/>
              <w:rPr>
                <w:sz w:val="20"/>
                <w:szCs w:val="20"/>
                <w:color w:val="auto"/>
              </w:rPr>
            </w:pPr>
            <w:r>
              <w:rPr>
                <w:rFonts w:ascii="Arial" w:cs="Arial" w:eastAsia="Arial" w:hAnsi="Arial"/>
                <w:sz w:val="16"/>
                <w:szCs w:val="16"/>
                <w:color w:val="auto"/>
                <w:w w:val="96"/>
              </w:rPr>
              <w:t>Loss Reclassified from AOCL into</w:t>
            </w:r>
          </w:p>
        </w:tc>
        <w:tc>
          <w:tcPr>
            <w:tcW w:w="0" w:type="dxa"/>
            <w:vAlign w:val="bottom"/>
          </w:tcPr>
          <w:p>
            <w:pPr>
              <w:spacing w:after="0"/>
              <w:rPr>
                <w:sz w:val="1"/>
                <w:szCs w:val="1"/>
                <w:color w:val="auto"/>
              </w:rPr>
            </w:pPr>
          </w:p>
        </w:tc>
      </w:tr>
      <w:tr>
        <w:trPr>
          <w:trHeight w:val="206"/>
        </w:trPr>
        <w:tc>
          <w:tcPr>
            <w:tcW w:w="40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Derivatives</w:t>
            </w:r>
          </w:p>
        </w:tc>
        <w:tc>
          <w:tcPr>
            <w:tcW w:w="860" w:type="dxa"/>
            <w:vAlign w:val="bottom"/>
          </w:tcPr>
          <w:p>
            <w:pPr>
              <w:spacing w:after="0"/>
              <w:rPr>
                <w:sz w:val="17"/>
                <w:szCs w:val="17"/>
                <w:color w:val="auto"/>
              </w:rPr>
            </w:pPr>
          </w:p>
        </w:tc>
        <w:tc>
          <w:tcPr>
            <w:tcW w:w="2080" w:type="dxa"/>
            <w:vAlign w:val="bottom"/>
            <w:vMerge w:val="restart"/>
          </w:tcPr>
          <w:p>
            <w:pPr>
              <w:ind w:left="100"/>
              <w:spacing w:after="0"/>
              <w:rPr>
                <w:sz w:val="20"/>
                <w:szCs w:val="20"/>
                <w:color w:val="auto"/>
              </w:rPr>
            </w:pPr>
            <w:r>
              <w:rPr>
                <w:rFonts w:ascii="Arial" w:cs="Arial" w:eastAsia="Arial" w:hAnsi="Arial"/>
                <w:sz w:val="16"/>
                <w:szCs w:val="16"/>
                <w:color w:val="auto"/>
                <w:w w:val="94"/>
              </w:rPr>
              <w:t>Location of Loss Reclassified</w:t>
            </w:r>
          </w:p>
        </w:tc>
        <w:tc>
          <w:tcPr>
            <w:tcW w:w="28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Income</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40" w:type="dxa"/>
            <w:vAlign w:val="bottom"/>
            <w:vMerge w:val="restart"/>
          </w:tcPr>
          <w:p>
            <w:pPr>
              <w:ind w:left="20"/>
              <w:spacing w:after="0"/>
              <w:rPr>
                <w:sz w:val="20"/>
                <w:szCs w:val="20"/>
                <w:color w:val="auto"/>
              </w:rPr>
            </w:pPr>
            <w:r>
              <w:rPr>
                <w:rFonts w:ascii="Arial" w:cs="Arial" w:eastAsia="Arial" w:hAnsi="Arial"/>
                <w:sz w:val="16"/>
                <w:szCs w:val="16"/>
                <w:color w:val="auto"/>
              </w:rPr>
              <w:t>Derivatives in Cash Flow Hedging Relationships</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80" w:type="dxa"/>
            <w:vAlign w:val="bottom"/>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color w:val="auto"/>
              </w:rPr>
              <w:t>2020</w:t>
            </w:r>
          </w:p>
        </w:tc>
        <w:tc>
          <w:tcPr>
            <w:tcW w:w="480" w:type="dxa"/>
            <w:vAlign w:val="bottom"/>
          </w:tcPr>
          <w:p>
            <w:pPr>
              <w:spacing w:after="0"/>
              <w:rPr>
                <w:sz w:val="18"/>
                <w:szCs w:val="18"/>
                <w:color w:val="auto"/>
              </w:rPr>
            </w:pPr>
          </w:p>
        </w:tc>
        <w:tc>
          <w:tcPr>
            <w:tcW w:w="860" w:type="dxa"/>
            <w:vAlign w:val="bottom"/>
          </w:tcPr>
          <w:p>
            <w:pPr>
              <w:jc w:val="right"/>
              <w:ind w:right="399"/>
              <w:spacing w:after="0"/>
              <w:rPr>
                <w:sz w:val="20"/>
                <w:szCs w:val="20"/>
                <w:color w:val="auto"/>
              </w:rPr>
            </w:pPr>
            <w:r>
              <w:rPr>
                <w:rFonts w:ascii="Arial" w:cs="Arial" w:eastAsia="Arial" w:hAnsi="Arial"/>
                <w:sz w:val="16"/>
                <w:szCs w:val="16"/>
                <w:color w:val="auto"/>
              </w:rPr>
              <w:t>2019</w:t>
            </w:r>
          </w:p>
        </w:tc>
        <w:tc>
          <w:tcPr>
            <w:tcW w:w="2080" w:type="dxa"/>
            <w:vAlign w:val="bottom"/>
          </w:tcPr>
          <w:p>
            <w:pPr>
              <w:jc w:val="center"/>
              <w:spacing w:after="0"/>
              <w:rPr>
                <w:sz w:val="20"/>
                <w:szCs w:val="20"/>
                <w:color w:val="auto"/>
              </w:rPr>
            </w:pPr>
            <w:r>
              <w:rPr>
                <w:rFonts w:ascii="Arial" w:cs="Arial" w:eastAsia="Arial" w:hAnsi="Arial"/>
                <w:sz w:val="16"/>
                <w:szCs w:val="16"/>
                <w:color w:val="auto"/>
                <w:w w:val="96"/>
              </w:rPr>
              <w:t>from AOCL into Income</w:t>
            </w:r>
          </w:p>
        </w:tc>
        <w:tc>
          <w:tcPr>
            <w:tcW w:w="28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color w:val="auto"/>
              </w:rPr>
              <w:t>2020</w:t>
            </w:r>
          </w:p>
        </w:tc>
        <w:tc>
          <w:tcPr>
            <w:tcW w:w="36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3"/>
        </w:trPr>
        <w:tc>
          <w:tcPr>
            <w:tcW w:w="4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4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SG&amp;A</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Interest rate swap agreement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(5,264)</w:t>
            </w:r>
          </w:p>
        </w:tc>
        <w:tc>
          <w:tcPr>
            <w:tcW w:w="4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Interest expense, net</w:t>
            </w:r>
          </w:p>
        </w:tc>
        <w:tc>
          <w:tcPr>
            <w:tcW w:w="2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flow hedges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(6,304)</w:t>
            </w:r>
          </w:p>
        </w:tc>
        <w:tc>
          <w:tcPr>
            <w:tcW w:w="4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(822)</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33"/>
        </w:trPr>
        <w:tc>
          <w:tcPr>
            <w:tcW w:w="4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following table provides the pre-tax effect of derivative instruments in cash flow hedging relationships for the nine months ended May 31, 2020 and</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31, 2019,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Arial" w:cs="Arial" w:eastAsia="Arial" w:hAnsi="Arial"/>
                <w:sz w:val="16"/>
                <w:szCs w:val="16"/>
                <w:color w:val="auto"/>
                <w:w w:val="93"/>
              </w:rPr>
              <w:t>(Loss) Gain Recognized in AOCL on</w:t>
            </w:r>
          </w:p>
        </w:tc>
        <w:tc>
          <w:tcPr>
            <w:tcW w:w="2080" w:type="dxa"/>
            <w:vAlign w:val="bottom"/>
          </w:tcPr>
          <w:p>
            <w:pPr>
              <w:spacing w:after="0"/>
              <w:rPr>
                <w:sz w:val="17"/>
                <w:szCs w:val="17"/>
                <w:color w:val="auto"/>
              </w:rPr>
            </w:pPr>
          </w:p>
        </w:tc>
        <w:tc>
          <w:tcPr>
            <w:tcW w:w="2380" w:type="dxa"/>
            <w:vAlign w:val="bottom"/>
            <w:gridSpan w:val="4"/>
          </w:tcPr>
          <w:p>
            <w:pPr>
              <w:jc w:val="right"/>
              <w:spacing w:after="0"/>
              <w:rPr>
                <w:sz w:val="20"/>
                <w:szCs w:val="20"/>
                <w:color w:val="auto"/>
              </w:rPr>
            </w:pPr>
            <w:r>
              <w:rPr>
                <w:rFonts w:ascii="Arial" w:cs="Arial" w:eastAsia="Arial" w:hAnsi="Arial"/>
                <w:sz w:val="16"/>
                <w:szCs w:val="16"/>
                <w:color w:val="auto"/>
                <w:w w:val="96"/>
              </w:rPr>
              <w:t>Loss Reclassified from AOCL into</w:t>
            </w:r>
          </w:p>
        </w:tc>
        <w:tc>
          <w:tcPr>
            <w:tcW w:w="0" w:type="dxa"/>
            <w:vAlign w:val="bottom"/>
          </w:tcPr>
          <w:p>
            <w:pPr>
              <w:spacing w:after="0"/>
              <w:rPr>
                <w:sz w:val="1"/>
                <w:szCs w:val="1"/>
                <w:color w:val="auto"/>
              </w:rPr>
            </w:pPr>
          </w:p>
        </w:tc>
      </w:tr>
      <w:tr>
        <w:trPr>
          <w:trHeight w:val="206"/>
        </w:trPr>
        <w:tc>
          <w:tcPr>
            <w:tcW w:w="40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8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Derivatives</w:t>
            </w:r>
          </w:p>
        </w:tc>
        <w:tc>
          <w:tcPr>
            <w:tcW w:w="860" w:type="dxa"/>
            <w:vAlign w:val="bottom"/>
          </w:tcPr>
          <w:p>
            <w:pPr>
              <w:spacing w:after="0"/>
              <w:rPr>
                <w:sz w:val="17"/>
                <w:szCs w:val="17"/>
                <w:color w:val="auto"/>
              </w:rPr>
            </w:pPr>
          </w:p>
        </w:tc>
        <w:tc>
          <w:tcPr>
            <w:tcW w:w="2080" w:type="dxa"/>
            <w:vAlign w:val="bottom"/>
            <w:vMerge w:val="restart"/>
          </w:tcPr>
          <w:p>
            <w:pPr>
              <w:ind w:left="100"/>
              <w:spacing w:after="0"/>
              <w:rPr>
                <w:sz w:val="20"/>
                <w:szCs w:val="20"/>
                <w:color w:val="auto"/>
              </w:rPr>
            </w:pPr>
            <w:r>
              <w:rPr>
                <w:rFonts w:ascii="Arial" w:cs="Arial" w:eastAsia="Arial" w:hAnsi="Arial"/>
                <w:sz w:val="16"/>
                <w:szCs w:val="16"/>
                <w:color w:val="auto"/>
                <w:w w:val="94"/>
              </w:rPr>
              <w:t>Location of Loss Reclassified</w:t>
            </w:r>
          </w:p>
        </w:tc>
        <w:tc>
          <w:tcPr>
            <w:tcW w:w="28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Income</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40" w:type="dxa"/>
            <w:vAlign w:val="bottom"/>
            <w:vMerge w:val="restart"/>
          </w:tcPr>
          <w:p>
            <w:pPr>
              <w:ind w:left="20"/>
              <w:spacing w:after="0"/>
              <w:rPr>
                <w:sz w:val="20"/>
                <w:szCs w:val="20"/>
                <w:color w:val="auto"/>
              </w:rPr>
            </w:pPr>
            <w:r>
              <w:rPr>
                <w:rFonts w:ascii="Arial" w:cs="Arial" w:eastAsia="Arial" w:hAnsi="Arial"/>
                <w:sz w:val="16"/>
                <w:szCs w:val="16"/>
                <w:color w:val="auto"/>
              </w:rPr>
              <w:t>Derivatives in Cash Flow Hedging Relationships</w:t>
            </w: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80" w:type="dxa"/>
            <w:vAlign w:val="bottom"/>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2020</w:t>
            </w:r>
          </w:p>
        </w:tc>
        <w:tc>
          <w:tcPr>
            <w:tcW w:w="480" w:type="dxa"/>
            <w:vAlign w:val="bottom"/>
          </w:tcPr>
          <w:p>
            <w:pPr>
              <w:spacing w:after="0"/>
              <w:rPr>
                <w:sz w:val="18"/>
                <w:szCs w:val="18"/>
                <w:color w:val="auto"/>
              </w:rPr>
            </w:pPr>
          </w:p>
        </w:tc>
        <w:tc>
          <w:tcPr>
            <w:tcW w:w="860" w:type="dxa"/>
            <w:vAlign w:val="bottom"/>
          </w:tcPr>
          <w:p>
            <w:pPr>
              <w:jc w:val="right"/>
              <w:ind w:right="399"/>
              <w:spacing w:after="0"/>
              <w:rPr>
                <w:sz w:val="20"/>
                <w:szCs w:val="20"/>
                <w:color w:val="auto"/>
              </w:rPr>
            </w:pPr>
            <w:r>
              <w:rPr>
                <w:rFonts w:ascii="Arial" w:cs="Arial" w:eastAsia="Arial" w:hAnsi="Arial"/>
                <w:sz w:val="16"/>
                <w:szCs w:val="16"/>
                <w:color w:val="auto"/>
              </w:rPr>
              <w:t>2019</w:t>
            </w:r>
          </w:p>
        </w:tc>
        <w:tc>
          <w:tcPr>
            <w:tcW w:w="2080" w:type="dxa"/>
            <w:vAlign w:val="bottom"/>
          </w:tcPr>
          <w:p>
            <w:pPr>
              <w:jc w:val="center"/>
              <w:spacing w:after="0"/>
              <w:rPr>
                <w:sz w:val="20"/>
                <w:szCs w:val="20"/>
                <w:color w:val="auto"/>
              </w:rPr>
            </w:pPr>
            <w:r>
              <w:rPr>
                <w:rFonts w:ascii="Arial" w:cs="Arial" w:eastAsia="Arial" w:hAnsi="Arial"/>
                <w:sz w:val="16"/>
                <w:szCs w:val="16"/>
                <w:color w:val="auto"/>
                <w:w w:val="96"/>
              </w:rPr>
              <w:t>from AOCL into Income</w:t>
            </w:r>
          </w:p>
        </w:tc>
        <w:tc>
          <w:tcPr>
            <w:tcW w:w="28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color w:val="auto"/>
              </w:rPr>
              <w:t>2020</w:t>
            </w:r>
          </w:p>
        </w:tc>
        <w:tc>
          <w:tcPr>
            <w:tcW w:w="36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3"/>
        </w:trPr>
        <w:tc>
          <w:tcPr>
            <w:tcW w:w="4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forward contracts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4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1,442</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SG&amp;A</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(2,101)</w:t>
            </w:r>
          </w:p>
        </w:tc>
        <w:tc>
          <w:tcPr>
            <w:tcW w:w="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Interest rate swap agreement</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(5,264)</w:t>
            </w:r>
          </w:p>
        </w:tc>
        <w:tc>
          <w:tcPr>
            <w:tcW w:w="48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Interest expense, net</w:t>
            </w:r>
          </w:p>
        </w:tc>
        <w:tc>
          <w:tcPr>
            <w:tcW w:w="2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flow hedges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(4,902)</w:t>
            </w:r>
          </w:p>
        </w:tc>
        <w:tc>
          <w:tcPr>
            <w:tcW w:w="4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1,442</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33"/>
        </w:trPr>
        <w:tc>
          <w:tcPr>
            <w:tcW w:w="4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31, 2020, the Company assessed that these cash flow hedges were effective. Foreign currency forward contract gains and losses are recorded in the Consolidated Statement of Income in Selling, general, and administrative ("SG&amp;A"). The gain or loss from the interest rate swap agreement is recorded in the Consolidated Statement of Income in Interest expense, net. As of May 31, 2020, the Company estimates that net pre-tax derivative losses of $2.4 million included in AOCL will be reclassified into earnings within the next 12 months.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Offsetting of Derivative Instruments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FactSet’s master netting and other similar arrangements with its respective counterparties allow for net settlement under certain conditions. As of May 31, 2020, and August 31, 2019, there were no material amounts recorded net on the Consolidated Balance Sheets.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COMPREHENSIVE (LOSS) INCOME AND ACCUMULATED OTHER COMPREHENSIVE LOSS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gridSpan w:val="6"/>
          </w:tcPr>
          <w:p>
            <w:pPr>
              <w:ind w:left="20"/>
              <w:spacing w:after="0"/>
              <w:rPr>
                <w:sz w:val="20"/>
                <w:szCs w:val="20"/>
                <w:color w:val="auto"/>
              </w:rPr>
            </w:pPr>
            <w:r>
              <w:rPr>
                <w:rFonts w:ascii="Arial" w:cs="Arial" w:eastAsia="Arial" w:hAnsi="Arial"/>
                <w:sz w:val="18"/>
                <w:szCs w:val="18"/>
                <w:color w:val="auto"/>
                <w:w w:val="91"/>
              </w:rPr>
              <w:t>The components of other comprehensive loss for the three months ended May 31, 2020 and May 31, 2019 are as follows:</w:t>
            </w: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gridSpan w:val="3"/>
          </w:tcPr>
          <w:p>
            <w:pPr>
              <w:jc w:val="right"/>
              <w:ind w:right="650"/>
              <w:spacing w:after="0"/>
              <w:rPr>
                <w:sz w:val="20"/>
                <w:szCs w:val="20"/>
                <w:color w:val="auto"/>
              </w:rPr>
            </w:pPr>
            <w:r>
              <w:rPr>
                <w:rFonts w:ascii="Arial" w:cs="Arial" w:eastAsia="Arial" w:hAnsi="Arial"/>
                <w:sz w:val="18"/>
                <w:szCs w:val="18"/>
                <w:color w:val="auto"/>
              </w:rPr>
              <w:t>May 31, 2020</w:t>
            </w:r>
          </w:p>
        </w:tc>
        <w:tc>
          <w:tcPr>
            <w:tcW w:w="320" w:type="dxa"/>
            <w:vAlign w:val="bottom"/>
          </w:tcPr>
          <w:p>
            <w:pPr>
              <w:spacing w:after="0"/>
              <w:rPr>
                <w:sz w:val="21"/>
                <w:szCs w:val="21"/>
                <w:color w:val="auto"/>
              </w:rPr>
            </w:pPr>
          </w:p>
        </w:tc>
        <w:tc>
          <w:tcPr>
            <w:tcW w:w="2280" w:type="dxa"/>
            <w:vAlign w:val="bottom"/>
            <w:gridSpan w:val="3"/>
          </w:tcPr>
          <w:p>
            <w:pPr>
              <w:jc w:val="center"/>
              <w:ind w:right="130"/>
              <w:spacing w:after="0"/>
              <w:rPr>
                <w:sz w:val="20"/>
                <w:szCs w:val="20"/>
                <w:color w:val="auto"/>
              </w:rPr>
            </w:pPr>
            <w:r>
              <w:rPr>
                <w:rFonts w:ascii="Arial" w:cs="Arial" w:eastAsia="Arial" w:hAnsi="Arial"/>
                <w:sz w:val="18"/>
                <w:szCs w:val="18"/>
                <w:color w:val="auto"/>
                <w:w w:val="93"/>
              </w:rPr>
              <w:t>May 31, 2019</w:t>
            </w:r>
          </w:p>
        </w:tc>
        <w:tc>
          <w:tcPr>
            <w:tcW w:w="0" w:type="dxa"/>
            <w:vAlign w:val="bottom"/>
          </w:tcPr>
          <w:p>
            <w:pPr>
              <w:spacing w:after="0"/>
              <w:rPr>
                <w:sz w:val="1"/>
                <w:szCs w:val="1"/>
                <w:color w:val="auto"/>
              </w:rPr>
            </w:pPr>
          </w:p>
        </w:tc>
      </w:tr>
      <w:tr>
        <w:trPr>
          <w:trHeight w:val="27"/>
        </w:trPr>
        <w:tc>
          <w:tcPr>
            <w:tcW w:w="61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ind w:left="120"/>
              <w:spacing w:after="0"/>
              <w:rPr>
                <w:sz w:val="20"/>
                <w:szCs w:val="20"/>
                <w:color w:val="auto"/>
              </w:rPr>
            </w:pPr>
            <w:r>
              <w:rPr>
                <w:rFonts w:ascii="Arial" w:cs="Arial" w:eastAsia="Arial" w:hAnsi="Arial"/>
                <w:sz w:val="18"/>
                <w:szCs w:val="18"/>
                <w:color w:val="auto"/>
              </w:rPr>
              <w:t>Pre-tax</w:t>
            </w:r>
          </w:p>
        </w:tc>
        <w:tc>
          <w:tcPr>
            <w:tcW w:w="26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8"/>
              </w:rPr>
              <w:t>Net of tax</w:t>
            </w:r>
          </w:p>
        </w:tc>
        <w:tc>
          <w:tcPr>
            <w:tcW w:w="3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Pre-tax</w:t>
            </w:r>
          </w:p>
        </w:tc>
        <w:tc>
          <w:tcPr>
            <w:tcW w:w="28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8"/>
              </w:rPr>
              <w:t>Net of tax</w:t>
            </w:r>
          </w:p>
        </w:tc>
        <w:tc>
          <w:tcPr>
            <w:tcW w:w="0" w:type="dxa"/>
            <w:vAlign w:val="bottom"/>
          </w:tcPr>
          <w:p>
            <w:pPr>
              <w:spacing w:after="0"/>
              <w:rPr>
                <w:sz w:val="1"/>
                <w:szCs w:val="1"/>
                <w:color w:val="auto"/>
              </w:rPr>
            </w:pPr>
          </w:p>
        </w:tc>
      </w:tr>
      <w:tr>
        <w:trPr>
          <w:trHeight w:val="27"/>
        </w:trPr>
        <w:tc>
          <w:tcPr>
            <w:tcW w:w="6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1"/>
              </w:rPr>
              <w:t>(4,633)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(11,326)</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Net unrealized loss on cash flow hedges recognized in AOCL</w:t>
            </w:r>
          </w:p>
        </w:tc>
        <w:tc>
          <w:tcPr>
            <w:tcW w:w="22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1"/>
              </w:rPr>
              <w:t>(5,285)</w:t>
            </w: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(3,948)</w:t>
            </w:r>
          </w:p>
        </w:tc>
        <w:tc>
          <w:tcPr>
            <w:tcW w:w="3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Other comprehensive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1"/>
              </w:rPr>
              <w:t>(9,918)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(11,486)</w:t>
            </w:r>
          </w:p>
        </w:tc>
        <w:tc>
          <w:tcPr>
            <w:tcW w:w="0" w:type="dxa"/>
            <w:vAlign w:val="bottom"/>
          </w:tcPr>
          <w:p>
            <w:pPr>
              <w:spacing w:after="0"/>
              <w:rPr>
                <w:sz w:val="1"/>
                <w:szCs w:val="1"/>
                <w:color w:val="auto"/>
              </w:rPr>
            </w:pPr>
          </w:p>
        </w:tc>
      </w:tr>
      <w:tr>
        <w:trPr>
          <w:trHeight w:val="675"/>
        </w:trPr>
        <w:tc>
          <w:tcPr>
            <w:tcW w:w="8900" w:type="dxa"/>
            <w:vAlign w:val="bottom"/>
            <w:gridSpan w:val="6"/>
          </w:tcPr>
          <w:p>
            <w:pPr>
              <w:ind w:left="20"/>
              <w:spacing w:after="0"/>
              <w:rPr>
                <w:sz w:val="20"/>
                <w:szCs w:val="20"/>
                <w:color w:val="auto"/>
              </w:rPr>
            </w:pPr>
            <w:r>
              <w:rPr>
                <w:rFonts w:ascii="Arial" w:cs="Arial" w:eastAsia="Arial" w:hAnsi="Arial"/>
                <w:sz w:val="18"/>
                <w:szCs w:val="18"/>
                <w:color w:val="auto"/>
                <w:w w:val="92"/>
              </w:rPr>
              <w:t>The components of other comprehensive loss for the nine months ended May 31, 2020 and May 31, 2019 are as follows:</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gridSpan w:val="3"/>
          </w:tcPr>
          <w:p>
            <w:pPr>
              <w:jc w:val="right"/>
              <w:ind w:right="650"/>
              <w:spacing w:after="0"/>
              <w:rPr>
                <w:sz w:val="20"/>
                <w:szCs w:val="20"/>
                <w:color w:val="auto"/>
              </w:rPr>
            </w:pPr>
            <w:r>
              <w:rPr>
                <w:rFonts w:ascii="Arial" w:cs="Arial" w:eastAsia="Arial" w:hAnsi="Arial"/>
                <w:sz w:val="18"/>
                <w:szCs w:val="18"/>
                <w:color w:val="auto"/>
              </w:rPr>
              <w:t>May 31, 2020</w:t>
            </w:r>
          </w:p>
        </w:tc>
        <w:tc>
          <w:tcPr>
            <w:tcW w:w="320" w:type="dxa"/>
            <w:vAlign w:val="bottom"/>
          </w:tcPr>
          <w:p>
            <w:pPr>
              <w:spacing w:after="0"/>
              <w:rPr>
                <w:sz w:val="21"/>
                <w:szCs w:val="21"/>
                <w:color w:val="auto"/>
              </w:rPr>
            </w:pPr>
          </w:p>
        </w:tc>
        <w:tc>
          <w:tcPr>
            <w:tcW w:w="2280" w:type="dxa"/>
            <w:vAlign w:val="bottom"/>
            <w:gridSpan w:val="3"/>
          </w:tcPr>
          <w:p>
            <w:pPr>
              <w:jc w:val="center"/>
              <w:ind w:right="130"/>
              <w:spacing w:after="0"/>
              <w:rPr>
                <w:sz w:val="20"/>
                <w:szCs w:val="20"/>
                <w:color w:val="auto"/>
              </w:rPr>
            </w:pPr>
            <w:r>
              <w:rPr>
                <w:rFonts w:ascii="Arial" w:cs="Arial" w:eastAsia="Arial" w:hAnsi="Arial"/>
                <w:sz w:val="18"/>
                <w:szCs w:val="18"/>
                <w:color w:val="auto"/>
                <w:w w:val="93"/>
              </w:rPr>
              <w:t>May 31, 2019</w:t>
            </w:r>
          </w:p>
        </w:tc>
        <w:tc>
          <w:tcPr>
            <w:tcW w:w="0" w:type="dxa"/>
            <w:vAlign w:val="bottom"/>
          </w:tcPr>
          <w:p>
            <w:pPr>
              <w:spacing w:after="0"/>
              <w:rPr>
                <w:sz w:val="1"/>
                <w:szCs w:val="1"/>
                <w:color w:val="auto"/>
              </w:rPr>
            </w:pPr>
          </w:p>
        </w:tc>
      </w:tr>
      <w:tr>
        <w:trPr>
          <w:trHeight w:val="27"/>
        </w:trPr>
        <w:tc>
          <w:tcPr>
            <w:tcW w:w="61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ind w:left="120"/>
              <w:spacing w:after="0"/>
              <w:rPr>
                <w:sz w:val="20"/>
                <w:szCs w:val="20"/>
                <w:color w:val="auto"/>
              </w:rPr>
            </w:pPr>
            <w:r>
              <w:rPr>
                <w:rFonts w:ascii="Arial" w:cs="Arial" w:eastAsia="Arial" w:hAnsi="Arial"/>
                <w:sz w:val="18"/>
                <w:szCs w:val="18"/>
                <w:color w:val="auto"/>
              </w:rPr>
              <w:t>Pre-tax</w:t>
            </w:r>
          </w:p>
        </w:tc>
        <w:tc>
          <w:tcPr>
            <w:tcW w:w="26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8"/>
              </w:rPr>
              <w:t>Net of tax</w:t>
            </w:r>
          </w:p>
        </w:tc>
        <w:tc>
          <w:tcPr>
            <w:tcW w:w="3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Pre-tax</w:t>
            </w:r>
          </w:p>
        </w:tc>
        <w:tc>
          <w:tcPr>
            <w:tcW w:w="28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8"/>
              </w:rPr>
              <w:t>Net of tax</w:t>
            </w:r>
          </w:p>
        </w:tc>
        <w:tc>
          <w:tcPr>
            <w:tcW w:w="0" w:type="dxa"/>
            <w:vAlign w:val="bottom"/>
          </w:tcPr>
          <w:p>
            <w:pPr>
              <w:spacing w:after="0"/>
              <w:rPr>
                <w:sz w:val="1"/>
                <w:szCs w:val="1"/>
                <w:color w:val="auto"/>
              </w:rPr>
            </w:pPr>
          </w:p>
        </w:tc>
      </w:tr>
      <w:tr>
        <w:trPr>
          <w:trHeight w:val="27"/>
        </w:trPr>
        <w:tc>
          <w:tcPr>
            <w:tcW w:w="6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93"/>
              </w:rPr>
              <w:t>1,589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(15,804)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(15,804)</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Net unrealized (loss) gain on cash flow hedges recognized in AOCL</w:t>
            </w:r>
          </w:p>
        </w:tc>
        <w:tc>
          <w:tcPr>
            <w:tcW w:w="22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1"/>
              </w:rPr>
              <w:t>(2,801)</w:t>
            </w: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(2,105)</w:t>
            </w:r>
          </w:p>
        </w:tc>
        <w:tc>
          <w:tcPr>
            <w:tcW w:w="3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2,107</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Other comprehensive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1"/>
              </w:rPr>
              <w:t>(1,212)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(13,697)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(14,399)</w:t>
            </w:r>
          </w:p>
        </w:tc>
        <w:tc>
          <w:tcPr>
            <w:tcW w:w="0" w:type="dxa"/>
            <w:vAlign w:val="bottom"/>
          </w:tcPr>
          <w:p>
            <w:pPr>
              <w:spacing w:after="0"/>
              <w:rPr>
                <w:sz w:val="1"/>
                <w:szCs w:val="1"/>
                <w:color w:val="auto"/>
              </w:rPr>
            </w:pPr>
          </w:p>
        </w:tc>
      </w:tr>
      <w:tr>
        <w:trPr>
          <w:trHeight w:val="688"/>
        </w:trPr>
        <w:tc>
          <w:tcPr>
            <w:tcW w:w="6100" w:type="dxa"/>
            <w:vAlign w:val="bottom"/>
          </w:tcPr>
          <w:p>
            <w:pPr>
              <w:ind w:left="20"/>
              <w:spacing w:after="0"/>
              <w:rPr>
                <w:sz w:val="20"/>
                <w:szCs w:val="20"/>
                <w:color w:val="auto"/>
              </w:rPr>
            </w:pPr>
            <w:r>
              <w:rPr>
                <w:rFonts w:ascii="Arial" w:cs="Arial" w:eastAsia="Arial" w:hAnsi="Arial"/>
                <w:sz w:val="18"/>
                <w:szCs w:val="18"/>
                <w:color w:val="auto"/>
              </w:rPr>
              <w:t>The components of AOCL are as follows:</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3"/>
                <w:szCs w:val="23"/>
                <w:color w:val="auto"/>
              </w:rPr>
            </w:pPr>
          </w:p>
        </w:tc>
        <w:tc>
          <w:tcPr>
            <w:tcW w:w="2260" w:type="dxa"/>
            <w:vAlign w:val="bottom"/>
            <w:gridSpan w:val="3"/>
          </w:tcPr>
          <w:p>
            <w:pPr>
              <w:jc w:val="right"/>
              <w:ind w:right="650"/>
              <w:spacing w:after="0"/>
              <w:rPr>
                <w:sz w:val="20"/>
                <w:szCs w:val="20"/>
                <w:color w:val="auto"/>
              </w:rPr>
            </w:pPr>
            <w:r>
              <w:rPr>
                <w:rFonts w:ascii="Arial" w:cs="Arial" w:eastAsia="Arial" w:hAnsi="Arial"/>
                <w:sz w:val="18"/>
                <w:szCs w:val="18"/>
                <w:color w:val="auto"/>
              </w:rPr>
              <w:t>May 31, 2020</w:t>
            </w:r>
          </w:p>
        </w:tc>
        <w:tc>
          <w:tcPr>
            <w:tcW w:w="320" w:type="dxa"/>
            <w:vAlign w:val="bottom"/>
          </w:tcPr>
          <w:p>
            <w:pPr>
              <w:spacing w:after="0"/>
              <w:rPr>
                <w:sz w:val="23"/>
                <w:szCs w:val="23"/>
                <w:color w:val="auto"/>
              </w:rPr>
            </w:pPr>
          </w:p>
        </w:tc>
        <w:tc>
          <w:tcPr>
            <w:tcW w:w="2280" w:type="dxa"/>
            <w:vAlign w:val="bottom"/>
            <w:gridSpan w:val="3"/>
          </w:tcPr>
          <w:p>
            <w:pPr>
              <w:jc w:val="center"/>
              <w:ind w:right="130"/>
              <w:spacing w:after="0"/>
              <w:rPr>
                <w:sz w:val="20"/>
                <w:szCs w:val="20"/>
                <w:color w:val="auto"/>
              </w:rPr>
            </w:pPr>
            <w:r>
              <w:rPr>
                <w:rFonts w:ascii="Arial" w:cs="Arial" w:eastAsia="Arial" w:hAnsi="Arial"/>
                <w:sz w:val="18"/>
                <w:szCs w:val="18"/>
                <w:color w:val="auto"/>
                <w:w w:val="89"/>
              </w:rPr>
              <w:t>August 31, 2019</w:t>
            </w:r>
          </w:p>
        </w:tc>
        <w:tc>
          <w:tcPr>
            <w:tcW w:w="0" w:type="dxa"/>
            <w:vAlign w:val="bottom"/>
          </w:tcPr>
          <w:p>
            <w:pPr>
              <w:spacing w:after="0"/>
              <w:rPr>
                <w:sz w:val="1"/>
                <w:szCs w:val="1"/>
                <w:color w:val="auto"/>
              </w:rPr>
            </w:pPr>
          </w:p>
        </w:tc>
      </w:tr>
      <w:tr>
        <w:trPr>
          <w:trHeight w:val="27"/>
        </w:trPr>
        <w:tc>
          <w:tcPr>
            <w:tcW w:w="6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unrealized losses on cash flow hedges, net of tax</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Accumulated foreign currency translation adjustments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(70,689)</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(72,278)</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Total accumulated other comprehensive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(75,060)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(74,544)</w:t>
            </w:r>
          </w:p>
        </w:tc>
        <w:tc>
          <w:tcPr>
            <w:tcW w:w="0" w:type="dxa"/>
            <w:vAlign w:val="bottom"/>
          </w:tcPr>
          <w:p>
            <w:pPr>
              <w:spacing w:after="0"/>
              <w:rPr>
                <w:sz w:val="1"/>
                <w:szCs w:val="1"/>
                <w:color w:val="auto"/>
              </w:rPr>
            </w:pPr>
          </w:p>
        </w:tc>
      </w:tr>
      <w:tr>
        <w:trPr>
          <w:trHeight w:val="27"/>
        </w:trPr>
        <w:tc>
          <w:tcPr>
            <w:tcW w:w="6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that have the following characteristics: (i) it engages in business activities from which it may earn revenue and incur expense, (ii) its operating results are regularly reviewed by the company's chief operating decision maker ("CODM") for resource allocation decisions and performance assessment, and (iii) its discrete financial information is available. The Company's Chief Executive Officer functions as the CODM.</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operating segments are aligned with how the Company, including its CODM, manages the business and the geographic markets in which it serves, with a primary focus on providing integrated global financial and economic information. The Company’s internal financial reporting structure is based on three segments: the Americas, EMEA and Asia Pacific. The primary workflow solutions within the Americas, EMEA and Asia Pacific segments are Research, Analytics and Trading, CTS and Wealth. These workflow solutions provide global financial and economic information to investment managers, investment banks and other financial services professionals.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Americas segment serves our clients throughout North, Central, and South America. The EMEA segment serves our clients in countries in Europe and Africa. The Asia Pacific segment serves our clients in countries in Asia and Australia. Segment revenue reflects direct sales to clients based in these respective geographic locations. Each segment records compensation expense (including stock-based compensation), amortization of intangible assets, depreciation of furniture and fixtures, amortization of leasehold improvements, communication costs, professional fees, rent expense, travel, office and other direct expenses.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Expenditures associated with the Company’s data centers, third-party data costs and corporate headquarters charges are recorded by the Americas segment and are not allocated to the other segments. The content collection centers, located in India, the Philippines, and Latvia, benefit all the Company’s operating segments, and thus the expenses incurred at these locations are allocated to each segment based on a percentage of revenue.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reflect the results of operations of the Company's segments: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97"/>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 the three months ended May 31, 2020</w:t>
            </w:r>
          </w:p>
        </w:tc>
        <w:tc>
          <w:tcPr>
            <w:tcW w:w="1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Americas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Asia Pacific</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230,992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105,420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37,671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374,083</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54,019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43,638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23,983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121,640</w:t>
            </w:r>
          </w:p>
        </w:tc>
      </w:tr>
      <w:tr>
        <w:trPr>
          <w:trHeight w:val="27"/>
        </w:trPr>
        <w:tc>
          <w:tcPr>
            <w:tcW w:w="4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11,010</w:t>
            </w:r>
          </w:p>
        </w:tc>
      </w:tr>
      <w:tr>
        <w:trPr>
          <w:trHeight w:val="513"/>
        </w:trPr>
        <w:tc>
          <w:tcPr>
            <w:tcW w:w="45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7"/>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 the three months ended May 31, 2019</w:t>
            </w:r>
          </w:p>
        </w:tc>
        <w:tc>
          <w:tcPr>
            <w:tcW w:w="1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Americas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Asia Pacific</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226,961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364,533</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51,012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44,793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21,435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117,240</w:t>
            </w:r>
          </w:p>
        </w:tc>
      </w:tr>
      <w:tr>
        <w:trPr>
          <w:trHeight w:val="27"/>
        </w:trPr>
        <w:tc>
          <w:tcPr>
            <w:tcW w:w="4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11,424</w:t>
            </w:r>
          </w:p>
        </w:tc>
      </w:tr>
      <w:tr>
        <w:trPr>
          <w:trHeight w:val="540"/>
        </w:trPr>
        <w:tc>
          <w:tcPr>
            <w:tcW w:w="45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7"/>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 the nine months ended May 31, 2020</w:t>
            </w:r>
          </w:p>
        </w:tc>
        <w:tc>
          <w:tcPr>
            <w:tcW w:w="1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Americas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Asia Pacific</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43"/>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695,053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107,113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1,110,521</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144,952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127,520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68,611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341,083</w:t>
            </w:r>
          </w:p>
        </w:tc>
      </w:tr>
      <w:tr>
        <w:trPr>
          <w:trHeight w:val="27"/>
        </w:trPr>
        <w:tc>
          <w:tcPr>
            <w:tcW w:w="4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47,234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62,909</w:t>
            </w:r>
          </w:p>
        </w:tc>
      </w:tr>
      <w:tr>
        <w:trPr>
          <w:trHeight w:val="513"/>
        </w:trPr>
        <w:tc>
          <w:tcPr>
            <w:tcW w:w="45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7"/>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 the nine months ended May 31, 2019</w:t>
            </w:r>
          </w:p>
        </w:tc>
        <w:tc>
          <w:tcPr>
            <w:tcW w:w="1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Americas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Asia Pacific</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r>
      <w:tr>
        <w:trPr>
          <w:trHeight w:val="243"/>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672,479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299,197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99,392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1,071,068</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140,549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127,130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58,788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326,467</w:t>
            </w:r>
          </w:p>
        </w:tc>
      </w:tr>
      <w:tr>
        <w:trPr>
          <w:trHeight w:val="27"/>
        </w:trPr>
        <w:tc>
          <w:tcPr>
            <w:tcW w:w="4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32,906</w:t>
            </w:r>
          </w:p>
        </w:tc>
      </w:tr>
      <w:tr>
        <w:trPr>
          <w:trHeight w:val="27"/>
        </w:trPr>
        <w:tc>
          <w:tcPr>
            <w:tcW w:w="45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w w:val="97"/>
              </w:rPr>
              <w:t>The following table reflects the total assets for the Company's segments: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13"/>
        </w:trPr>
        <w:tc>
          <w:tcPr>
            <w:tcW w:w="5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5640" w:type="dxa"/>
            <w:vAlign w:val="bottom"/>
          </w:tcPr>
          <w:p>
            <w:pPr>
              <w:ind w:left="20"/>
              <w:spacing w:after="0"/>
              <w:rPr>
                <w:sz w:val="20"/>
                <w:szCs w:val="20"/>
                <w:color w:val="auto"/>
              </w:rPr>
            </w:pPr>
            <w:r>
              <w:rPr>
                <w:rFonts w:ascii="Arial" w:cs="Arial" w:eastAsia="Arial" w:hAnsi="Arial"/>
                <w:sz w:val="18"/>
                <w:szCs w:val="18"/>
                <w:color w:val="auto"/>
              </w:rPr>
              <w:t>Segment Assets</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40" w:type="dxa"/>
            <w:vAlign w:val="bottom"/>
            <w:gridSpan w:val="2"/>
          </w:tcPr>
          <w:p>
            <w:pPr>
              <w:jc w:val="right"/>
              <w:ind w:right="370"/>
              <w:spacing w:after="0"/>
              <w:rPr>
                <w:sz w:val="20"/>
                <w:szCs w:val="20"/>
                <w:color w:val="auto"/>
              </w:rPr>
            </w:pPr>
            <w:r>
              <w:rPr>
                <w:rFonts w:ascii="Arial" w:cs="Arial" w:eastAsia="Arial" w:hAnsi="Arial"/>
                <w:sz w:val="18"/>
                <w:szCs w:val="18"/>
                <w:color w:val="auto"/>
              </w:rPr>
              <w:t>May 31, 2020</w:t>
            </w:r>
          </w:p>
        </w:tc>
        <w:tc>
          <w:tcPr>
            <w:tcW w:w="2140" w:type="dxa"/>
            <w:vAlign w:val="bottom"/>
            <w:gridSpan w:val="4"/>
          </w:tcPr>
          <w:p>
            <w:pPr>
              <w:ind w:left="520"/>
              <w:spacing w:after="0"/>
              <w:rPr>
                <w:sz w:val="20"/>
                <w:szCs w:val="20"/>
                <w:color w:val="auto"/>
              </w:rPr>
            </w:pPr>
            <w:r>
              <w:rPr>
                <w:rFonts w:ascii="Arial" w:cs="Arial" w:eastAsia="Arial" w:hAnsi="Arial"/>
                <w:sz w:val="18"/>
                <w:szCs w:val="18"/>
                <w:color w:val="auto"/>
              </w:rPr>
              <w:t>August 31, 2019</w:t>
            </w:r>
          </w:p>
        </w:tc>
      </w:tr>
      <w:tr>
        <w:trPr>
          <w:trHeight w:val="27"/>
        </w:trPr>
        <w:tc>
          <w:tcPr>
            <w:tcW w:w="5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Americas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w w:val="87"/>
              </w:rPr>
              <w:t>1,106,646</w:t>
            </w:r>
          </w:p>
        </w:tc>
        <w:tc>
          <w:tcPr>
            <w:tcW w:w="72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851,014</w:t>
            </w:r>
          </w:p>
        </w:tc>
        <w:tc>
          <w:tcPr>
            <w:tcW w:w="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633,398</w:t>
            </w: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588,911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207,661</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120,205</w:t>
            </w:r>
          </w:p>
        </w:tc>
        <w:tc>
          <w:tcPr>
            <w:tcW w:w="20" w:type="dxa"/>
            <w:vAlign w:val="bottom"/>
          </w:tcPr>
          <w:p>
            <w:pPr>
              <w:spacing w:after="0"/>
              <w:rPr>
                <w:sz w:val="21"/>
                <w:szCs w:val="2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i w:val="1"/>
                <w:iCs w:val="1"/>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1,947,705</w:t>
            </w:r>
          </w:p>
        </w:tc>
        <w:tc>
          <w:tcPr>
            <w:tcW w:w="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1,560,130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702"/>
        </w:trPr>
        <w:tc>
          <w:tcPr>
            <w:tcW w:w="5640" w:type="dxa"/>
            <w:vAlign w:val="bottom"/>
          </w:tcPr>
          <w:p>
            <w:pPr>
              <w:spacing w:after="0"/>
              <w:rPr>
                <w:sz w:val="20"/>
                <w:szCs w:val="20"/>
                <w:color w:val="auto"/>
              </w:rPr>
            </w:pPr>
            <w:r>
              <w:rPr>
                <w:rFonts w:ascii="Arial" w:cs="Arial" w:eastAsia="Arial" w:hAnsi="Arial"/>
                <w:sz w:val="18"/>
                <w:szCs w:val="18"/>
                <w:b w:val="1"/>
                <w:bCs w:val="1"/>
                <w:color w:val="auto"/>
              </w:rPr>
              <w:t>9. GOODWILL</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1"/>
        </w:trPr>
        <w:tc>
          <w:tcPr>
            <w:tcW w:w="8220" w:type="dxa"/>
            <w:vAlign w:val="bottom"/>
            <w:gridSpan w:val="6"/>
          </w:tcPr>
          <w:p>
            <w:pPr>
              <w:spacing w:after="0"/>
              <w:rPr>
                <w:sz w:val="20"/>
                <w:szCs w:val="20"/>
                <w:color w:val="auto"/>
              </w:rPr>
            </w:pPr>
            <w:r>
              <w:rPr>
                <w:rFonts w:ascii="Arial" w:cs="Arial" w:eastAsia="Arial" w:hAnsi="Arial"/>
                <w:sz w:val="18"/>
                <w:szCs w:val="18"/>
                <w:color w:val="auto"/>
                <w:w w:val="91"/>
              </w:rPr>
              <w:t>Changes in the carrying amount of goodwill by segment for the nine months ended May 31, 2020 are as follows:</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5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Americas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EMEA</w:t>
            </w:r>
          </w:p>
        </w:tc>
        <w:tc>
          <w:tcPr>
            <w:tcW w:w="1580" w:type="dxa"/>
            <w:vAlign w:val="bottom"/>
            <w:gridSpan w:val="2"/>
          </w:tcPr>
          <w:p>
            <w:pPr>
              <w:ind w:left="480"/>
              <w:spacing w:after="0"/>
              <w:rPr>
                <w:sz w:val="20"/>
                <w:szCs w:val="20"/>
                <w:color w:val="auto"/>
              </w:rPr>
            </w:pPr>
            <w:r>
              <w:rPr>
                <w:rFonts w:ascii="Arial" w:cs="Arial" w:eastAsia="Arial" w:hAnsi="Arial"/>
                <w:sz w:val="18"/>
                <w:szCs w:val="18"/>
                <w:color w:val="auto"/>
              </w:rPr>
              <w:t>Asia Pacific</w:t>
            </w:r>
          </w:p>
        </w:tc>
        <w:tc>
          <w:tcPr>
            <w:tcW w:w="360" w:type="dxa"/>
            <w:vAlign w:val="bottom"/>
          </w:tcPr>
          <w:p>
            <w:pPr>
              <w:spacing w:after="0"/>
              <w:rPr>
                <w:sz w:val="24"/>
                <w:szCs w:val="24"/>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244"/>
        </w:trPr>
        <w:tc>
          <w:tcPr>
            <w:tcW w:w="5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August 31, 2019</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386,195</w:t>
            </w:r>
          </w:p>
        </w:tc>
        <w:tc>
          <w:tcPr>
            <w:tcW w:w="400" w:type="dxa"/>
            <w:vAlign w:val="bottom"/>
            <w:tcBorders>
              <w:top w:val="single" w:sz="8" w:color="auto"/>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296,459</w:t>
            </w:r>
          </w:p>
        </w:tc>
        <w:tc>
          <w:tcPr>
            <w:tcW w:w="86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3,075</w:t>
            </w:r>
          </w:p>
        </w:tc>
        <w:tc>
          <w:tcPr>
            <w:tcW w:w="3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685,729</w:t>
            </w:r>
          </w:p>
        </w:tc>
        <w:tc>
          <w:tcPr>
            <w:tcW w:w="20" w:type="dxa"/>
            <w:vAlign w:val="bottom"/>
          </w:tcPr>
          <w:p>
            <w:pPr>
              <w:spacing w:after="0"/>
              <w:rPr>
                <w:sz w:val="21"/>
                <w:szCs w:val="21"/>
                <w:color w:val="auto"/>
              </w:rPr>
            </w:pPr>
          </w:p>
        </w:tc>
      </w:tr>
      <w:tr>
        <w:trPr>
          <w:trHeight w:val="243"/>
        </w:trPr>
        <w:tc>
          <w:tcPr>
            <w:tcW w:w="5640" w:type="dxa"/>
            <w:vAlign w:val="bottom"/>
          </w:tcPr>
          <w:p>
            <w:pPr>
              <w:ind w:left="140"/>
              <w:spacing w:after="0"/>
              <w:rPr>
                <w:sz w:val="20"/>
                <w:szCs w:val="20"/>
                <w:color w:val="auto"/>
              </w:rPr>
            </w:pPr>
            <w:r>
              <w:rPr>
                <w:rFonts w:ascii="Arial" w:cs="Arial" w:eastAsia="Arial" w:hAnsi="Arial"/>
                <w:sz w:val="18"/>
                <w:szCs w:val="18"/>
                <w:color w:val="auto"/>
              </w:rPr>
              <w:t>Foreign currency translations</w:t>
            </w:r>
          </w:p>
        </w:tc>
        <w:tc>
          <w:tcPr>
            <w:tcW w:w="2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2,803</w:t>
            </w:r>
          </w:p>
        </w:tc>
        <w:tc>
          <w:tcPr>
            <w:tcW w:w="860" w:type="dxa"/>
            <w:vAlign w:val="bottom"/>
          </w:tcPr>
          <w:p>
            <w:pPr>
              <w:spacing w:after="0"/>
              <w:rPr>
                <w:sz w:val="21"/>
                <w:szCs w:val="21"/>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2,755</w:t>
            </w:r>
          </w:p>
        </w:tc>
        <w:tc>
          <w:tcPr>
            <w:tcW w:w="20" w:type="dxa"/>
            <w:vAlign w:val="bottom"/>
          </w:tcPr>
          <w:p>
            <w:pPr>
              <w:spacing w:after="0"/>
              <w:rPr>
                <w:sz w:val="21"/>
                <w:szCs w:val="2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May 31, 2020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386,195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299,262</w:t>
            </w:r>
          </w:p>
        </w:tc>
        <w:tc>
          <w:tcPr>
            <w:tcW w:w="8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3,027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688,484</w:t>
            </w:r>
          </w:p>
        </w:tc>
        <w:tc>
          <w:tcPr>
            <w:tcW w:w="20" w:type="dxa"/>
            <w:vAlign w:val="bottom"/>
          </w:tcPr>
          <w:p>
            <w:pPr>
              <w:spacing w:after="0"/>
              <w:rPr>
                <w:sz w:val="20"/>
                <w:szCs w:val="20"/>
                <w:color w:val="auto"/>
              </w:rPr>
            </w:pPr>
          </w:p>
        </w:tc>
      </w:tr>
      <w:tr>
        <w:trPr>
          <w:trHeight w:val="27"/>
        </w:trPr>
        <w:tc>
          <w:tcPr>
            <w:tcW w:w="56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not amortized as it is estimated to have an indefinite life. At least annually, the Company is required to test goodwill at the reporting unit level for potential impairment, and, if impaired, write down to fair value based on the present value of discounted cash flows. The Company’s reporting units evaluated for potential impairment were the Americas, EMEA and Asia Pacific, which reflect the level of internal reporting the Company uses to manage its business and operations. The three reporting units are consistent with the reported operating segments as there is no discrete financial information available for the subsidiaries within each operating segment. The Company performed its annual goodwill impairment test during the fourth quarter of fiscal 2019, consistent with the timing of previous years, utilizing a qualitative analysis, and concluded it was more likely than not the fair value of each reporting unit was greater than its respective carrying value and no impairment charge was required.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AND EARNINGS PER SHARE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5, 2020, FactSet’s Board of Directors approved a 7% increase in the regular quarterly dividend from $0.72 to $0.77 per share. The cash dividend of $29.0 million was paid on June 18, 2020 to common stockholders of record at the close of business on May 29,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Shares of common stock outstanding were as follows:</w:t>
            </w:r>
          </w:p>
        </w:tc>
        <w:tc>
          <w:tcPr>
            <w:tcW w:w="18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0"/>
        </w:trPr>
        <w:tc>
          <w:tcPr>
            <w:tcW w:w="7680" w:type="dxa"/>
            <w:vAlign w:val="bottom"/>
          </w:tcPr>
          <w:p>
            <w:pPr>
              <w:spacing w:after="0"/>
              <w:rPr>
                <w:sz w:val="23"/>
                <w:szCs w:val="23"/>
                <w:color w:val="auto"/>
              </w:rPr>
            </w:pPr>
          </w:p>
        </w:tc>
        <w:tc>
          <w:tcPr>
            <w:tcW w:w="3560" w:type="dxa"/>
            <w:vAlign w:val="bottom"/>
            <w:gridSpan w:val="2"/>
          </w:tcPr>
          <w:p>
            <w:pPr>
              <w:jc w:val="right"/>
              <w:ind w:right="970"/>
              <w:spacing w:after="0"/>
              <w:rPr>
                <w:sz w:val="20"/>
                <w:szCs w:val="20"/>
                <w:color w:val="auto"/>
              </w:rPr>
            </w:pPr>
            <w:r>
              <w:rPr>
                <w:rFonts w:ascii="Arial" w:cs="Arial" w:eastAsia="Arial" w:hAnsi="Arial"/>
                <w:sz w:val="18"/>
                <w:szCs w:val="18"/>
                <w:color w:val="auto"/>
              </w:rPr>
              <w:t>Nine Months Ended</w:t>
            </w:r>
          </w:p>
        </w:tc>
      </w:tr>
      <w:tr>
        <w:trPr>
          <w:trHeight w:val="270"/>
        </w:trPr>
        <w:tc>
          <w:tcPr>
            <w:tcW w:w="7680" w:type="dxa"/>
            <w:vAlign w:val="bottom"/>
          </w:tcPr>
          <w:p>
            <w:pPr>
              <w:spacing w:after="0"/>
              <w:rPr>
                <w:sz w:val="23"/>
                <w:szCs w:val="23"/>
                <w:color w:val="auto"/>
              </w:rPr>
            </w:pPr>
          </w:p>
        </w:tc>
        <w:tc>
          <w:tcPr>
            <w:tcW w:w="1840" w:type="dxa"/>
            <w:vAlign w:val="bottom"/>
          </w:tcPr>
          <w:p>
            <w:pPr>
              <w:jc w:val="right"/>
              <w:ind w:right="690"/>
              <w:spacing w:after="0"/>
              <w:rPr>
                <w:sz w:val="20"/>
                <w:szCs w:val="20"/>
                <w:color w:val="auto"/>
              </w:rPr>
            </w:pPr>
            <w:r>
              <w:rPr>
                <w:rFonts w:ascii="Arial" w:cs="Arial" w:eastAsia="Arial" w:hAnsi="Arial"/>
                <w:sz w:val="18"/>
                <w:szCs w:val="18"/>
                <w:color w:val="auto"/>
              </w:rPr>
              <w:t>May 31,</w:t>
            </w:r>
          </w:p>
        </w:tc>
        <w:tc>
          <w:tcPr>
            <w:tcW w:w="1720" w:type="dxa"/>
            <w:vAlign w:val="bottom"/>
          </w:tcPr>
          <w:p>
            <w:pPr>
              <w:jc w:val="right"/>
              <w:ind w:right="590"/>
              <w:spacing w:after="0"/>
              <w:rPr>
                <w:sz w:val="20"/>
                <w:szCs w:val="20"/>
                <w:color w:val="auto"/>
              </w:rPr>
            </w:pPr>
            <w:r>
              <w:rPr>
                <w:rFonts w:ascii="Arial" w:cs="Arial" w:eastAsia="Arial" w:hAnsi="Arial"/>
                <w:sz w:val="18"/>
                <w:szCs w:val="18"/>
                <w:color w:val="auto"/>
              </w:rPr>
              <w:t>May 31,</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40" w:type="dxa"/>
            <w:vAlign w:val="bottom"/>
          </w:tcPr>
          <w:p>
            <w:pPr>
              <w:jc w:val="right"/>
              <w:ind w:right="810"/>
              <w:spacing w:after="0"/>
              <w:rPr>
                <w:sz w:val="20"/>
                <w:szCs w:val="20"/>
                <w:color w:val="auto"/>
              </w:rPr>
            </w:pPr>
            <w:r>
              <w:rPr>
                <w:rFonts w:ascii="Arial" w:cs="Arial" w:eastAsia="Arial" w:hAnsi="Arial"/>
                <w:sz w:val="18"/>
                <w:szCs w:val="18"/>
                <w:color w:val="auto"/>
              </w:rPr>
              <w:t>2020</w:t>
            </w:r>
          </w:p>
        </w:tc>
        <w:tc>
          <w:tcPr>
            <w:tcW w:w="1720" w:type="dxa"/>
            <w:vAlign w:val="bottom"/>
          </w:tcPr>
          <w:p>
            <w:pPr>
              <w:jc w:val="right"/>
              <w:ind w:right="710"/>
              <w:spacing w:after="0"/>
              <w:rPr>
                <w:sz w:val="20"/>
                <w:szCs w:val="20"/>
                <w:color w:val="auto"/>
              </w:rPr>
            </w:pPr>
            <w:r>
              <w:rPr>
                <w:rFonts w:ascii="Arial" w:cs="Arial" w:eastAsia="Arial" w:hAnsi="Arial"/>
                <w:sz w:val="18"/>
                <w:szCs w:val="18"/>
                <w:color w:val="auto"/>
              </w:rPr>
              <w:t>2019</w:t>
            </w:r>
          </w:p>
        </w:tc>
      </w:tr>
      <w:tr>
        <w:trPr>
          <w:trHeight w:val="27"/>
        </w:trPr>
        <w:tc>
          <w:tcPr>
            <w:tcW w:w="76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 at September 1, 2019 and 2018, respectively</w:t>
            </w:r>
          </w:p>
        </w:tc>
        <w:tc>
          <w:tcPr>
            <w:tcW w:w="18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38,118</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38,192</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Common stock issued for employee stock plans</w:t>
            </w:r>
          </w:p>
        </w:tc>
        <w:tc>
          <w:tcPr>
            <w:tcW w:w="1840" w:type="dxa"/>
            <w:vAlign w:val="bottom"/>
          </w:tcPr>
          <w:p>
            <w:pPr>
              <w:jc w:val="right"/>
              <w:ind w:right="390"/>
              <w:spacing w:after="0"/>
              <w:rPr>
                <w:sz w:val="20"/>
                <w:szCs w:val="20"/>
                <w:color w:val="auto"/>
              </w:rPr>
            </w:pPr>
            <w:r>
              <w:rPr>
                <w:rFonts w:ascii="Arial" w:cs="Arial" w:eastAsia="Arial" w:hAnsi="Arial"/>
                <w:sz w:val="18"/>
                <w:szCs w:val="18"/>
                <w:color w:val="auto"/>
              </w:rPr>
              <w:t>452</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719</w:t>
            </w:r>
          </w:p>
        </w:tc>
      </w:tr>
      <w:tr>
        <w:trPr>
          <w:trHeight w:val="27"/>
        </w:trPr>
        <w:tc>
          <w:tcPr>
            <w:tcW w:w="7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 from employees</w:t>
            </w:r>
            <w:r>
              <w:rPr>
                <w:rFonts w:ascii="Arial" w:cs="Arial" w:eastAsia="Arial" w:hAnsi="Arial"/>
                <w:sz w:val="18"/>
                <w:szCs w:val="18"/>
                <w:color w:val="auto"/>
                <w:vertAlign w:val="superscript"/>
              </w:rPr>
              <w:t>(1)</w:t>
            </w:r>
          </w:p>
        </w:tc>
        <w:tc>
          <w:tcPr>
            <w:tcW w:w="18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Repurchase of common stock under the share repurchase program</w:t>
            </w:r>
          </w:p>
        </w:tc>
        <w:tc>
          <w:tcPr>
            <w:tcW w:w="1840" w:type="dxa"/>
            <w:vAlign w:val="bottom"/>
          </w:tcPr>
          <w:p>
            <w:pPr>
              <w:jc w:val="right"/>
              <w:ind w:right="350"/>
              <w:spacing w:after="0"/>
              <w:rPr>
                <w:sz w:val="20"/>
                <w:szCs w:val="20"/>
                <w:color w:val="auto"/>
              </w:rPr>
            </w:pPr>
            <w:r>
              <w:rPr>
                <w:rFonts w:ascii="Arial" w:cs="Arial" w:eastAsia="Arial" w:hAnsi="Arial"/>
                <w:sz w:val="18"/>
                <w:szCs w:val="18"/>
                <w:color w:val="auto"/>
              </w:rPr>
              <w:t>(657)</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(665)</w:t>
            </w:r>
          </w:p>
        </w:tc>
      </w:tr>
      <w:tr>
        <w:trPr>
          <w:trHeight w:val="27"/>
        </w:trPr>
        <w:tc>
          <w:tcPr>
            <w:tcW w:w="76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May 31, 2020 and May 31, 2019, respectively</w:t>
            </w:r>
          </w:p>
        </w:tc>
        <w:tc>
          <w:tcPr>
            <w:tcW w:w="18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37,907</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38,218</w:t>
            </w:r>
          </w:p>
        </w:tc>
      </w:tr>
      <w:tr>
        <w:trPr>
          <w:trHeight w:val="27"/>
        </w:trPr>
        <w:tc>
          <w:tcPr>
            <w:tcW w:w="76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340" w:right="180" w:hanging="332"/>
        <w:spacing w:after="0" w:line="263" w:lineRule="auto"/>
        <w:tabs>
          <w:tab w:leader="none" w:pos="334"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For the nine months ended May 31, 2020 and May 31, 2019, the Company repurchased 6,305 and 27.852 shares, or $1.6 million and $6.2 million, of common stock, respectively, in settlement of employee tax withholding obligations due upon the vesting of restricted stock and exercise of stock options.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weighted average shares outstanding used in the basic and diluted earnings per share ("EPS") computations is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Weighted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w w:val="99"/>
              </w:rPr>
              <w:t>Net Income</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36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w w:val="98"/>
              </w:rPr>
              <w:t>Per Share</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1020" w:type="dxa"/>
            <w:vAlign w:val="bottom"/>
          </w:tcPr>
          <w:p>
            <w:pPr>
              <w:spacing w:after="0"/>
              <w:rPr>
                <w:sz w:val="20"/>
                <w:szCs w:val="20"/>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color w:val="auto"/>
                <w:w w:val="98"/>
              </w:rPr>
              <w:t>(Numerator)</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(Denominator)</w:t>
            </w:r>
          </w:p>
        </w:tc>
        <w:tc>
          <w:tcPr>
            <w:tcW w:w="36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Amount</w:t>
            </w:r>
          </w:p>
        </w:tc>
      </w:tr>
      <w:tr>
        <w:trPr>
          <w:trHeight w:val="27"/>
        </w:trPr>
        <w:tc>
          <w:tcPr>
            <w:tcW w:w="5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three months ended May 31, 2020</w:t>
            </w:r>
          </w:p>
        </w:tc>
        <w:tc>
          <w:tcPr>
            <w:tcW w:w="10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Basic EPS</w:t>
            </w: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available to common stockholders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101,216</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37,885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2.67</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effect of stock options and restricted stock</w:t>
            </w:r>
          </w:p>
        </w:tc>
        <w:tc>
          <w:tcPr>
            <w:tcW w:w="10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596</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Income available to common stockholders plus assumed conversions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101,216</w:t>
            </w:r>
          </w:p>
        </w:tc>
        <w:tc>
          <w:tcPr>
            <w:tcW w:w="14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38,481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2.63</w:t>
            </w:r>
          </w:p>
        </w:tc>
      </w:tr>
      <w:tr>
        <w:trPr>
          <w:trHeight w:val="27"/>
        </w:trPr>
        <w:tc>
          <w:tcPr>
            <w:tcW w:w="5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 the three months ended May 31, 2019</w:t>
            </w:r>
          </w:p>
        </w:tc>
        <w:tc>
          <w:tcPr>
            <w:tcW w:w="10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Basic EPS</w:t>
            </w: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available to common stockholders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92,265</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38,223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2.41</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effect of stock options and restricted stock</w:t>
            </w:r>
          </w:p>
        </w:tc>
        <w:tc>
          <w:tcPr>
            <w:tcW w:w="10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770</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Income available to common stockholders plus assumed conversions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92,265</w:t>
            </w:r>
          </w:p>
        </w:tc>
        <w:tc>
          <w:tcPr>
            <w:tcW w:w="14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38,993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2.37</w:t>
            </w:r>
          </w:p>
        </w:tc>
      </w:tr>
      <w:tr>
        <w:trPr>
          <w:trHeight w:val="27"/>
        </w:trPr>
        <w:tc>
          <w:tcPr>
            <w:tcW w:w="5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nine months ended May 31, 2020</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Basic EPS</w:t>
            </w: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available to common stockholders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283,859</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37,912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7.49</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effect of stock options and restricted stock</w:t>
            </w:r>
          </w:p>
        </w:tc>
        <w:tc>
          <w:tcPr>
            <w:tcW w:w="10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636</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Income available to common stockholders plus assumed conversions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283,859</w:t>
            </w:r>
          </w:p>
        </w:tc>
        <w:tc>
          <w:tcPr>
            <w:tcW w:w="14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38,548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7.36</w:t>
            </w:r>
          </w:p>
        </w:tc>
      </w:tr>
      <w:tr>
        <w:trPr>
          <w:trHeight w:val="27"/>
        </w:trPr>
        <w:tc>
          <w:tcPr>
            <w:tcW w:w="5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nine months ended May 31, 2019</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Basic EPS</w:t>
            </w: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available to common stockholders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261,263</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38,128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6.85</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effect of stock options and restricted stock</w:t>
            </w:r>
          </w:p>
        </w:tc>
        <w:tc>
          <w:tcPr>
            <w:tcW w:w="10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679</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Income available to common stockholders plus assumed conversions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261,263</w:t>
            </w:r>
          </w:p>
        </w:tc>
        <w:tc>
          <w:tcPr>
            <w:tcW w:w="14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38,807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6.73</w:t>
            </w:r>
          </w:p>
        </w:tc>
      </w:tr>
      <w:tr>
        <w:trPr>
          <w:trHeight w:val="27"/>
        </w:trPr>
        <w:tc>
          <w:tcPr>
            <w:tcW w:w="5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Dilutive potential common shares consist of stock options and unvested performance-based awards. There were 38,987 stock options excluded from the calculation of diluted EPS for the nine months ended May 31, 2020, because their inclusion would have been anti-dilutive. For the nine months ended May 31, 2019, the number of stock options excluded from calculation of diluted EPS was 1,810.</w:t>
      </w:r>
    </w:p>
    <w:p>
      <w:pPr>
        <w:spacing w:after="0" w:line="14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Performance-based awards are omitted from the calculation of diluted EPS until it is determined that the performance criteria has been met at the end of the reporting period. For the nine months ended May 31, 2020, there were 36,888 performance-based awards excluded from the calculation of diluted EPS. For the nine months ended May 31, 2019, there were 206,417 performance-based awards excluded from the calculation of diluted EPS.</w:t>
      </w:r>
    </w:p>
    <w:p>
      <w:pPr>
        <w:spacing w:after="0" w:line="269" w:lineRule="exact"/>
        <w:rPr>
          <w:sz w:val="20"/>
          <w:szCs w:val="20"/>
          <w:color w:val="auto"/>
        </w:rPr>
      </w:pPr>
    </w:p>
    <w:p>
      <w:pPr>
        <w:ind w:right="8660" w:firstLine="8"/>
        <w:spacing w:after="0" w:line="464" w:lineRule="auto"/>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Share Repurchase Program</w:t>
      </w:r>
    </w:p>
    <w:p>
      <w:pPr>
        <w:jc w:val="both"/>
        <w:spacing w:after="0" w:line="259" w:lineRule="auto"/>
        <w:rPr>
          <w:sz w:val="20"/>
          <w:szCs w:val="20"/>
          <w:color w:val="auto"/>
        </w:rPr>
      </w:pPr>
      <w:r>
        <w:rPr>
          <w:rFonts w:ascii="Arial" w:cs="Arial" w:eastAsia="Arial" w:hAnsi="Arial"/>
          <w:sz w:val="18"/>
          <w:szCs w:val="18"/>
          <w:color w:val="auto"/>
        </w:rPr>
        <w:t>Repurchases of shares of common stock are made from time to time in the open market and privately negotiated transactions, subject to market conditions. For the three months ended May 31, 2020 and May 31, 2019, the Company repurchased 46,636 shares for $12.4 million and 175,000 shares for $47.6 million, respectively. For the nine months ended May 31, 2020 and May 31, 2019, the Company repurchased 657,136 shares for $171.0 million and 664,945 shares for $152.1 million,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24, 2020, the Board of Directors of FactSet approved a $220.0 million increase to the existing share repurchase program. Subsequent to this expansion, a total of $287.6 million remained authorized for future share repurchases as of May 31, 2020. There is no defined number of shares to be repurchased over a specified timeframe through the life of the share repurchase program. It is expected that share repurchases will be paid using existing and future cash generated by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Restricted stock awards entitle the holders to receive shares of common stock as the awards vest over time. During the first nine months of fiscal 2020, 16,657 shares of previously granted restricted stock vested and were included in common stock outstanding as of May 31, 2020 (recorded net of 6,230 shares repurchased from employees at a cost of $1.6 million to cover their cost of taxes upon vesting of the restricted stock). During the comparable period a year ago, 75,530 shares of previously granted restricted stock vested and were included in common stock outstanding as of May 31, 2019 (recorded net of 27,852 shares repurchased from employees at a cost of $6.2 million to cover their cost of taxes upon vesting of the restricted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declared the following dividends for the first nine months of fiscal 2020 and 2019 respectively: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color w:val="auto"/>
                <w:w w:val="92"/>
              </w:rPr>
              <w:t>Dividends per</w:t>
            </w: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Share of</w:t>
            </w: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w w:val="94"/>
              </w:rPr>
              <w:t>Total $ Amount</w:t>
            </w:r>
          </w:p>
        </w:tc>
        <w:tc>
          <w:tcPr>
            <w:tcW w:w="2020" w:type="dxa"/>
            <w:vAlign w:val="bottom"/>
          </w:tcPr>
          <w:p>
            <w:pPr>
              <w:spacing w:after="0"/>
              <w:rPr>
                <w:sz w:val="18"/>
                <w:szCs w:val="18"/>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Year Ended</w:t>
            </w:r>
          </w:p>
        </w:tc>
        <w:tc>
          <w:tcPr>
            <w:tcW w:w="16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1760" w:type="dxa"/>
            <w:vAlign w:val="bottom"/>
          </w:tcPr>
          <w:p>
            <w:pPr>
              <w:ind w:left="580"/>
              <w:spacing w:after="0"/>
              <w:rPr>
                <w:sz w:val="20"/>
                <w:szCs w:val="20"/>
                <w:color w:val="auto"/>
              </w:rPr>
            </w:pPr>
            <w:r>
              <w:rPr>
                <w:rFonts w:ascii="Arial" w:cs="Arial" w:eastAsia="Arial" w:hAnsi="Arial"/>
                <w:sz w:val="18"/>
                <w:szCs w:val="18"/>
                <w:color w:val="auto"/>
              </w:rPr>
              <w:t>Record Date</w:t>
            </w:r>
          </w:p>
        </w:tc>
        <w:tc>
          <w:tcPr>
            <w:tcW w:w="40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w w:val="96"/>
              </w:rPr>
              <w:t>(in thousands)</w:t>
            </w:r>
          </w:p>
        </w:tc>
        <w:tc>
          <w:tcPr>
            <w:tcW w:w="2020" w:type="dxa"/>
            <w:vAlign w:val="bottom"/>
          </w:tcPr>
          <w:p>
            <w:pPr>
              <w:ind w:left="540"/>
              <w:spacing w:after="0"/>
              <w:rPr>
                <w:sz w:val="20"/>
                <w:szCs w:val="20"/>
                <w:color w:val="auto"/>
              </w:rPr>
            </w:pPr>
            <w:r>
              <w:rPr>
                <w:rFonts w:ascii="Arial" w:cs="Arial" w:eastAsia="Arial" w:hAnsi="Arial"/>
                <w:sz w:val="18"/>
                <w:szCs w:val="18"/>
                <w:color w:val="auto"/>
              </w:rPr>
              <w:t>Payment Date</w:t>
            </w:r>
          </w:p>
        </w:tc>
      </w:tr>
      <w:tr>
        <w:trPr>
          <w:trHeight w:val="27"/>
        </w:trPr>
        <w:tc>
          <w:tcPr>
            <w:tcW w:w="2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16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43"/>
        </w:trPr>
        <w:tc>
          <w:tcPr>
            <w:tcW w:w="278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0.72</w:t>
            </w:r>
          </w:p>
        </w:tc>
        <w:tc>
          <w:tcPr>
            <w:tcW w:w="1760" w:type="dxa"/>
            <w:vAlign w:val="bottom"/>
          </w:tcPr>
          <w:p>
            <w:pPr>
              <w:ind w:left="80"/>
              <w:spacing w:after="0"/>
              <w:rPr>
                <w:sz w:val="20"/>
                <w:szCs w:val="20"/>
                <w:color w:val="auto"/>
              </w:rPr>
            </w:pPr>
            <w:r>
              <w:rPr>
                <w:rFonts w:ascii="Arial" w:cs="Arial" w:eastAsia="Arial" w:hAnsi="Arial"/>
                <w:sz w:val="18"/>
                <w:szCs w:val="18"/>
                <w:color w:val="auto"/>
              </w:rPr>
              <w:t>November 29, 2019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27,291</w:t>
            </w:r>
          </w:p>
        </w:tc>
        <w:tc>
          <w:tcPr>
            <w:tcW w:w="2020" w:type="dxa"/>
            <w:vAlign w:val="bottom"/>
          </w:tcPr>
          <w:p>
            <w:pPr>
              <w:ind w:left="80"/>
              <w:spacing w:after="0"/>
              <w:rPr>
                <w:sz w:val="20"/>
                <w:szCs w:val="20"/>
                <w:color w:val="auto"/>
              </w:rPr>
            </w:pPr>
            <w:r>
              <w:rPr>
                <w:rFonts w:ascii="Arial" w:cs="Arial" w:eastAsia="Arial" w:hAnsi="Arial"/>
                <w:sz w:val="18"/>
                <w:szCs w:val="18"/>
                <w:color w:val="auto"/>
              </w:rPr>
              <w:t>December 19, 2019</w:t>
            </w:r>
          </w:p>
        </w:tc>
      </w:tr>
      <w:tr>
        <w:trPr>
          <w:trHeight w:val="27"/>
        </w:trPr>
        <w:tc>
          <w:tcPr>
            <w:tcW w:w="2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1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February 28, 2020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27,251</w:t>
            </w:r>
          </w:p>
        </w:tc>
        <w:tc>
          <w:tcPr>
            <w:tcW w:w="2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March 19, 2020</w:t>
            </w:r>
          </w:p>
        </w:tc>
      </w:tr>
      <w:tr>
        <w:trPr>
          <w:trHeight w:val="243"/>
        </w:trPr>
        <w:tc>
          <w:tcPr>
            <w:tcW w:w="278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1760" w:type="dxa"/>
            <w:vAlign w:val="bottom"/>
          </w:tcPr>
          <w:p>
            <w:pPr>
              <w:ind w:left="80"/>
              <w:spacing w:after="0"/>
              <w:rPr>
                <w:sz w:val="20"/>
                <w:szCs w:val="20"/>
                <w:color w:val="auto"/>
              </w:rPr>
            </w:pPr>
            <w:r>
              <w:rPr>
                <w:rFonts w:ascii="Arial" w:cs="Arial" w:eastAsia="Arial" w:hAnsi="Arial"/>
                <w:sz w:val="18"/>
                <w:szCs w:val="18"/>
                <w:color w:val="auto"/>
              </w:rPr>
              <w:t>May 29, 2020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29,188</w:t>
            </w:r>
          </w:p>
        </w:tc>
        <w:tc>
          <w:tcPr>
            <w:tcW w:w="2020" w:type="dxa"/>
            <w:vAlign w:val="bottom"/>
          </w:tcPr>
          <w:p>
            <w:pPr>
              <w:ind w:left="80"/>
              <w:spacing w:after="0"/>
              <w:rPr>
                <w:sz w:val="20"/>
                <w:szCs w:val="20"/>
                <w:color w:val="auto"/>
              </w:rPr>
            </w:pPr>
            <w:r>
              <w:rPr>
                <w:rFonts w:ascii="Arial" w:cs="Arial" w:eastAsia="Arial" w:hAnsi="Arial"/>
                <w:sz w:val="18"/>
                <w:szCs w:val="18"/>
                <w:color w:val="auto"/>
              </w:rPr>
              <w:t>June 18, 2020</w:t>
            </w:r>
          </w:p>
        </w:tc>
      </w:tr>
      <w:tr>
        <w:trPr>
          <w:trHeight w:val="27"/>
        </w:trPr>
        <w:tc>
          <w:tcPr>
            <w:tcW w:w="2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27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Fiscal 2019</w:t>
            </w:r>
          </w:p>
        </w:tc>
        <w:tc>
          <w:tcPr>
            <w:tcW w:w="1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50"/>
        </w:trPr>
        <w:tc>
          <w:tcPr>
            <w:tcW w:w="2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First Quarter</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1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November 30, 2018</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24,372</w:t>
            </w:r>
          </w:p>
        </w:tc>
        <w:tc>
          <w:tcPr>
            <w:tcW w:w="2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December 18, 2018</w:t>
            </w:r>
          </w:p>
        </w:tc>
      </w:tr>
      <w:tr>
        <w:trPr>
          <w:trHeight w:val="243"/>
        </w:trPr>
        <w:tc>
          <w:tcPr>
            <w:tcW w:w="2780" w:type="dxa"/>
            <w:vAlign w:val="bottom"/>
          </w:tcPr>
          <w:p>
            <w:pPr>
              <w:ind w:left="120"/>
              <w:spacing w:after="0"/>
              <w:rPr>
                <w:sz w:val="20"/>
                <w:szCs w:val="20"/>
                <w:color w:val="auto"/>
              </w:rPr>
            </w:pPr>
            <w:r>
              <w:rPr>
                <w:rFonts w:ascii="Arial" w:cs="Arial" w:eastAsia="Arial" w:hAnsi="Arial"/>
                <w:sz w:val="18"/>
                <w:szCs w:val="18"/>
                <w:color w:val="auto"/>
              </w:rPr>
              <w:t>Second Quarter</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0.64</w:t>
            </w:r>
          </w:p>
        </w:tc>
        <w:tc>
          <w:tcPr>
            <w:tcW w:w="1760" w:type="dxa"/>
            <w:vAlign w:val="bottom"/>
          </w:tcPr>
          <w:p>
            <w:pPr>
              <w:ind w:left="80"/>
              <w:spacing w:after="0"/>
              <w:rPr>
                <w:sz w:val="20"/>
                <w:szCs w:val="20"/>
                <w:color w:val="auto"/>
              </w:rPr>
            </w:pPr>
            <w:r>
              <w:rPr>
                <w:rFonts w:ascii="Arial" w:cs="Arial" w:eastAsia="Arial" w:hAnsi="Arial"/>
                <w:sz w:val="18"/>
                <w:szCs w:val="18"/>
                <w:color w:val="auto"/>
              </w:rPr>
              <w:t>February 28, 2019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24,385</w:t>
            </w:r>
          </w:p>
        </w:tc>
        <w:tc>
          <w:tcPr>
            <w:tcW w:w="2020" w:type="dxa"/>
            <w:vAlign w:val="bottom"/>
          </w:tcPr>
          <w:p>
            <w:pPr>
              <w:ind w:left="80"/>
              <w:spacing w:after="0"/>
              <w:rPr>
                <w:sz w:val="20"/>
                <w:szCs w:val="20"/>
                <w:color w:val="auto"/>
              </w:rPr>
            </w:pPr>
            <w:r>
              <w:rPr>
                <w:rFonts w:ascii="Arial" w:cs="Arial" w:eastAsia="Arial" w:hAnsi="Arial"/>
                <w:sz w:val="18"/>
                <w:szCs w:val="18"/>
                <w:color w:val="auto"/>
              </w:rPr>
              <w:t>March 19, 2019</w:t>
            </w:r>
          </w:p>
        </w:tc>
      </w:tr>
      <w:tr>
        <w:trPr>
          <w:trHeight w:val="27"/>
        </w:trPr>
        <w:tc>
          <w:tcPr>
            <w:tcW w:w="2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Third Quarter</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1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May 31, 2019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27,506</w:t>
            </w:r>
          </w:p>
        </w:tc>
        <w:tc>
          <w:tcPr>
            <w:tcW w:w="2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June 18, 2019</w:t>
            </w:r>
          </w:p>
        </w:tc>
      </w:tr>
      <w:tr>
        <w:trPr>
          <w:trHeight w:val="27"/>
        </w:trPr>
        <w:tc>
          <w:tcPr>
            <w:tcW w:w="27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cash dividend payments will depend on the Company’s earnings, capital requirements, financial condition and other factors considered relevant by the Company and are subject to final determination by the Company’s Board of Directors.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AND NON-EMPLOYEE DIRECTOR STOCK OPTION AND RETIREMENT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 Activity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Awards</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nine months ended May 31, 2020, FactSet granted 422,346 stock options with a weighted average exercise price of $256.05 to existing employees of the Company. The majority of the stock options granted during the first nine months of fiscal 2020 related to the annual employee grant on November 1, 2019 under the FactSet Research Systems Inc. Stock Option and Award Plan, as Amended and Restated (the "LTIP"). On November 1, 2019, FactSet granted 412,098 non-performance-based employee stock options, using the lattice-binomial option-pricing model. These stock option awards vest 20% annually on the anniversary date of the grant and are fully vested after five years, expiring ten years from the date of grant.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employee stock options granted on November 1, 2019 was determined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0575" cy="13970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0575" cy="1397000"/>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1, 2019 Grant Details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 - 1.79%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460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7"/>
        </w:trPr>
        <w:tc>
          <w:tcPr>
            <w:tcW w:w="6640" w:type="dxa"/>
            <w:vAlign w:val="bottom"/>
          </w:tcPr>
          <w:p>
            <w:pPr>
              <w:spacing w:after="0"/>
              <w:rPr>
                <w:sz w:val="2"/>
                <w:szCs w:val="2"/>
                <w:color w:val="auto"/>
              </w:rPr>
            </w:pPr>
          </w:p>
        </w:tc>
        <w:tc>
          <w:tcPr>
            <w:tcW w:w="4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4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- 26%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46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6640" w:type="dxa"/>
            <w:vAlign w:val="bottom"/>
          </w:tcPr>
          <w:p>
            <w:pPr>
              <w:spacing w:after="0"/>
              <w:rPr>
                <w:sz w:val="2"/>
                <w:szCs w:val="2"/>
                <w:color w:val="auto"/>
              </w:rPr>
            </w:pPr>
          </w:p>
        </w:tc>
        <w:tc>
          <w:tcPr>
            <w:tcW w:w="4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w:t>
            </w:r>
          </w:p>
        </w:tc>
        <w:tc>
          <w:tcPr>
            <w:tcW w:w="4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4600" w:type="dxa"/>
            <w:vAlign w:val="bottom"/>
          </w:tcPr>
          <w:p>
            <w:pPr>
              <w:jc w:val="right"/>
              <w:spacing w:after="0"/>
              <w:rPr>
                <w:sz w:val="20"/>
                <w:szCs w:val="20"/>
                <w:color w:val="auto"/>
              </w:rPr>
            </w:pPr>
            <w:r>
              <w:rPr>
                <w:rFonts w:ascii="Arial" w:cs="Arial" w:eastAsia="Arial" w:hAnsi="Arial"/>
                <w:sz w:val="18"/>
                <w:szCs w:val="18"/>
                <w:color w:val="auto"/>
              </w:rPr>
              <w:t>$255.87</w:t>
            </w:r>
          </w:p>
        </w:tc>
      </w:tr>
      <w:tr>
        <w:trPr>
          <w:trHeight w:val="27"/>
        </w:trPr>
        <w:tc>
          <w:tcPr>
            <w:tcW w:w="6640" w:type="dxa"/>
            <w:vAlign w:val="bottom"/>
          </w:tcPr>
          <w:p>
            <w:pPr>
              <w:spacing w:after="0"/>
              <w:rPr>
                <w:sz w:val="2"/>
                <w:szCs w:val="2"/>
                <w:color w:val="auto"/>
              </w:rPr>
            </w:pPr>
          </w:p>
        </w:tc>
        <w:tc>
          <w:tcPr>
            <w:tcW w:w="4600" w:type="dxa"/>
            <w:vAlign w:val="bottom"/>
          </w:tcPr>
          <w:p>
            <w:pPr>
              <w:spacing w:after="0"/>
              <w:rPr>
                <w:sz w:val="2"/>
                <w:szCs w:val="2"/>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as a percentage of exercise price</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664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Stock Option Grant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Non-Employee Directors' Stock Option and Award Plan, as Amended and Restated (the "Director Plan"), provides for the grant of share-based awards, including stock options, to non-employee directors of FactSet. As of May 31, 2020, shares available for future grant under the Director Plan were 247,876. The expiration date of the Director Plan is December 19, 2027.</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15, 2020, FactSet granted 16,080 stock options to the Company's non-employee directors. These stock options cliff vest on the third anniversary of the date of grant and expire seven years from the date of grant. The Company used the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098030" cy="1405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1405890"/>
                    </a:xfrm>
                    <a:prstGeom prst="rect">
                      <a:avLst/>
                    </a:prstGeom>
                    <a:noFill/>
                  </pic:spPr>
                </pic:pic>
              </a:graphicData>
            </a:graphic>
          </wp:anchor>
        </w:drawing>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15, 2020 Grant Details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4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686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43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686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4320" w:type="dxa"/>
            <w:vAlign w:val="bottom"/>
          </w:tcPr>
          <w:p>
            <w:pPr>
              <w:jc w:val="right"/>
              <w:spacing w:after="0"/>
              <w:rPr>
                <w:sz w:val="20"/>
                <w:szCs w:val="20"/>
                <w:color w:val="auto"/>
              </w:rPr>
            </w:pPr>
            <w:r>
              <w:rPr>
                <w:rFonts w:ascii="Arial" w:cs="Arial" w:eastAsia="Arial" w:hAnsi="Arial"/>
                <w:sz w:val="18"/>
                <w:szCs w:val="18"/>
                <w:color w:val="auto"/>
              </w:rPr>
              <w:t>$271.51</w:t>
            </w:r>
          </w:p>
        </w:tc>
      </w:tr>
      <w:tr>
        <w:trPr>
          <w:trHeight w:val="27"/>
        </w:trPr>
        <w:tc>
          <w:tcPr>
            <w:tcW w:w="686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43"/>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as a percentage of exercise price</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68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first nine months of fiscal 2020, FactSet granted 30,766 non-performance based restricted stock units ("RSUs") and 36,909 performance-based restricted stock units ("PRSUs"). The majority of the RSUs and PRSUs granted were related to the annual employee grant on November 1, 2019. FactSet granted 29,817 RSUs and 36,501 PRSUs with a weighted average grant date fair value of $245.48 under the LTIP. The RSUs and PRSUs granted to employees entitle the holders to shares of common stock as the units vest over time or the performance period, but not to dividends declared on the underlying shares while the restricted stock is unvested. The grant date fair value of restricted stock units is measured by reducing the grant date price of FactSet's common stock by the present value of the dividends expected to be paid on the underlying stock during the requisite service period, discounted at the appropriate risk-free interest rate. The RSUs vest 20% annually on the anniversary date of grant and are fully vested after five years and the PRSUs cliff vest on the third anniversary of the grant date, subject to the achievement of certain performance metrics.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of FactSet common stock may be purchased by eligible employees under the FactSet Research Systems Inc. Employee Stock Purchase Plan, as Amended and Restated (the "ESPP") in three-month intervals. The purchase price is equal to 85% of the lesser of the fair market value of the Company’s common stock on the first day or the last day of each three-month offering period. Employee purchases may not exceed 10% of their gross compensation and there is a $25,000 contribution limit per employee during an offering period. Dividends paid on shares held in the ESPP are used to purchase additional ESPP shares at the market price on the dividend payment date.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May 31, 2020, employees purchased 11,084 shares at a weighted average price of $238.81 compared to 13,350 shares at a weighted average price of $201.54 for the three months ended May 31, 2019. During the nine months ended May 31, 2020, employees purchased 33,735 shares at a weighted average price of $226.79 compared to 39,069 shares at a weighted average price of $199.43 for the nine months ended May 31, 2019. At May 31, 2020, the ESPP had 186,675 shares reserved for future issuance.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recognized total stock-based compensation expense of $10.3 million and $8.0 million during the three months ended May 31, 2020 and May 31, 2019, respectively. During the nine months ended May 31, 2020 and May 31, 2019, the Company recognized total stock-based compensation expense of $28.4 million and $24.1 million, respectively. As of May 31, 2020, $89.1 million of total unrecognized compensation expense related to non-vested equity awards is expected to be recognized over a weighted average period of 3.1 years. Stock-based compensation expense related to the ESPP was $0.6 million for both the three months ended May 31, 2020 and May 31, 2019. Stock-based compensation expense related to the ESPP was $1.6 million for both the nine months ended May 31, 2020 and May 31, 2019.</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May 31, 2020, FactSet had 5.6 million share-based awards available for grant under the LTIP and 0.2 million share-based awards available for grant under the Director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tax expense is based on taxable income determined in accordance with current enacted laws and tax rates. Deferred income taxes are recorded for the temporary differences between the financial statement and the tax bases of assets and liabilities using currently enacted tax rates.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40" w:type="dxa"/>
            <w:vAlign w:val="bottom"/>
            <w:gridSpan w:val="3"/>
          </w:tcPr>
          <w:p>
            <w:pPr>
              <w:jc w:val="right"/>
              <w:ind w:right="610"/>
              <w:spacing w:after="0"/>
              <w:rPr>
                <w:sz w:val="20"/>
                <w:szCs w:val="20"/>
                <w:color w:val="auto"/>
              </w:rPr>
            </w:pPr>
            <w:r>
              <w:rPr>
                <w:rFonts w:ascii="Arial" w:cs="Arial" w:eastAsia="Arial" w:hAnsi="Arial"/>
                <w:sz w:val="18"/>
                <w:szCs w:val="18"/>
                <w:color w:val="auto"/>
              </w:rPr>
              <w:t>Three Months Ended May 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20" w:type="dxa"/>
            <w:vAlign w:val="bottom"/>
            <w:gridSpan w:val="3"/>
          </w:tcPr>
          <w:p>
            <w:pPr>
              <w:jc w:val="right"/>
              <w:ind w:right="650"/>
              <w:spacing w:after="0"/>
              <w:rPr>
                <w:sz w:val="20"/>
                <w:szCs w:val="20"/>
                <w:color w:val="auto"/>
              </w:rPr>
            </w:pPr>
            <w:r>
              <w:rPr>
                <w:rFonts w:ascii="Arial" w:cs="Arial" w:eastAsia="Arial" w:hAnsi="Arial"/>
                <w:sz w:val="18"/>
                <w:szCs w:val="18"/>
                <w:color w:val="auto"/>
              </w:rPr>
              <w:t>Nine Months Ended May 31,</w:t>
            </w:r>
          </w:p>
        </w:tc>
        <w:tc>
          <w:tcPr>
            <w:tcW w:w="20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4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78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119,140</w:t>
            </w:r>
          </w:p>
        </w:tc>
        <w:tc>
          <w:tcPr>
            <w:tcW w:w="7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113,384</w:t>
            </w:r>
          </w:p>
        </w:tc>
        <w:tc>
          <w:tcPr>
            <w:tcW w:w="7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330,990</w:t>
            </w:r>
          </w:p>
        </w:tc>
        <w:tc>
          <w:tcPr>
            <w:tcW w:w="7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313,676</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17,924</w:t>
            </w: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21,119</w:t>
            </w:r>
          </w:p>
        </w:tc>
        <w:tc>
          <w:tcPr>
            <w:tcW w:w="7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47,131</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52,413</w:t>
            </w:r>
          </w:p>
        </w:tc>
        <w:tc>
          <w:tcPr>
            <w:tcW w:w="200" w:type="dxa"/>
            <w:vAlign w:val="bottom"/>
          </w:tcPr>
          <w:p>
            <w:pPr>
              <w:spacing w:after="0"/>
              <w:rPr>
                <w:sz w:val="21"/>
                <w:szCs w:val="2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Effective tax rate</w:t>
            </w: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7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FactSet’s effective tax rate is based on recurring factors and nonrecurring events, including the taxation of foreign income. The Company’s effective tax rate will vary based on, among other things, changes in levels of foreign income, as well as discrete and other nonrecurring events that may not be predictable. FactSet’s effective tax rate is lower than the applicable U.S. corporate income tax rate for the three and nine months ended May 31, 2020 due to research and development ("R&amp;D") tax benefits, foreign derived intangible income ("FDII") deduction, and excess tax benefits associated with share-based payments.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three months ended May 31, 2020, the provision for income taxes was $17.9 million, compared to $21.1 million from the same period a year ago. The provision decreased due mainly to a lower effective tax rate as of May 31, 2020 compared to the same period a year ago, primarily driven by higher R&amp;D tax credits and a higher FDII deduction, coupled with the effect of applying the lower effective tax rate to the first half of fiscal 2020. The three months ended May 31, 2019 included a $5.8 million income tax expense from finalizing the prior year’s tax returns with no similar event for the three months ended May 31, 2020. The decrease to the provision was partially offset by increased income tax expense from higher operating income for the three months ended May 31, 2020 compared to the prior year period and $3.3 million in higher windfall tax benefits from stock-based compensation recognized during the three months ended May 31, 2019 compared to the three months ended May 31, 2020.</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the nine months ended May 31, 2020, the provision for income taxes was $47.1 million, compared to $52.4 million from the same period a year ago. The provision decreased due mainly to a lower effective tax rate as of May 31, 2020 compared to the same period a year ago, primarily driven by higher R&amp;D tax credits and a higher FDII deduction, coupled with the effect of applying the lower effective tax rate to the first half of fiscal 2020. The nine months ended May 31, 2019 included a$5.8 million tax expense from finalizing the prior year’s tax returns with no similar event for the nine months ended May 31, 2020. The decrease to the provision was partially offset by increased income tax expense from higher operating income for the nine months ended May 31, 2020 compared to the prior year period. The decrease to the provision was also offset by $3.3 million in higher windfall tax benefits from stock-based compensation recognized during the nine months ended May 31, 2019 compared to the nine months ended May 31, 2020 and an income tax benefit from the revision of the one-time transition tax permitted by the TCJA recognized during the nine months ended May 31, 2019.</w:t>
      </w:r>
    </w:p>
    <w:p>
      <w:pPr>
        <w:spacing w:after="0" w:line="1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FactSet finalized the accounting for the tax effects of the TCJA with respect to the one-time transition tax; however the tax effects may be affected by changes in interpretations at the federal and state levels and any additional regulatory guidance that may be issued.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Arial" w:cs="Arial" w:eastAsia="Arial" w:hAnsi="Arial"/>
                <w:sz w:val="18"/>
                <w:szCs w:val="18"/>
                <w:b w:val="1"/>
                <w:bCs w:val="1"/>
                <w:color w:val="auto"/>
              </w:rPr>
              <w:t>14. DEBT</w:t>
            </w:r>
          </w:p>
        </w:tc>
        <w:tc>
          <w:tcPr>
            <w:tcW w:w="1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6020" w:type="dxa"/>
            <w:vAlign w:val="bottom"/>
          </w:tcPr>
          <w:p>
            <w:pPr>
              <w:spacing w:after="0"/>
              <w:rPr>
                <w:sz w:val="20"/>
                <w:szCs w:val="20"/>
                <w:color w:val="auto"/>
              </w:rPr>
            </w:pPr>
            <w:r>
              <w:rPr>
                <w:rFonts w:ascii="Arial" w:cs="Arial" w:eastAsia="Arial" w:hAnsi="Arial"/>
                <w:sz w:val="18"/>
                <w:szCs w:val="18"/>
                <w:color w:val="auto"/>
              </w:rPr>
              <w:t>FactSet’s debt obligations consisted of the following:</w:t>
            </w:r>
          </w:p>
        </w:tc>
        <w:tc>
          <w:tcPr>
            <w:tcW w:w="1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2"/>
        </w:trPr>
        <w:tc>
          <w:tcPr>
            <w:tcW w:w="60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May 31, 2020</w:t>
            </w:r>
          </w:p>
        </w:tc>
        <w:tc>
          <w:tcPr>
            <w:tcW w:w="320" w:type="dxa"/>
            <w:vAlign w:val="bottom"/>
          </w:tcPr>
          <w:p>
            <w:pPr>
              <w:spacing w:after="0"/>
              <w:rPr>
                <w:sz w:val="24"/>
                <w:szCs w:val="24"/>
                <w:color w:val="auto"/>
              </w:rPr>
            </w:pP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August 31, 2019</w:t>
            </w:r>
          </w:p>
        </w:tc>
      </w:tr>
      <w:tr>
        <w:trPr>
          <w:trHeight w:val="27"/>
        </w:trPr>
        <w:tc>
          <w:tcPr>
            <w:tcW w:w="6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Revolving Credit Facility (maturity date of March 29, 2024)</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575,000</w:t>
            </w:r>
          </w:p>
        </w:tc>
      </w:tr>
      <w:tr>
        <w:trPr>
          <w:trHeight w:val="27"/>
        </w:trPr>
        <w:tc>
          <w:tcPr>
            <w:tcW w:w="60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29, 2019, the Company entered into the 2019 Credit Agreement between FactSet, as the borrower, and PNC Bank, National Association ("PNC"), as the administrative agent and lender (the "2019 Credit Agreement"). The 2019 Credit Agreement provides for a $750.0 million revolving credit facility (the "2019 Revolving Credit Facility"). FactSet may request borrowings under the 2019 Revolving Credit Facility until its maturity date of March 29, 2024. The 2019 Credit Agreement also allows FactSet, subject to certain requirements, to arrange for additional borrowings with PNC for an aggregate amount up to $500.0 million, provided that any such request for additional borrowings must be in a minimum amount of $25.0 million.</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May 31, 2020, FactSet has borrowed $575.0 million of the available $750.0 million provided by the 2019 Revolving Credit Facility, resulting in $175.0 million available to be withdrawn. FactSet is required to pay a commitment fee using a pricing grid, which was 0.10% as of May 31, 2020. This fee is based on the daily amount by which the available balance in the 2019 Revolving Credit Facility exceeds the borrowed amount. All outstanding loan amounts are reported as Long-term debt within the Consolidated Balance Sheets at May 31, 2020 and August 31, 2019. The principal balance is payable in full on the maturity date.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Company's long-term debt was $575.0 million as of May 31, 2020 and bears interest on the outstanding principal amount at a rate equal to the LIBOR rate plus a spread using a debt leverage pricing grid, which was 0.875% as of May 31, 2020. FactSet believes the carrying value of the debt approximates fair value as the interest rate is a floating rate equal to the LIBOR rate plus a spread, which is representative of market rates for similar instruments.</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variable interest rate on FactSet’s long-term debt can expose the Company to interest rate volatility due to changes in the LIBOR rate. To mitigate this exposure, on March 5, 2020, FactSet entered into an interest rate swap agreement with a notional amount of $287.5 million to hedge the variable interest rate obligation on a portion of its outstanding balance under the 2019 Revolving Credit Facility. Under the terms of the interest rate swap agreement, FactSet will pay interest at a fixed rate of 0.7995% and receive variable interest payments based on the same one-month LIBOR rate utilized to calculate the interest expense from the 2019 Revolving Credit Facility. The interest rate swap agreement matures on March 28, 2024.</w:t>
      </w:r>
    </w:p>
    <w:p>
      <w:pPr>
        <w:spacing w:after="0" w:line="13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three months ended May 31, 2020 and May 31, 2019, the Company recorded interest expense of $2.9 million and $5.2 million, respectively, on its outstanding debt amounts. For the nine months ended May 31, 2020 and May 31, 2019, the Company recorded interest expense of $10.9 million and $15.1 million, respectively, on its outstanding debt amounts. Including the effects of the interest rate swap agreement, the weighted average interest rate on amounts outstanding under the Company's credit facilities was 2.47% for the nine months ended May 31, 2020. The weighted average interest rate for the fiscal year ended 2019 was 3.35%. Interest on the loan outstanding is payable quarterly, in arrears, and on the maturity date.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terms for the interest rate swap agreement align with the 2019 Revolving Credit Facility, the Company does not expect any hedge ineffectiveness. The Company has designated and accounted for this instrument as cash flow hedge with the unrealized gains or losses on the interest rate swap agreement recorded in AOCL in the Consolidated Balance Sheets.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2019, FactSet incurred approximately $0.9 million in debt issuance costs related to the 2019 Credit Agreement. These costs were capitalized as loan origination fees and are amortized into interest expense ratably over the term of the 2019 Credit Agreement.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FactSet activities, which are usual and customary for this type of loan. In addition, the 2019 Credit Agreement requires that FactSet maintains a consolidated net leverage ratio, as measured by total net funded debt/EBITDA (as defined in the 2019 Credit Agreement) below a specified level as of the end of each fiscal quarter. The Company was in compliance with all the covenants and requirements within the 2019 Credit Agreement as of May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In February 2016, the FASB issued an accounting standard update related to accounting for leases. The update requires the recognition of ROU assets and liabilities on the balance sheet and the disclosure of qualitative and quantitative information about leasing arrangements. FactSet adopted the standard as of September 1, 2019, using a modified retrospective approach to record the required cumulative effect adjustments to the opening balance sheet in the period of adoption.</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12529"/>
        </w:rPr>
        <w:t>FactSet reviews new arrangements at inception to evaluate whether the Company obtains substantially all the economic benefits of and has the right to control the use of an asset. If FactSet determines that an arrangement qualifies as a lease, a lease liability and a corresponding ROU asset are recognized on the lease commencement date which includes fixed lease payments and certain qualifying index-based variable payments.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In determining the amount of lease payments used in measuring ROU assets and lease liabilities, FactSet elected the package of practical expedients permitted under the transition guidance, which permits the Company not to reassess under the new standard the prior conclusions about lease identification, lease classification, and initial direct costs. FactSet did not elect the use-of-hindsight practical expedient in determining the lease term and in assessing impairment. FactSet elected the practical expedient not to separate lease components from non-lease components but, rather, to combine them into one single lease component. The Company has also elected to apply the short-term lease exception to not recognize lease liabilities and ROU assets for leases with a term of 12 months or less. FactSet will recognize these lease payments on a straight-line basis over the lease term in O</w:t>
      </w:r>
      <w:r>
        <w:rPr>
          <w:rFonts w:ascii="Arial" w:cs="Arial" w:eastAsia="Arial" w:hAnsi="Arial"/>
          <w:sz w:val="18"/>
          <w:szCs w:val="18"/>
          <w:color w:val="000000"/>
        </w:rPr>
        <w:t>ccupancy costs (a component</w:t>
      </w:r>
      <w:r>
        <w:rPr>
          <w:rFonts w:ascii="Arial" w:cs="Arial" w:eastAsia="Arial" w:hAnsi="Arial"/>
          <w:sz w:val="18"/>
          <w:szCs w:val="18"/>
          <w:color w:val="212529"/>
        </w:rPr>
        <w:t xml:space="preserve"> </w:t>
      </w:r>
      <w:r>
        <w:rPr>
          <w:rFonts w:ascii="Arial" w:cs="Arial" w:eastAsia="Arial" w:hAnsi="Arial"/>
          <w:sz w:val="18"/>
          <w:szCs w:val="18"/>
          <w:color w:val="000000"/>
        </w:rPr>
        <w:t>of SG&amp;A expense)</w:t>
      </w:r>
      <w:r>
        <w:rPr>
          <w:rFonts w:ascii="Arial" w:cs="Arial" w:eastAsia="Arial" w:hAnsi="Arial"/>
          <w:sz w:val="18"/>
          <w:szCs w:val="18"/>
          <w:color w:val="212529"/>
        </w:rPr>
        <w:t>.</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 xml:space="preserve">The adoption of the lease standard primarily related to the Company’s real estate operating leases. As a result of the adoption of the standard, the Company recognized lease liabilities (initially measured at the present value of the future minimum lease payments over the remaining lease term at the commencement date) of $266.4 million as of </w:t>
      </w:r>
      <w:r>
        <w:rPr>
          <w:rFonts w:ascii="Arial" w:cs="Arial" w:eastAsia="Arial" w:hAnsi="Arial"/>
          <w:sz w:val="18"/>
          <w:szCs w:val="18"/>
          <w:color w:val="000000"/>
        </w:rPr>
        <w:t>November 30, 2019</w:t>
      </w:r>
      <w:r>
        <w:rPr>
          <w:rFonts w:ascii="Arial" w:cs="Arial" w:eastAsia="Arial" w:hAnsi="Arial"/>
          <w:sz w:val="18"/>
          <w:szCs w:val="18"/>
          <w:color w:val="212529"/>
        </w:rPr>
        <w:t xml:space="preserve">, included in </w:t>
      </w:r>
      <w:r>
        <w:rPr>
          <w:rFonts w:ascii="Arial" w:cs="Arial" w:eastAsia="Arial" w:hAnsi="Arial"/>
          <w:sz w:val="18"/>
          <w:szCs w:val="18"/>
          <w:color w:val="000000"/>
        </w:rPr>
        <w:t>Current lease liabilities</w:t>
      </w:r>
      <w:r>
        <w:rPr>
          <w:rFonts w:ascii="Arial" w:cs="Arial" w:eastAsia="Arial" w:hAnsi="Arial"/>
          <w:sz w:val="18"/>
          <w:szCs w:val="18"/>
          <w:color w:val="212529"/>
        </w:rPr>
        <w:t xml:space="preserve"> and </w:t>
      </w:r>
      <w:r>
        <w:rPr>
          <w:rFonts w:ascii="Arial" w:cs="Arial" w:eastAsia="Arial" w:hAnsi="Arial"/>
          <w:sz w:val="18"/>
          <w:szCs w:val="18"/>
          <w:color w:val="000000"/>
        </w:rPr>
        <w:t>Lease liabilities</w:t>
      </w:r>
      <w:r>
        <w:rPr>
          <w:rFonts w:ascii="Arial" w:cs="Arial" w:eastAsia="Arial" w:hAnsi="Arial"/>
          <w:sz w:val="18"/>
          <w:szCs w:val="18"/>
          <w:color w:val="212529"/>
        </w:rPr>
        <w:t xml:space="preserve"> on the Consolidated Balance Sheet. The Company also recognized ROU assets (initially measured as the lease liabilities, adjusted for deferred rent and lease incentives) of $217.0 million as of </w:t>
      </w:r>
      <w:r>
        <w:rPr>
          <w:rFonts w:ascii="Arial" w:cs="Arial" w:eastAsia="Arial" w:hAnsi="Arial"/>
          <w:sz w:val="18"/>
          <w:szCs w:val="18"/>
          <w:color w:val="000000"/>
        </w:rPr>
        <w:t>November 30, 2019</w:t>
      </w:r>
      <w:r>
        <w:rPr>
          <w:rFonts w:ascii="Arial" w:cs="Arial" w:eastAsia="Arial" w:hAnsi="Arial"/>
          <w:sz w:val="18"/>
          <w:szCs w:val="18"/>
          <w:color w:val="212529"/>
        </w:rPr>
        <w:t xml:space="preserve">, included in Lease right-of-use assets, net on the Consolidated Balance Sheet. As of </w:t>
      </w:r>
      <w:r>
        <w:rPr>
          <w:rFonts w:ascii="Arial" w:cs="Arial" w:eastAsia="Arial" w:hAnsi="Arial"/>
          <w:sz w:val="18"/>
          <w:szCs w:val="18"/>
          <w:color w:val="000000"/>
        </w:rPr>
        <w:t>May 31, 2020, the ROU assets</w:t>
      </w:r>
      <w:r>
        <w:rPr>
          <w:rFonts w:ascii="Arial" w:cs="Arial" w:eastAsia="Arial" w:hAnsi="Arial"/>
          <w:sz w:val="18"/>
          <w:szCs w:val="18"/>
          <w:color w:val="212529"/>
        </w:rPr>
        <w:t xml:space="preserve"> </w:t>
      </w:r>
      <w:r>
        <w:rPr>
          <w:rFonts w:ascii="Arial" w:cs="Arial" w:eastAsia="Arial" w:hAnsi="Arial"/>
          <w:sz w:val="18"/>
          <w:szCs w:val="18"/>
          <w:color w:val="000000"/>
        </w:rPr>
        <w:t>balance was $254.4 million and the Lease liabilities balance was $305.2 million, classified in the same Consolidated Balance Sheet accounts used upon adoption.</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Lease liabilities are measured as the present value of the future minimum lease payments over the lease term using FactSet’s incremental borrowing rate ("IBR") within the geography where the leased asset is located, as there is no rate implicit in the Company’s operating lease arrangements. As FactSet does not have any outstanding public debt, the Company estimates the IBR based on FactSet’s estimated credit rating and available market information. The IBR is determined at lease commencement, or as of September 1, 2019 for operating leases in existence upon adoption of ASC 842. The IBR is subsequently reassessed upon a modification to the lease arrangement.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 xml:space="preserve">As of </w:t>
      </w:r>
      <w:r>
        <w:rPr>
          <w:rFonts w:ascii="Arial" w:cs="Arial" w:eastAsia="Arial" w:hAnsi="Arial"/>
          <w:sz w:val="18"/>
          <w:szCs w:val="18"/>
          <w:color w:val="000000"/>
        </w:rPr>
        <w:t>May 31, 2020</w:t>
      </w:r>
      <w:r>
        <w:rPr>
          <w:rFonts w:ascii="Arial" w:cs="Arial" w:eastAsia="Arial" w:hAnsi="Arial"/>
          <w:sz w:val="18"/>
          <w:szCs w:val="18"/>
          <w:color w:val="212529"/>
        </w:rPr>
        <w:t xml:space="preserve">, the Company’s leases have remaining terms of less than one year to just over 15 years. The ROU assets and lease liabilities recognized did not include any renewal or termination options that were not yet reasonably certain to be exercised. FactSet’s net operating lease expense for the three and nine months ended </w:t>
      </w:r>
      <w:r>
        <w:rPr>
          <w:rFonts w:ascii="Arial" w:cs="Arial" w:eastAsia="Arial" w:hAnsi="Arial"/>
          <w:sz w:val="18"/>
          <w:szCs w:val="18"/>
          <w:color w:val="000000"/>
        </w:rPr>
        <w:t>May 31, 2020</w:t>
      </w:r>
      <w:r>
        <w:rPr>
          <w:rFonts w:ascii="Arial" w:cs="Arial" w:eastAsia="Arial" w:hAnsi="Arial"/>
          <w:sz w:val="18"/>
          <w:szCs w:val="18"/>
          <w:color w:val="212529"/>
        </w:rPr>
        <w:t xml:space="preserve"> was $11.9 million and $32.3 million, respectively. Charges related to FactSet's operating leases that are variable, and therefore not included in the measurement of the lease liabilities for the three and nine months ended </w:t>
      </w:r>
      <w:r>
        <w:rPr>
          <w:rFonts w:ascii="Arial" w:cs="Arial" w:eastAsia="Arial" w:hAnsi="Arial"/>
          <w:sz w:val="18"/>
          <w:szCs w:val="18"/>
          <w:color w:val="000000"/>
        </w:rPr>
        <w:t>May 31, 2020</w:t>
      </w:r>
      <w:r>
        <w:rPr>
          <w:rFonts w:ascii="Arial" w:cs="Arial" w:eastAsia="Arial" w:hAnsi="Arial"/>
          <w:sz w:val="18"/>
          <w:szCs w:val="18"/>
          <w:color w:val="212529"/>
        </w:rPr>
        <w:t xml:space="preserve"> were $4.0 million and $13.5 million,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212529"/>
        </w:rPr>
        <w:t xml:space="preserve">The following table reconciles FactSet’s future undiscounted cash flows related to the Company’s operating leases and the reconciliation to the operating lease liability as of </w:t>
      </w:r>
      <w:r>
        <w:rPr>
          <w:rFonts w:ascii="Arial" w:cs="Arial" w:eastAsia="Arial" w:hAnsi="Arial"/>
          <w:sz w:val="18"/>
          <w:szCs w:val="18"/>
          <w:color w:val="000000"/>
        </w:rPr>
        <w:t>May 31, 2020</w:t>
      </w:r>
      <w:r>
        <w:rPr>
          <w:rFonts w:ascii="Arial" w:cs="Arial" w:eastAsia="Arial" w:hAnsi="Arial"/>
          <w:sz w:val="18"/>
          <w:szCs w:val="18"/>
          <w:color w:val="212529"/>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560" w:type="dxa"/>
            <w:vAlign w:val="bottom"/>
          </w:tcPr>
          <w:p>
            <w:pPr>
              <w:spacing w:after="0"/>
              <w:rPr>
                <w:sz w:val="21"/>
                <w:szCs w:val="21"/>
                <w:color w:val="auto"/>
              </w:rPr>
            </w:pPr>
          </w:p>
        </w:tc>
        <w:tc>
          <w:tcPr>
            <w:tcW w:w="2640" w:type="dxa"/>
            <w:vAlign w:val="bottom"/>
          </w:tcPr>
          <w:p>
            <w:pPr>
              <w:jc w:val="right"/>
              <w:ind w:right="910"/>
              <w:spacing w:after="0"/>
              <w:rPr>
                <w:sz w:val="20"/>
                <w:szCs w:val="20"/>
                <w:color w:val="auto"/>
              </w:rPr>
            </w:pPr>
            <w:r>
              <w:rPr>
                <w:rFonts w:ascii="Arial" w:cs="Arial" w:eastAsia="Arial" w:hAnsi="Arial"/>
                <w:sz w:val="18"/>
                <w:szCs w:val="18"/>
                <w:color w:val="auto"/>
              </w:rPr>
              <w:t>Minimum Lease</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Fiscal Years Ended August 31,</w:t>
            </w:r>
          </w:p>
        </w:tc>
        <w:tc>
          <w:tcPr>
            <w:tcW w:w="560" w:type="dxa"/>
            <w:vAlign w:val="bottom"/>
          </w:tcPr>
          <w:p>
            <w:pPr>
              <w:spacing w:after="0"/>
              <w:rPr>
                <w:sz w:val="20"/>
                <w:szCs w:val="20"/>
                <w:color w:val="auto"/>
              </w:rPr>
            </w:pPr>
          </w:p>
        </w:tc>
        <w:tc>
          <w:tcPr>
            <w:tcW w:w="2640" w:type="dxa"/>
            <w:vAlign w:val="bottom"/>
          </w:tcPr>
          <w:p>
            <w:pPr>
              <w:jc w:val="right"/>
              <w:ind w:right="1150"/>
              <w:spacing w:after="0"/>
              <w:rPr>
                <w:sz w:val="20"/>
                <w:szCs w:val="20"/>
                <w:color w:val="auto"/>
              </w:rPr>
            </w:pPr>
            <w:r>
              <w:rPr>
                <w:rFonts w:ascii="Arial" w:cs="Arial" w:eastAsia="Arial" w:hAnsi="Arial"/>
                <w:sz w:val="18"/>
                <w:szCs w:val="18"/>
                <w:color w:val="auto"/>
              </w:rPr>
              <w:t>Payments</w:t>
            </w:r>
          </w:p>
        </w:tc>
      </w:tr>
      <w:tr>
        <w:trPr>
          <w:trHeight w:val="27"/>
        </w:trPr>
        <w:tc>
          <w:tcPr>
            <w:tcW w:w="8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(remaining three months)</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9,684</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21"/>
                <w:szCs w:val="21"/>
                <w:color w:val="auto"/>
              </w:rPr>
            </w:pP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41,951</w:t>
            </w:r>
          </w:p>
        </w:tc>
      </w:tr>
      <w:tr>
        <w:trPr>
          <w:trHeight w:val="27"/>
        </w:trPr>
        <w:tc>
          <w:tcPr>
            <w:tcW w:w="8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39,546</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21"/>
                <w:szCs w:val="21"/>
                <w:color w:val="auto"/>
              </w:rPr>
            </w:pP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36,041</w:t>
            </w:r>
          </w:p>
        </w:tc>
      </w:tr>
      <w:tr>
        <w:trPr>
          <w:trHeight w:val="27"/>
        </w:trPr>
        <w:tc>
          <w:tcPr>
            <w:tcW w:w="8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34,238</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216,710</w:t>
            </w:r>
          </w:p>
        </w:tc>
      </w:tr>
      <w:tr>
        <w:trPr>
          <w:trHeight w:val="27"/>
        </w:trPr>
        <w:tc>
          <w:tcPr>
            <w:tcW w:w="80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56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378,170</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60" w:type="dxa"/>
            <w:vAlign w:val="bottom"/>
          </w:tcPr>
          <w:p>
            <w:pPr>
              <w:spacing w:after="0"/>
              <w:rPr>
                <w:sz w:val="21"/>
                <w:szCs w:val="21"/>
                <w:color w:val="auto"/>
              </w:rPr>
            </w:pP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72,926</w:t>
            </w:r>
          </w:p>
        </w:tc>
      </w:tr>
      <w:tr>
        <w:trPr>
          <w:trHeight w:val="27"/>
        </w:trPr>
        <w:tc>
          <w:tcPr>
            <w:tcW w:w="80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8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total lease payments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305,244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FactSet previously entered into a real estate lease in the Philippines, which was planned to commence in phases, providing FactSet with access to the underlying leased rental space during fiscal 2020. The rental space that FactSet has not taken possession of as of May 31, 2020 is not included in the table above nor included in the lease ROU assets and liabilities as of May 31, 2020. The overall lease term is approximately 10 years and the undiscounted future rent payments for the lease that has not commenced as of May 31, 2020 is approximately $18 million.</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lease term and discount rate assumptions related to the operating leases recorded on the Consolidated Balance Sheets as of May 31,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80" w:type="dxa"/>
            <w:vAlign w:val="bottom"/>
          </w:tcPr>
          <w:p>
            <w:pPr>
              <w:spacing w:after="0"/>
              <w:rPr>
                <w:sz w:val="20"/>
                <w:szCs w:val="20"/>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As of May 31, 2020</w:t>
            </w:r>
          </w:p>
        </w:tc>
      </w:tr>
      <w:tr>
        <w:trPr>
          <w:trHeight w:val="27"/>
        </w:trPr>
        <w:tc>
          <w:tcPr>
            <w:tcW w:w="83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Weighted average remaining lease term </w:t>
            </w:r>
            <w:r>
              <w:rPr>
                <w:rFonts w:ascii="Arial" w:cs="Arial" w:eastAsia="Arial" w:hAnsi="Arial"/>
                <w:sz w:val="18"/>
                <w:szCs w:val="18"/>
                <w:i w:val="1"/>
                <w:iCs w:val="1"/>
                <w:color w:val="auto"/>
              </w:rPr>
              <w:t>(in years)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 xml:space="preserve">Weighted average discount rate </w:t>
            </w:r>
            <w:r>
              <w:rPr>
                <w:rFonts w:ascii="Arial" w:cs="Arial" w:eastAsia="Arial" w:hAnsi="Arial"/>
                <w:sz w:val="18"/>
                <w:szCs w:val="18"/>
                <w:i w:val="1"/>
                <w:iCs w:val="1"/>
                <w:color w:val="auto"/>
              </w:rPr>
              <w:t>(IBR)</w:t>
            </w:r>
          </w:p>
        </w:tc>
        <w:tc>
          <w:tcPr>
            <w:tcW w:w="2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58"/>
        </w:trPr>
        <w:tc>
          <w:tcPr>
            <w:tcW w:w="8380" w:type="dxa"/>
            <w:vAlign w:val="bottom"/>
          </w:tcPr>
          <w:p>
            <w:pPr>
              <w:spacing w:after="0"/>
              <w:rPr>
                <w:sz w:val="20"/>
                <w:szCs w:val="20"/>
                <w:color w:val="auto"/>
              </w:rPr>
            </w:pPr>
            <w:r>
              <w:rPr>
                <w:rFonts w:ascii="Arial" w:cs="Arial" w:eastAsia="Arial" w:hAnsi="Arial"/>
                <w:sz w:val="18"/>
                <w:szCs w:val="18"/>
                <w:color w:val="auto"/>
                <w:w w:val="94"/>
              </w:rPr>
              <w:t>The following table summarizes supplemental cash flow information related to the Company's operating leases:</w:t>
            </w:r>
          </w:p>
        </w:tc>
        <w:tc>
          <w:tcPr>
            <w:tcW w:w="2860" w:type="dxa"/>
            <w:vAlign w:val="bottom"/>
          </w:tcPr>
          <w:p>
            <w:pPr>
              <w:spacing w:after="0"/>
              <w:rPr>
                <w:sz w:val="24"/>
                <w:szCs w:val="24"/>
                <w:color w:val="auto"/>
              </w:rPr>
            </w:pPr>
          </w:p>
        </w:tc>
      </w:tr>
      <w:tr>
        <w:trPr>
          <w:trHeight w:val="472"/>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Nine Months Ended May 31, 2020</w:t>
            </w:r>
          </w:p>
        </w:tc>
      </w:tr>
      <w:tr>
        <w:trPr>
          <w:trHeight w:val="264"/>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70"/>
        </w:trPr>
        <w:tc>
          <w:tcPr>
            <w:tcW w:w="8380" w:type="dxa"/>
            <w:vAlign w:val="bottom"/>
          </w:tcPr>
          <w:p>
            <w:pPr>
              <w:ind w:left="20"/>
              <w:spacing w:after="0"/>
              <w:rPr>
                <w:sz w:val="20"/>
                <w:szCs w:val="20"/>
                <w:color w:val="auto"/>
              </w:rPr>
            </w:pPr>
            <w:r>
              <w:rPr>
                <w:rFonts w:ascii="Arial" w:cs="Arial" w:eastAsia="Arial" w:hAnsi="Arial"/>
                <w:sz w:val="18"/>
                <w:szCs w:val="18"/>
                <w:color w:val="auto"/>
              </w:rPr>
              <w:t>Operating lease ROU assets obtained in exchange for operating lease liabilities</w:t>
            </w:r>
          </w:p>
        </w:tc>
        <w:tc>
          <w:tcPr>
            <w:tcW w:w="2860" w:type="dxa"/>
            <w:vAlign w:val="bottom"/>
          </w:tcPr>
          <w:p>
            <w:pPr>
              <w:jc w:val="right"/>
              <w:spacing w:after="0"/>
              <w:rPr>
                <w:sz w:val="20"/>
                <w:szCs w:val="20"/>
                <w:color w:val="auto"/>
              </w:rPr>
            </w:pPr>
            <w:r>
              <w:rPr>
                <w:rFonts w:ascii="Arial" w:cs="Arial" w:eastAsia="Arial" w:hAnsi="Arial"/>
                <w:sz w:val="18"/>
                <w:szCs w:val="18"/>
                <w:color w:val="auto"/>
              </w:rPr>
              <w:t>$48.5</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Commitments represent obligations, such as those for future purchases of goods or services, that are not yet recorded on the balance sheet as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FactSet records liabilities for commitments when incurred (</w:t>
      </w:r>
      <w:r>
        <w:rPr>
          <w:rFonts w:ascii="Arial" w:cs="Arial" w:eastAsia="Arial" w:hAnsi="Arial"/>
          <w:sz w:val="18"/>
          <w:szCs w:val="18"/>
          <w:i w:val="1"/>
          <w:iCs w:val="1"/>
          <w:color w:val="auto"/>
        </w:rPr>
        <w:t>i.e.</w:t>
      </w:r>
      <w:r>
        <w:rPr>
          <w:rFonts w:ascii="Arial" w:cs="Arial" w:eastAsia="Arial" w:hAnsi="Arial"/>
          <w:sz w:val="18"/>
          <w:szCs w:val="18"/>
          <w:color w:val="auto"/>
        </w:rPr>
        <w:t>, when the goods or services are received).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 with Suppliers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Purchase commitments represent payments due in future periods to the Company’s various data vendors as well as commitments to purchase goods and services such as telecommunication and computer maintenance services. These purchase commitments are agreements that are enforceable and legally binding on FactSet, and they specify all significant terms, including: fixed or minimum quantities to be purchased; fixed, minimum or variable price provisions; and the approximate timing of the transaction. As of August 31, 2019, the Company had total purchase commitments with suppliers of $69.9 million. There were no material changes in the Company’s purchase commitments during the nine months ended May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Approximately $2.9 million of standby letters of credit have been issued during the ordinary course of business in connection with the Company’s current leased office space as of May 31, 2020. These standby letters of credit utilize the same covenants included in the 2019 Credit Agreement. Refer to Note 14 Debt for more information on these covenants.</w:t>
      </w:r>
    </w:p>
    <w:p>
      <w:pPr>
        <w:sectPr>
          <w:pgSz w:w="11900" w:h="16838" w:orient="portrait"/>
          <w:cols w:equalWidth="0" w:num="1">
            <w:col w:w="11240"/>
          </w:cols>
          <w:pgMar w:left="320" w:top="1070"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Uncertain income tax positions are accounted for in accordance with applicable accounting guidance, refer to Note 13 Income Taxes for further details. FactSet is currently under audit by tax authorities and has reserved for potential adjustments to its provision for income taxes that may result from examinations by, or any negotiated settlements with, these tax authorities. The Company believes that the final outcome of these examinations or settlements will not have a material effect on its results of operations. If events occur which indicate payment of these amounts is unnecessary, the reversal of the liabilities would result in the recognition of tax benefits in the period FactSet determines the liabilities are no longer necessary. If the Company’s estimates of the federal, state, and foreign income tax liabilities are less than the ultimate assessment, a further charge to expense would result.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FactSet accrues non-income tax liabilities for contingencies when management believes that a loss is probable, and the amounts can be reasonably estimated, while contingent gains are recognized only when realized. The Company is engaged in various legal proceedings, claims and litigation that have arisen in the ordinary course of business, including employment matters, commercial and intellectual property litigation. The outcome of all the matters against the Company is subject to future resolution, including the uncertainties of litigation. Based on information available at May 31, 2020, FactSet’s management believes that the ultimate outcome of these unresolved matters against the Company, individually or in the aggregate, will not have a material adverse effect on the Company's consolidated financial position, its results of operations or its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Matters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2019, FactSet received a Notice of Intent to Assess (the "Notice") additional sales taxes, interest and underpayment penalties from the Commonwealth of Massachusetts Department of Revenue (the "Commonwealth") relating to prior tax periods. The Notice follows FactSet's previously disclosed response to a letter from the Commonwealth requesting additional sales information. Based upon the Notice, it is the Commonwealth's intention to assess sales/use tax, interest and penalties on previously recorded sales transactions. The Company filed an appeal to the Notice and intends to contest any such assessment, if assessed, and continues to cooperate with the Commonwealth's inquiry. Due to the uncertainty surrounding the assessment process, the Company is unable to reasonably estimate the ultimate outcome of this matter and, as such, has not recorded a liability as of May 31, 2020. FactSet believes that it will ultimately prevail if the Company is presented with a formal assessment; however, if FactSet does not prevail, the amount could have a material impact on the Company’s consolidated financial position, cash flows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permitted or required under Delaware law and to the maximum extent allowable under that law, FactSet has certain obligations to indemnify its current and former officers and directors for certain events or occurrences while the officer or director is, or was, serving at FactSet’s request in such capacity. These indemnification obligations are valid as long as the director or officer acted in good faith and in a manner the person reasonably believed to be in, or not opposed to, the best interests of the Company, and with respect to any criminal action or proceeding, had no reasonable cause to believe his or her conduct was unlawful. The maximum potential amount of future payments FactSet could be required to make under these indemnification obligations is unlimited; however, FactSet has a director and officer insurance policy that it believes mitigates FactSet’s exposure and may enable FactSet to recover a portion of any future amounts paid. The Company believes the estimated fair value of these indemnification obligations is immaterial.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and cash equivalents are maintained primarily with five financial institutions. Deposits held with banks may exceed the amount of insurance provided on such deposits. These deposits may be redeemed upon demand and are maintained with financial institutions with reputable credit and bear minimal credit risk. The Company seeks to mitigate its credit risks by spreading such risks across multiple counterparties and monitoring the risk profiles of these counterparties.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are unsecured and are derived from revenue earned from clients located around the globe. The Company does not require collateral from its clients but performs credit evaluations on an ongoing basis. The Company maintains reserves for potential write-offs and evaluates the adequacy of the reserves periodically. These losses have historically been within expectations. No single client represented 3% or more of FactSet’s total revenue in any period presented. At May 31, 2020, the Company’s largest individual client accounted for just above 2.5% of total annual subscriptions, and subscriptions from FactSet's ten largest clients did not surpass 15% of total annual subscriptions, consistent with the level at August 31, 2019. As of May 31, 2020, the receivable reserve was $7.4 million compared to $10.5 million as of August 31,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result of the use of derivative instruments, the Company is exposed to counterparty credit risk. The Company has incorporated counterparty credit risk into the fair value of its derivative assets and its own credit risk into the value of the Company’s derivative liabilities, when applicable. For derivative instruments, the Company calculates credit risk from observable data related to credit default swaps ("CDS") as quoted by publicly available information. Counterparty risk is represented by CDS spreads related to the senior secured debt of the respective bank with whom the Company has executed these derivative transactions. To mitigate counterparty credit risk, the Company enters into contracts with large financial institutions and regularly reviews its credit exposure balances as well as the creditworthiness of the counterparties. For the Company’s liabilities, as CDS spread information is not available for FactSet, the Company’s credit risk is determined based on using a simple average of CDS spreads for peer companies. The Company does not expect any losses as a result of default of its counterparties.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Other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Content Providers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FactSet relies on certain data sets where there are a limited number of suppliers. The Company makes every effort to assure that, where reasonable, alternative sources are available. FactSet is not dependent on any one third-party data supplier in order to meet the needs of its clients. FactSet combines the data from these commercial databases into its own dedicated single online service, which its clients access to perform their analysis. No single vendor or data supplier represented more than 10% of FactSet's total data costs for the nine months ended May 31, 2020 or May 31, 2019.</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57" w:lineRule="exact"/>
        <w:rPr>
          <w:sz w:val="20"/>
          <w:szCs w:val="20"/>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23"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Key Metrics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 Repurchase Program</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Contractual Obligations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Dividends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Accounting Policies and Critical Accounting Estimates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Trends</w:t>
      </w:r>
    </w:p>
    <w:p>
      <w:pPr>
        <w:spacing w:after="0" w:line="9" w:lineRule="exact"/>
        <w:rPr>
          <w:rFonts w:ascii="Arial" w:cs="Arial" w:eastAsia="Arial" w:hAnsi="Arial"/>
          <w:sz w:val="18"/>
          <w:szCs w:val="18"/>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Forward-Looking Factors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MD&amp;A should be read in conjunction with our 2019 Form 10-K, Current Reports on Form 8-K and other filings with the Securities and Exchange Commission, and the consolidated financial statements and related notes included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FactSet Research Systems Inc. (the “Company” or “FactSet”) is a global provider of integrated financial information, analytical applications and industry-leading services for the investment and corporate communities. For over 40 years, global financial professionals have utilized our content and multi-asset class solutions across each stage of the investment process. Our goal is to provide a seamless user experience spanning idea generation, research, portfolio construction and analysis, trade execution, performance measurement, risk management, and reporting, in which we serve the front, middle, and back offices to drive productivity and improved performance. Our flexible, open data and technology solutions can be implemented both across the investment portfolio lifecycle or as standalone components serving different workflows in an organization. We are focused on growing our business through three segments: the Americas, EMEA (formerly known as Europe), and Asia Pacific. We primarily deliver insight and information through the workflow solutions of Research, Analytics and Trading, Content and Technology Solutions ("CTS") and Wealth.</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serve financial professionals, which include portfolio managers, investment research professionals, investment bankers, risk and performance analysts, wealth advisors, and corporate clients. We provide both insights on global market trends and intelligence on companies and industries, as well as capabilities to monitor portfolio risk and performance and to execute trades. We combine dedicated client service with open and flexible technology offerings, such as a configurable desktop and mobile platform, comprehensive data feeds, an open marketplace, digital portals and application programming interfaces (APIs). Our revenue is primarily derived from subscriptions to products and services such as workstations, portfolio analytics, enterprise data, and research management.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Strategy</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premier financial solutions provider for the global financial community, we provide workflow solutions and leading analytical applications across the investment lifecycle to create an open and scalable platform. We bring the front, middle and back office together to drive productivity and performance throughout the portfolio lifecycle. Our strategy is focused on growing our business in each of our three segments: the Americas, EMEA, and Asia Pacific. We believe this geographical strategic alignment helps us better manage our resources and concentrate on markets that demand our products. To execute on our business strategy of broad-based growth across each geographical segment, we continue to look at ways to create value for our clients by offering data, products and analytical applications within our key workflow solutions of Research, Analytics and Trading, CTS and Wealth.</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Third Quarter in Review</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 in the third quarter of fiscal 2020 was $374.1 million, an increase of 2.6% from the prior year comparable period, fully attributed to organic revenue growth. Organic revenue excludes the effects of acquisitions and dispositions completed in the last 12 months, changes in foreign currency rates in all periods presented and the deferred revenue fair value adjustments from purchase accounting. Revenue increased across our geographic segments primarily driven by revenue growth in Analytics and Trading, followed by CTS and Wealth. The revenue growth was driven by increased demand for our risk management, portfolio analytics and reporting solutions, core and premium data feeds, and traditional and web-based wealth workstations. As of May 31, 2020, organic annual subscription value ("organic ASV") plus professional services totaled $1.52 billion, an increase of 5.0% over the prior year comparable period. Organic ASV at any given point in time represents the forward-looking revenue for the next 12 months from all subscription services currently being supplied to clients and excludes ASV from acquisitions and dispositions completed within the last 12 months, the effects of foreign currency movements on the current year period and professional services.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grew 3.8% and diluted earnings per share ("EPS") increased 11.0% compared to the prior year period. This increase in operating income was primarily driven by revenue growth of 2.6% and a decrease in non-compensatory employee related expenses mainly due to restrictions and impacts related to the COVID-19 pandemic. This operating income increase was partially offset by an increase in computer-related expenses on a year-over-year basis, primarily driven by increased technology investments including cloud-based hosting and licensed software arrangements. Additionally, EPS benefited from a reduction in the income tax provision, interest expense and diluted weighted average shares outstanding, compared to the prior year period.</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31, 2020, our employee count was 10,065, up 7.5% in the past 12 months, due primarily to an increase in net new employees of 9.0% in Asia Pacific, 6.7% in EMEA, and 3.9% in the Americas. Of our total employees, 6,372 were located in Asia Pacific, 2,367 were located in the Americas, and 1,326 were located in EMEA.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Update</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7"/>
          <w:szCs w:val="17"/>
          <w:color w:val="auto"/>
        </w:rPr>
        <w:t>novel strain of coronavirus, now known as COVID-19 (“COVID-19”), was first reported in December 2019, and it has since extensively impacted the</w:t>
      </w:r>
      <w:r>
        <w:rPr>
          <w:rFonts w:ascii="Arial" w:cs="Arial" w:eastAsia="Arial" w:hAnsi="Arial"/>
          <w:sz w:val="16"/>
          <w:szCs w:val="16"/>
          <w:color w:val="auto"/>
        </w:rPr>
        <w:t xml:space="preserve"> </w:t>
      </w:r>
      <w:r>
        <w:rPr>
          <w:rFonts w:ascii="Arial" w:cs="Arial" w:eastAsia="Arial" w:hAnsi="Arial"/>
          <w:sz w:val="17"/>
          <w:szCs w:val="17"/>
          <w:color w:val="auto"/>
        </w:rPr>
        <w:t>global health and economic environment, with the World Health Organization characterizing COVID-19 as a pandemic on March 11, 2020. The COVID-19 virus has spread to nearly all regions in the world, creating significant uncertainties and disruption in the global economy.</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closely monitoring pandemic-related developments, and our highest priority is the health and safety of our employees, clients, vendors and stakeholders. We have taken, and continue to take, numerous steps to address the COVID-19 pandemic. We have implemented a business continuity plan with a dedicated incident management team to respond quickly and effectively to changes in our environment to continue offering our clients uninterrupted products, services and support while also protecting our employees. We will continue to coordinate our COVID-19 response based on guidance from global health organizations, relevant governments and pandemic response best practices.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required the vast majority of our employees at our offices across the globe (including our corporate headquarters) to work remotely on a temporary basis and have implemented global travel restrictions for our employees. Nearly all our employees are currently working remotely. We believe our transition to remote working has been successful and has not significantly affected our financial results for the three or nine months ended May 31, 2020.</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planning to re-open many of our offices during fiscal 2021, utilizing a three-phased approach to provide flexibility for employees with a focus on social distancing and safety. Our offices will not re-open until local authorities permit us to do so and our own criteria and conditions to ensure employee health and safety are satisfied. There can be no assurances as to when we re-open our offices or that there will be no negative impacts arising from the return to the office environment.</w:t>
      </w:r>
    </w:p>
    <w:p>
      <w:pPr>
        <w:spacing w:after="0" w:line="14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May 31, 2020, there has been minimal interruptions in our ability to provide our products, services and support to our clients. Working remotely has had relatively little impact on the productivity of our employees, including our ability to gather content. We continue to work closely with our clients to provide consistent access to our products and services and have remained flexible to achieve client priorities as many implement their own contingency plans. We have increased our support desk resources to manage increased volumes and have extended additional web IDs to our clients in need of immediate remote access to financial data.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revenue, earnings, and ASV are relatively stable and predictable as a result of our subscription-based business model. To date, we have not seen the COVID-19 pandemic having a material impact on our revenue or ASV, although we anticipate that there may be some level of revenue and ASV weakness going forward due to longer sales cycles and lower incremental client billings. The COVID-19 pandemic could curtail our clients’ spending and lead them to delay or defer purchasing decisions or product and service implementations or may cause them to cancel or reduce their spending with us. In determining the possible revenue and ASV impact from the COVID-19 pandemic, we are considering the potential delay in decision making causing longer sales cycles (or conversely delayed cancellations from clients); implementation risk due to restrictions on being able to work onsite at our clients' facilities; and possible reduced seasonal hiring at investment banks, which are some of our largest clients, over the summer months.</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incurred, and expect to continue to incur, additional expenses in response to the COVID-19 pandemic, including costs to enable our employees to support our clients while working remotely. These additional expenses were not material to our third quarter fiscal 2020 results, and reductions in discretionary spending, particularly travel and entertainment, have more than offset these increased expenses. We believe that implementing additional cost reduction efforts will help us mitigate the impact that any reduced revenues may have on our future operating income. We may consider reducing expenses further through such methods as reduction of discretionary spending, including travel and entertainment; tighter management of headcount spending; and reduction in variable third-party content costs in a manner consistent with client demand.</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27, 2020, the Coronavirus Aid, Relief, and Economic Security (“CARES”) Act was signed into law to address the economic impact of the COVID-19 pandemic. We continue to monitor any effects that may result from the CARES Act and other similar legislation or actions in geographies in which our business operates.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for further discussion of the impact of the COVID-19 pandemic on our business.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Key Metrics</w:t>
            </w: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92"/>
        </w:trPr>
        <w:tc>
          <w:tcPr>
            <w:tcW w:w="5840" w:type="dxa"/>
            <w:vAlign w:val="bottom"/>
          </w:tcPr>
          <w:p>
            <w:pPr>
              <w:spacing w:after="0"/>
              <w:rPr>
                <w:sz w:val="20"/>
                <w:szCs w:val="20"/>
                <w:color w:val="auto"/>
              </w:rPr>
            </w:pPr>
            <w:r>
              <w:rPr>
                <w:rFonts w:ascii="Arial" w:cs="Arial" w:eastAsia="Arial" w:hAnsi="Arial"/>
                <w:sz w:val="18"/>
                <w:szCs w:val="18"/>
                <w:color w:val="auto"/>
              </w:rPr>
              <w:t>The following is a review of our key metrics:</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6"/>
        </w:trPr>
        <w:tc>
          <w:tcPr>
            <w:tcW w:w="5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80" w:type="dxa"/>
            <w:vAlign w:val="bottom"/>
            <w:gridSpan w:val="3"/>
          </w:tcPr>
          <w:p>
            <w:pPr>
              <w:jc w:val="right"/>
              <w:ind w:right="1170"/>
              <w:spacing w:after="0"/>
              <w:rPr>
                <w:sz w:val="20"/>
                <w:szCs w:val="20"/>
                <w:color w:val="auto"/>
              </w:rPr>
            </w:pPr>
            <w:r>
              <w:rPr>
                <w:rFonts w:ascii="Arial" w:cs="Arial" w:eastAsia="Arial" w:hAnsi="Arial"/>
                <w:sz w:val="18"/>
                <w:szCs w:val="18"/>
                <w:color w:val="auto"/>
              </w:rPr>
              <w:t>As of and for the</w:t>
            </w: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30"/>
        </w:trPr>
        <w:tc>
          <w:tcPr>
            <w:tcW w:w="5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80" w:type="dxa"/>
            <w:vAlign w:val="bottom"/>
            <w:gridSpan w:val="3"/>
          </w:tcPr>
          <w:p>
            <w:pPr>
              <w:jc w:val="right"/>
              <w:ind w:right="1030"/>
              <w:spacing w:after="0"/>
              <w:rPr>
                <w:sz w:val="20"/>
                <w:szCs w:val="20"/>
                <w:color w:val="auto"/>
              </w:rPr>
            </w:pPr>
            <w:r>
              <w:rPr>
                <w:rFonts w:ascii="Arial" w:cs="Arial" w:eastAsia="Arial" w:hAnsi="Arial"/>
                <w:sz w:val="18"/>
                <w:szCs w:val="18"/>
                <w:color w:val="auto"/>
              </w:rPr>
              <w:t>Three Months Ended</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64"/>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client and user counts and per share data)</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May 31, 2020</w:t>
            </w: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May 31, 2019</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200" w:type="dxa"/>
            <w:vAlign w:val="bottom"/>
            <w:tcBorders>
              <w:bottom w:val="single" w:sz="8" w:color="auto"/>
            </w:tcBorders>
          </w:tcPr>
          <w:p>
            <w:pPr>
              <w:spacing w:after="0"/>
              <w:rPr>
                <w:sz w:val="22"/>
                <w:szCs w:val="2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374.1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364.5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121.6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117.2</w:t>
            </w: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101.2</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2.63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2.37</w:t>
            </w: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Clients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5,743</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5,455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Users</w:t>
            </w:r>
          </w:p>
        </w:tc>
        <w:tc>
          <w:tcPr>
            <w:tcW w:w="26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131,095</w:t>
            </w:r>
          </w:p>
        </w:tc>
        <w:tc>
          <w:tcPr>
            <w:tcW w:w="38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122,951</w:t>
            </w: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The table below provides a reconciliation of ASV to organic ASV:</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5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92"/>
              </w:rPr>
              <w:t>As of</w:t>
            </w:r>
          </w:p>
        </w:tc>
        <w:tc>
          <w:tcPr>
            <w:tcW w:w="15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5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May 31, 2020</w:t>
            </w:r>
          </w:p>
        </w:tc>
        <w:tc>
          <w:tcPr>
            <w:tcW w:w="540" w:type="dxa"/>
            <w:vAlign w:val="bottom"/>
          </w:tcPr>
          <w:p>
            <w:pPr>
              <w:spacing w:after="0"/>
              <w:rPr>
                <w:sz w:val="20"/>
                <w:szCs w:val="20"/>
                <w:color w:val="auto"/>
              </w:rPr>
            </w:pP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May 31, 2019</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Change</w:t>
            </w:r>
          </w:p>
        </w:tc>
      </w:tr>
      <w:tr>
        <w:trPr>
          <w:trHeight w:val="27"/>
        </w:trPr>
        <w:tc>
          <w:tcPr>
            <w:tcW w:w="5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reported ASV</w:t>
            </w:r>
            <w:r>
              <w:rPr>
                <w:rFonts w:ascii="Arial" w:cs="Arial" w:eastAsia="Arial" w:hAnsi="Arial"/>
                <w:sz w:val="18"/>
                <w:szCs w:val="18"/>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1,423.0</w:t>
            </w:r>
          </w:p>
        </w:tc>
        <w:tc>
          <w:tcPr>
            <w:tcW w:w="1220" w:type="dxa"/>
            <w:vAlign w:val="bottom"/>
            <w:shd w:val="clear" w:color="auto" w:fill="CCEEFF"/>
          </w:tcPr>
          <w:p>
            <w:pPr>
              <w:spacing w:after="0"/>
              <w:rPr>
                <w:sz w:val="22"/>
                <w:szCs w:val="22"/>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Currency impact to ASV</w:t>
            </w:r>
          </w:p>
        </w:tc>
        <w:tc>
          <w:tcPr>
            <w:tcW w:w="240" w:type="dxa"/>
            <w:vAlign w:val="bottom"/>
          </w:tcPr>
          <w:p>
            <w:pPr>
              <w:spacing w:after="0"/>
              <w:rPr>
                <w:sz w:val="21"/>
                <w:szCs w:val="21"/>
                <w:color w:val="auto"/>
              </w:rPr>
            </w:pPr>
          </w:p>
        </w:tc>
        <w:tc>
          <w:tcPr>
            <w:tcW w:w="1960" w:type="dxa"/>
            <w:vAlign w:val="bottom"/>
            <w:gridSpan w:val="2"/>
          </w:tcPr>
          <w:p>
            <w:pPr>
              <w:jc w:val="right"/>
              <w:ind w:right="410"/>
              <w:spacing w:after="0"/>
              <w:rPr>
                <w:sz w:val="20"/>
                <w:szCs w:val="20"/>
                <w:color w:val="auto"/>
              </w:rPr>
            </w:pPr>
            <w:r>
              <w:rPr>
                <w:rFonts w:ascii="Arial" w:cs="Arial" w:eastAsia="Arial" w:hAnsi="Arial"/>
                <w:sz w:val="18"/>
                <w:szCs w:val="18"/>
                <w:color w:val="auto"/>
              </w:rPr>
              <w:t>(0.1)</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64"/>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Organic ASV</w:t>
            </w:r>
            <w:r>
              <w:rPr>
                <w:rFonts w:ascii="Arial" w:cs="Arial" w:eastAsia="Arial" w:hAnsi="Arial"/>
                <w:sz w:val="18"/>
                <w:szCs w:val="18"/>
                <w:color w:val="auto"/>
                <w:vertAlign w:val="superscript"/>
              </w:rPr>
              <w:t>(2)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1,493.7</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1,423.0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bl>
    <w:p>
      <w:pPr>
        <w:spacing w:after="0" w:line="121" w:lineRule="exact"/>
        <w:rPr>
          <w:sz w:val="20"/>
          <w:szCs w:val="20"/>
          <w:color w:val="auto"/>
        </w:rPr>
      </w:pPr>
    </w:p>
    <w:p>
      <w:pPr>
        <w:jc w:val="both"/>
        <w:ind w:left="340" w:hanging="332"/>
        <w:spacing w:after="0" w:line="263" w:lineRule="auto"/>
        <w:tabs>
          <w:tab w:leader="none" w:pos="334"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ASV at any given point in time represents the forward-looking revenue for the next 12 months from all subscription services currently being supplied to clients and excludes professional service fees, which are not subscription-based. The professional service fees are $24.5 million and $23.1 million as of May 31, 2020 and May 31, 2019, respectively.</w:t>
      </w:r>
    </w:p>
    <w:p>
      <w:pPr>
        <w:spacing w:after="0" w:line="143" w:lineRule="exact"/>
        <w:rPr>
          <w:rFonts w:ascii="Arial" w:cs="Arial" w:eastAsia="Arial" w:hAnsi="Arial"/>
          <w:sz w:val="18"/>
          <w:szCs w:val="18"/>
          <w:i w:val="1"/>
          <w:iCs w:val="1"/>
          <w:color w:val="auto"/>
        </w:rPr>
      </w:pPr>
    </w:p>
    <w:p>
      <w:pPr>
        <w:ind w:left="340" w:right="20" w:hanging="332"/>
        <w:spacing w:after="0" w:line="277" w:lineRule="auto"/>
        <w:tabs>
          <w:tab w:leader="none" w:pos="334" w:val="left"/>
        </w:tabs>
        <w:numPr>
          <w:ilvl w:val="0"/>
          <w:numId w:val="11"/>
        </w:numPr>
        <w:rPr>
          <w:rFonts w:ascii="Arial" w:cs="Arial" w:eastAsia="Arial" w:hAnsi="Arial"/>
          <w:sz w:val="18"/>
          <w:szCs w:val="18"/>
          <w:i w:val="1"/>
          <w:iCs w:val="1"/>
          <w:color w:val="4B4B4B"/>
        </w:rPr>
      </w:pPr>
      <w:r>
        <w:rPr>
          <w:rFonts w:ascii="Arial" w:cs="Arial" w:eastAsia="Arial" w:hAnsi="Arial"/>
          <w:sz w:val="18"/>
          <w:szCs w:val="18"/>
          <w:i w:val="1"/>
          <w:iCs w:val="1"/>
          <w:color w:val="auto"/>
        </w:rPr>
        <w:t>Organic ASV excludes ASV from acquisitions and dispositions completed within the last 12 months, the effects of foreign currency movements on the current year period and professional services.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Annual Subscription Value Growth</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Organic ASV at any given point in time represents the forward-looking revenue for the next 12 months from all subscription services currently being supplied to clients and excludes ASV from acquisitions and dispositions completed within the last 12 months, the effects of foreign currency movements on the current year period and professional services. With proper notice provided to us, our clients can add to, delete portions of, or terminate service, subject to certain contractual limitations. As of May 31, 2020, our organic ASV totaled $1.49 billion, up 5.0% over the prior year comparable period. As of May 31, 2020, organic ASV plus professional services was $1.52 billion, an increase of 5.0% compared to the prior year period.</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increase in year-over-year organic ASV was due to growth across all of our geographic segments from increased sales of products and solutions to new and existing clients. The majority of the ASV increase related to the Americas, followed by growth in Asia Pacific and EMEA, as well as the benefit from our annual price increase, partially offset by cancellations. The increase in ASV was driven by growth in all our workflow solutions, primarily from an increase in Analytics and Trading and CTS, followed by Wealth and Research. The ASV increase in Analytics and Trading was mainly due to increased sales for our risk management, portfolio analytics and reporting solutions. The increase in ASV from CTS was primarily driven by increased sales in premium and core data feeds, while the ASV increase in Wealth was mainly due to increased traditional and web-based workstation sales. The ASV increase in Research was mainly due to price increases from the existing client base.</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31, 2020, ASV from the Americas was $931.5 million, an increase of 5.0% from the prior year period. ASV from EMEA was $411.9 million as of May 31, 2020, an increase of 3.7% compared to the prior year period. Asia Pacific ASV was $150.4 million as of May 31, 2020, an increase of 8.9% compared to the prior year period. Combined EMEA and Asia Pacific ASV represented 37.6% of total ASV as of May 31, 2020, consistent with the prior year period.</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ASV in the Americas as of May 31, 2020, increased compared to the prior year period, primarily from Analytics and Trading, CTS and Wealth, as well as the benefit from our annual price increase, partially offset by cancellations. As of May 31, 2020, ASV increased in Asia Pacific mainly due to Analytics and Trading, Research, CTS, and the benefit from our annual price increase. The ASV increase in EMEA was primarily driven by Analytics and Trading, CTS and the benefit from our annual price increase, as well as decreased cancellations in the region compared to the prior year period.</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Buy-side and sell-side organic ASV growth rates for the third quarter of fiscal 2020 were 4.8% and 5.6%, respectively, compared to the prior year period. Buy-side clients account for 84% of organic ASV, which include traditional asset managers, wealth advisors, corporations, hedge funds, insurance companies, plan sponsors and fund of funds. The remainder of our organic ASV is derived from sell-side firms that perform M&amp;A advisory work, capital markets services and equity research.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and User Additions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total client count was 5,743 as of May 31, 2020, representing a net increase of 288 or 5.3% in the last 12 months. The increase was primarily due to an increase in corporate and wealth management clients. As of May 31, 2020, there were 131,095 professionals using FactSet, representing a net increase of 8,144 or 6.6% in the last 12 months, driven primarily by wealth management, corporate, and banking clients.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ASV retention for the periods ending May 31, 2020 and May 31, 2019 exceeded 95%. Client retention was 89% for the period ended May 31, 2020, compared to retention of 90% in the prior year period. Client retention was lower primarily due to continued cost pressures among institutional asset managers and sell-side clients. As of May 31, 2020, our largest individual client accounted for just above 2.5% of total subscriptions, and annual subscriptions from our ten largest clients did not surpass 15% of total client subscriptions.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Returning Value to Stockholders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5, 2020, FactSet’s Board of Directors approved a 7% increase in the regular quarterly dividend from $0.72 to $0.77 per share. The cash dividend of $29.0 million was paid on June 18, 2020 to common stockholders of record at the close of business on May 29, 2020. We repurchased 46,636 shares of common stock for $12.4 million during the third quarter of fiscal 2020 under our existing share repurchase program. For the nine months ended May 31, 2020, we returned $252.4 million to stockholders in the form of share repurchases and dividends. Over the last 12 months, we returned $341.8 million to stockholders in the form of share repurchases and dividends.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24, 2020, our Board of Directors approved a $220.0 million increase to the existing share repurchase program. As a result of this expansion, $287.6 million is available for future share repurchases as of May 31,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Capital expenditures in the third quarter of fiscal 2020 were $11.0 million, compared to $11.4 million in the prior year period. Capital expenditures of $5.9 million, or 54%, were related to facilities investments, primarily for the build-out of our new corporate headquarters in Norwalk, Connecticut and office space in the Philippines. The remainder of our capital expenditures, $5.1 million, was primarily related to investment in technology and development costs related to internal-use software.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an understanding of the significant factors that influenced our performance for the three and nine months ended May 31, 2020 and May 31, 2019, the following discussion should be read in conjunction with the consolidated financial statements and related notes presented in this Quarterly Report on Form 10-Q.</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Three Months Ended May 31,</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Nine Months Ended May 31,</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0"/>
                <w:szCs w:val="20"/>
                <w:color w:val="auto"/>
              </w:rPr>
            </w:pPr>
          </w:p>
        </w:tc>
        <w:tc>
          <w:tcPr>
            <w:tcW w:w="1260" w:type="dxa"/>
            <w:vAlign w:val="bottom"/>
          </w:tcPr>
          <w:p>
            <w:pPr>
              <w:jc w:val="right"/>
              <w:ind w:right="630"/>
              <w:spacing w:after="0"/>
              <w:rPr>
                <w:sz w:val="20"/>
                <w:szCs w:val="20"/>
                <w:color w:val="auto"/>
              </w:rPr>
            </w:pPr>
            <w:r>
              <w:rPr>
                <w:rFonts w:ascii="Arial" w:cs="Arial" w:eastAsia="Arial" w:hAnsi="Arial"/>
                <w:sz w:val="18"/>
                <w:szCs w:val="18"/>
                <w:color w:val="auto"/>
              </w:rPr>
              <w:t>2019</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Change</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0"/>
                <w:szCs w:val="20"/>
                <w:color w:val="auto"/>
              </w:rPr>
            </w:pPr>
          </w:p>
        </w:tc>
        <w:tc>
          <w:tcPr>
            <w:tcW w:w="126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Change</w:t>
            </w:r>
          </w:p>
        </w:tc>
        <w:tc>
          <w:tcPr>
            <w:tcW w:w="180" w:type="dxa"/>
            <w:vAlign w:val="bottom"/>
          </w:tcPr>
          <w:p>
            <w:pPr>
              <w:spacing w:after="0"/>
              <w:rPr>
                <w:sz w:val="20"/>
                <w:szCs w:val="20"/>
                <w:color w:val="auto"/>
              </w:rPr>
            </w:pPr>
          </w:p>
        </w:tc>
      </w:tr>
      <w:tr>
        <w:trPr>
          <w:trHeight w:val="27"/>
        </w:trPr>
        <w:tc>
          <w:tcPr>
            <w:tcW w:w="3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374,083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364,533</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1,110,521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1,071,068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170,703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163,832</w:t>
            </w: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511,878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495,716</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3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81,740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83,461</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257,560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248,885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121,640</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117,240</w:t>
            </w: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341,083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326,467</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3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101,216</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92,265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283,859</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261,263</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2.63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2.37</w:t>
            </w: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7.36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6.73</w:t>
            </w:r>
          </w:p>
        </w:tc>
        <w:tc>
          <w:tcPr>
            <w:tcW w:w="60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3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38,481</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38,993</w:t>
            </w:r>
          </w:p>
        </w:tc>
        <w:tc>
          <w:tcPr>
            <w:tcW w:w="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38,548</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38,807</w:t>
            </w: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7"/>
        </w:trPr>
        <w:tc>
          <w:tcPr>
            <w:tcW w:w="3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2020 compared to three months ended May 31, 2019</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for the three months ended May 31, 2020 was $374.1 million, an increase of 2.6%, consistent with the organic revenue increase of 2.6% compared to the prior year period. The increase in revenue was due to growth across all our operating segments for the three months ended May 31, 2020 compared to the prior year period, with the majority of the increase in revenue driven by the Americas, as well as the benefit from our annual price increase, partially offset by cancellations.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2020 compared to nine months ended May 31, 2019</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for the nine months ended May 31, 2020 was $1,110.5 million, an increase of 3.7%, comparable with the organic revenue increase of 3.6% over the same period a year ago. The increase in revenue was due to growth across all our operating segments for the nine months ended May 31, 2020 compared to the prior year period, with the increase in revenue primarily related to the Americas and the benefit from our annual price increase, partially offset by cancellations.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Revenue by Operating Segment</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60" w:type="dxa"/>
            <w:vAlign w:val="bottom"/>
            <w:gridSpan w:val="5"/>
          </w:tcPr>
          <w:p>
            <w:pPr>
              <w:ind w:left="580"/>
              <w:spacing w:after="0"/>
              <w:rPr>
                <w:sz w:val="20"/>
                <w:szCs w:val="20"/>
                <w:color w:val="auto"/>
              </w:rPr>
            </w:pPr>
            <w:r>
              <w:rPr>
                <w:rFonts w:ascii="Arial" w:cs="Arial" w:eastAsia="Arial" w:hAnsi="Arial"/>
                <w:sz w:val="18"/>
                <w:szCs w:val="18"/>
                <w:color w:val="auto"/>
                <w:w w:val="91"/>
              </w:rPr>
              <w:t>Three Months Ended May 31,</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0" w:type="dxa"/>
            <w:vAlign w:val="bottom"/>
            <w:gridSpan w:val="3"/>
          </w:tcPr>
          <w:p>
            <w:pPr>
              <w:jc w:val="right"/>
              <w:spacing w:after="0"/>
              <w:rPr>
                <w:sz w:val="20"/>
                <w:szCs w:val="20"/>
                <w:color w:val="auto"/>
              </w:rPr>
            </w:pPr>
            <w:r>
              <w:rPr>
                <w:rFonts w:ascii="Arial" w:cs="Arial" w:eastAsia="Arial" w:hAnsi="Arial"/>
                <w:sz w:val="18"/>
                <w:szCs w:val="18"/>
                <w:color w:val="auto"/>
              </w:rPr>
              <w:t>Nine Months Ended May 31,</w:t>
            </w: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
        </w:trPr>
        <w:tc>
          <w:tcPr>
            <w:tcW w:w="3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5"/>
              </w:rPr>
              <w:t>Change</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0"/>
                <w:szCs w:val="20"/>
                <w:color w:val="auto"/>
              </w:rPr>
            </w:pPr>
          </w:p>
        </w:tc>
        <w:tc>
          <w:tcPr>
            <w:tcW w:w="1320" w:type="dxa"/>
            <w:vAlign w:val="bottom"/>
          </w:tcPr>
          <w:p>
            <w:pPr>
              <w:jc w:val="right"/>
              <w:ind w:right="630"/>
              <w:spacing w:after="0"/>
              <w:rPr>
                <w:sz w:val="20"/>
                <w:szCs w:val="20"/>
                <w:color w:val="auto"/>
              </w:rPr>
            </w:pPr>
            <w:r>
              <w:rPr>
                <w:rFonts w:ascii="Arial" w:cs="Arial" w:eastAsia="Arial" w:hAnsi="Arial"/>
                <w:sz w:val="18"/>
                <w:szCs w:val="18"/>
                <w:color w:val="auto"/>
              </w:rPr>
              <w:t>2019</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Change</w:t>
            </w:r>
          </w:p>
        </w:tc>
        <w:tc>
          <w:tcPr>
            <w:tcW w:w="180" w:type="dxa"/>
            <w:vAlign w:val="bottom"/>
          </w:tcPr>
          <w:p>
            <w:pPr>
              <w:spacing w:after="0"/>
              <w:rPr>
                <w:sz w:val="20"/>
                <w:szCs w:val="20"/>
                <w:color w:val="auto"/>
              </w:rPr>
            </w:pPr>
          </w:p>
        </w:tc>
      </w:tr>
      <w:tr>
        <w:trPr>
          <w:trHeight w:val="27"/>
        </w:trPr>
        <w:tc>
          <w:tcPr>
            <w:tcW w:w="3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230,992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226,961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695,053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672,479</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400" w:type="dxa"/>
            <w:vAlign w:val="bottom"/>
          </w:tcPr>
          <w:p>
            <w:pPr>
              <w:ind w:left="680"/>
              <w:spacing w:after="0"/>
              <w:rPr>
                <w:sz w:val="20"/>
                <w:szCs w:val="20"/>
                <w:color w:val="auto"/>
              </w:rPr>
            </w:pPr>
            <w:r>
              <w:rPr>
                <w:rFonts w:ascii="Arial" w:cs="Arial" w:eastAsia="Arial" w:hAnsi="Arial"/>
                <w:sz w:val="18"/>
                <w:szCs w:val="18"/>
                <w:i w:val="1"/>
                <w:iCs w:val="1"/>
                <w:color w:val="auto"/>
              </w:rPr>
              <w:t>% of revenue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61.7 %</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62.3 %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62.6 %</w:t>
            </w:r>
          </w:p>
        </w:tc>
        <w:tc>
          <w:tcPr>
            <w:tcW w:w="32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i w:val="1"/>
                <w:iCs w:val="1"/>
                <w:color w:val="auto"/>
              </w:rPr>
              <w:t>62.8 %</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105,420</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102,499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308,355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299,197</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3400" w:type="dxa"/>
            <w:vAlign w:val="bottom"/>
          </w:tcPr>
          <w:p>
            <w:pPr>
              <w:ind w:left="680"/>
              <w:spacing w:after="0"/>
              <w:rPr>
                <w:sz w:val="20"/>
                <w:szCs w:val="20"/>
                <w:color w:val="auto"/>
              </w:rPr>
            </w:pPr>
            <w:r>
              <w:rPr>
                <w:rFonts w:ascii="Arial" w:cs="Arial" w:eastAsia="Arial" w:hAnsi="Arial"/>
                <w:sz w:val="18"/>
                <w:szCs w:val="18"/>
                <w:i w:val="1"/>
                <w:iCs w:val="1"/>
                <w:color w:val="auto"/>
              </w:rPr>
              <w:t>% of revenue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28.2 %</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28.1 %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27.8 %</w:t>
            </w:r>
          </w:p>
        </w:tc>
        <w:tc>
          <w:tcPr>
            <w:tcW w:w="32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i w:val="1"/>
                <w:iCs w:val="1"/>
                <w:color w:val="auto"/>
              </w:rPr>
              <w:t>27.9 %</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37,671</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35,073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107,113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99,392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400" w:type="dxa"/>
            <w:vAlign w:val="bottom"/>
          </w:tcPr>
          <w:p>
            <w:pPr>
              <w:ind w:left="660"/>
              <w:spacing w:after="0"/>
              <w:rPr>
                <w:sz w:val="20"/>
                <w:szCs w:val="20"/>
                <w:color w:val="auto"/>
              </w:rPr>
            </w:pPr>
            <w:r>
              <w:rPr>
                <w:rFonts w:ascii="Arial" w:cs="Arial" w:eastAsia="Arial" w:hAnsi="Arial"/>
                <w:sz w:val="18"/>
                <w:szCs w:val="18"/>
                <w:i w:val="1"/>
                <w:iCs w:val="1"/>
                <w:color w:val="auto"/>
              </w:rPr>
              <w:t>% of revenue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10.1 %</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9.6 %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9.6 %</w:t>
            </w:r>
          </w:p>
        </w:tc>
        <w:tc>
          <w:tcPr>
            <w:tcW w:w="32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i w:val="1"/>
                <w:iCs w:val="1"/>
                <w:color w:val="auto"/>
              </w:rPr>
              <w:t>9.3 %</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34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Consolidated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374,083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364,533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1,110,521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1,071,068</w:t>
            </w: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2020 compared to three months ended May 31, 2019</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our Americas segment increased 1.8% to $231.0 million during the three months ended May 31, 2020, compared to $227.0 million from the same period a year ago. This revenue growth was due mainly to increased sales of products and solutions to clients primarily in Analytics and Trading, followed by CTS and Wealth, along with the benefit from our annual price increase, partially offset by cancellations. Organic revenue in the Americas also increased 1.8% compared to the same period a year ago. Revenue from our Americas operations accounted for 61.7% of our consolidated revenue for the three months ended May 31, 2020 compared to 62.3% in the prior year period.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EMEA revenue increased 2.8% to $105.4 million during the three months ended May 31, 2020, compared to $102.5 million from the same period a year ago. This revenue growth was mainly due to increased sales of products and solutions to clients primarily in Analytics and Trading and CTS, partially offset by cancellations. The EMEA organic revenue growth rate was 3.0% for the three months ended May 31, 2020, compared to the same period a year ago. Foreign currency exchange rate fluctuations decreased our EMEA revenue growth rate by 20 basis points.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Asia Pacific revenue increased 7.4% to $37.7 million during the three months ended May 31, 2020, compared to $35.1 million from the same period a year ago. This revenue growth was due mainly to increased sales of products and solutions to clients primarily in Analytics and Trading, CTS and Research, partially offset by cancellations. Asia Pacific organic revenue increased 7.0% for the three months ended May 31, 2020, compared to the same period a year ago. Foreign currency exchange rate fluctuations increased our Asia Pacific revenue growth rate by 40 basis points.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2020 compared to nine months ended May 31, 2019</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our Americas segment increased 3.4% to $695.1 million during the nine months ended May 31, 2020, compared to $672.5 million from the same period a year ago. This revenue growth was due mainly to increased sales of products and solutions to clients primarily in Analytics and Trading, CTS and Wealth, partially offset by cancellations. Organic revenue in the Americas increased 3.3% compared to the same period a year ago. Revenue from our Americas operations accounted for 62.6% of our consolidated revenue for the nine months ended May 31, 2020, compared to 62.8% in the prior year period.</w:t>
      </w: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EMEA revenue increased 3.1% to $308.4 million during the nine months ended May 31, 2020, compared to $299.2 million from the same period a year ago. This revenue growth was due mainly to increased sales of products and solutions to clients primarily in Analytics and Trading and CTS, partially offset by cancellations. The EMEA organic revenue growth rate was 3.0% for the nine months ended May 31, 2020, compared to the same period a year ago. Foreign currency exchange rate fluctuations decreased our EMEA revenue growth rate by 10 basis points.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Asia Pacific revenue increased 7.8% to $107.1 million during the nine months ended May 31, 2020, compared to $99.4 million from the same period a year ago. This revenue growth was due mainly to increased sales of products and solutions to clients primarily in Analytics and Trading, CTS and Research, partially offset by cancellations. Asia Pacific organic revenue increased 7.6% for the nine months ended May 31, 2020, compared to the same period a year ago. Foreign currency exchange rate fluctuations increased our Asia Pacific revenue growth rate by 20 basis points.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Workflow Solution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2020 compared to three months ended May 31, 2019</w:t>
      </w:r>
    </w:p>
    <w:p>
      <w:pPr>
        <w:spacing w:after="0" w:line="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revenue growth of 2.6% across our operating segments for the three months ended May 31, 2020 compared to the same period a year ago was primarily driven by Analytics and Trading, CTS, and Wealth, along with the benefit from our annual price increase. Revenue growth from Analytics and Trading was primarily due to increased demand for our risk management, portfolio analytics and reporting solutions. The growth in CTS was driven mainly by increased sales of core and premium data feeds. Wealth also experienced growth mainly due to higher sales of our traditional and web-based workstation product. Offsetting these positive growth factors were cancellations resulting from continued industry-wide cost pressures and firm consolidations.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2020 compared to nine months ended May 31, 2019</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revenue growth of 3.7% across our operating segments for the nine months ended May 31, 2020 compared to the same period a year ago was primarily driven by Analytics and Trading, CTS, and Wealth, along with the benefit from our annual price increase. Revenue growth from Analytics and Trading was mainly due to increased sales of risk and portfolio analytics products. CTS revenue growth was driven mainly by increased sales of core and premium data feeds. The revenue growth from Wealth was primarily due to higher sales of our traditional and web-based workstation product. Offsetting these positive growth factors were cancellations resulting from continued industry-wide cost pressures and firm consolidations.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2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980" w:type="dxa"/>
            <w:vAlign w:val="bottom"/>
            <w:gridSpan w:val="4"/>
          </w:tcPr>
          <w:p>
            <w:pPr>
              <w:ind w:left="720"/>
              <w:spacing w:after="0"/>
              <w:rPr>
                <w:sz w:val="20"/>
                <w:szCs w:val="20"/>
                <w:color w:val="auto"/>
              </w:rPr>
            </w:pPr>
            <w:r>
              <w:rPr>
                <w:rFonts w:ascii="Arial" w:cs="Arial" w:eastAsia="Arial" w:hAnsi="Arial"/>
                <w:sz w:val="18"/>
                <w:szCs w:val="18"/>
                <w:color w:val="auto"/>
                <w:w w:val="94"/>
              </w:rPr>
              <w:t>Three Months Ended May 31,</w:t>
            </w: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620"/>
              <w:spacing w:after="0"/>
              <w:rPr>
                <w:sz w:val="20"/>
                <w:szCs w:val="20"/>
                <w:color w:val="auto"/>
              </w:rPr>
            </w:pPr>
            <w:r>
              <w:rPr>
                <w:rFonts w:ascii="Arial" w:cs="Arial" w:eastAsia="Arial" w:hAnsi="Arial"/>
                <w:sz w:val="18"/>
                <w:szCs w:val="18"/>
                <w:color w:val="auto"/>
                <w:w w:val="95"/>
              </w:rPr>
              <w:t>Nine Months Ended May 31,</w:t>
            </w: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
        </w:trPr>
        <w:tc>
          <w:tcPr>
            <w:tcW w:w="2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29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Change</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Change</w:t>
            </w:r>
          </w:p>
        </w:tc>
        <w:tc>
          <w:tcPr>
            <w:tcW w:w="180" w:type="dxa"/>
            <w:vAlign w:val="bottom"/>
          </w:tcPr>
          <w:p>
            <w:pPr>
              <w:spacing w:after="0"/>
              <w:rPr>
                <w:sz w:val="20"/>
                <w:szCs w:val="20"/>
                <w:color w:val="auto"/>
              </w:rPr>
            </w:pPr>
          </w:p>
        </w:tc>
      </w:tr>
      <w:tr>
        <w:trPr>
          <w:trHeight w:val="27"/>
        </w:trPr>
        <w:tc>
          <w:tcPr>
            <w:tcW w:w="2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170,703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163,832</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511,878</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495,716</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81,740</w:t>
            </w:r>
          </w:p>
        </w:tc>
        <w:tc>
          <w:tcPr>
            <w:tcW w:w="40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83,461</w:t>
            </w:r>
          </w:p>
        </w:tc>
        <w:tc>
          <w:tcPr>
            <w:tcW w:w="280" w:type="dxa"/>
            <w:vAlign w:val="bottom"/>
          </w:tcPr>
          <w:p>
            <w:pPr>
              <w:spacing w:after="0"/>
              <w:rPr>
                <w:sz w:val="21"/>
                <w:szCs w:val="21"/>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1"/>
                <w:szCs w:val="21"/>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257,560</w:t>
            </w:r>
          </w:p>
        </w:tc>
        <w:tc>
          <w:tcPr>
            <w:tcW w:w="40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248,885</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2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3"/>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252,443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247,293</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769,438</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744,601</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70"/>
        </w:trPr>
        <w:tc>
          <w:tcPr>
            <w:tcW w:w="2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121,640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117,240</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341,083</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326,467</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2920" w:type="dxa"/>
            <w:vAlign w:val="bottom"/>
          </w:tcPr>
          <w:p>
            <w:pPr>
              <w:ind w:left="120"/>
              <w:spacing w:after="0"/>
              <w:rPr>
                <w:sz w:val="20"/>
                <w:szCs w:val="20"/>
                <w:color w:val="auto"/>
              </w:rPr>
            </w:pPr>
            <w:r>
              <w:rPr>
                <w:rFonts w:ascii="Arial" w:cs="Arial" w:eastAsia="Arial" w:hAnsi="Arial"/>
                <w:sz w:val="18"/>
                <w:szCs w:val="18"/>
                <w:i w:val="1"/>
                <w:iCs w:val="1"/>
                <w:color w:val="auto"/>
              </w:rPr>
              <w:t>Operating Margin</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i w:val="1"/>
                <w:iCs w:val="1"/>
                <w:color w:val="auto"/>
              </w:rPr>
              <w:t>32.5 %</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32.2 %</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30.7 %</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30.5 %</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2020 compared to three months ended May 31, 2019</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three months ended May 31, 2020, cost of services increased 4.2% to $170.7 million compared to $163.8 million in the same period a year ago, primarily due to an increase in computer-related expenses. Cost of services, when expressed as a percentage of revenue, was 45.6% during the third quarter of fiscal 2020, an increase of 70 basis points compared to the same period a year ago. This increase was primarily due to an increase in computer-related expenses, partially offset by a reduction in compensation costs, when expressed as a percentage of revenue.</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Computer-related expenses, as a percentage of revenue, increased 120 basis points, primarily driven by increased technology investments including cloud-based hosting and licensed software arrangements. Employee compensation expense, when expressed as a percentage of revenue, decreased 50 basis points in the third quarter of fiscal 2020, compared to the same period a year ago. This decrease in employee compensation expense was primarily driven by higher capitalization of compensation costs related to development of our internal-use software projects, as well as a shift in headcount distribution from higher to lower cost locations. This employee compensation expense decrease was partially offset by higher annual base salaries, a net increase in employee headcount, with the majority of the compensation from new employee headcount included in cost of services, and a higher vacation accrual expense.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2020 compared to nine months ended May 31, 2019</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For the nine months ended May 31, 2020, cost of services increased 3.3% to $511.9 million compared to $495.7 million in the same period a year ago, primarily due to an increase in computer-related expenses and stock-based compensation. Cost of services, when expressed as a percentage of revenue, was 46.1% for the nine months ended May 31, 2020, a decrease of 20 basis points compared to the same period a year ago. This decrease was primarily driven by a reduction in employee compensation, partially offset by higher computer-related expenses, when expressed as a percentage of revenue.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Employee compensation expense, when expressed as a percentage of revenue, decreased 110 basis points, primarily driven by higher capitalization of compensation costs related to development of our internal-use software projects, as well as a shift in headcount distribution from higher to lower cost locations. This employee compensation expense decrease was partially offset by higher annual base salaries, a net increase in employee headcount of 699 employees, with the majority of the compensation from new employee headcount included in cost of services, and higher vacation accrual expense. Computer-related expenses, when expressed as a percentage of revenue, increased 120 basis points, primarily driven by increased technology investments including cloud-based hosting and licensed software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2020 compared to three months ended May 31, 2019</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three months ended May 31, 2020, SG&amp;A expenses decreased 2.1% to $81.7 million, compared to $83.5 million for the same period a year ago, primarily due to a decrease in non-compensatory employee related expenses, partially offset by an increase in compensation expense. SG&amp;A expenses, expressed as a percentage of revenue, were 21.9% during the third quarter of fiscal 2020, a decrease of 100 basis points over the prior year period. When expressed as a percentage of revenue, this decrease was primarily driven by a decrease in non-compensatory employee related expenses and bad debt expense, partially offset by an increase in employee compensation expense including stock-based compensation.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Non-compensatory employee related expenses, inclusive of travel, entertainment and office expenses, when expressed as a percentage of revenue, decreased 170 basis points mainly due to restrictions and impacts related to the COVID-19 pandemic. Bad debt decreased 40 basis points, compared to the prior year period, when expressed as a percentage of revenue. Employee compensation expense, including stock-based compensation, increased 80 basis points, when expressed as a percentage of revenue, due to higher annual base salaries, a net increase in employee headcount, higher vacation accrual expense, and incremental employee-based stock grants.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2020 compared to nine months ended May 31, 2019</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nine months ended May 31, 2020, SG&amp;A expenses increased 3.5% to $257.6 million, compared to $248.9 million for the same period a year ago, primarily due to an increase in employee compensation, professional fees, the effects of foreign currency fluctuations, and occupancy costs, partially offset by a decrease in non-compensatory employee related expenses and bad debt expense. SG&amp;A expenses, expressed as a percentage of revenue, were 23.2% for the nine months ended May 31, 2020, consistent with the prior year period. An increase in professional fees and employee compensation expense, partially offset by a decrease in non-compensatory employee related expenses and bad debt expense, attributed to the consistent year over year SG&amp;A costs, when expressed as a percentage of revenue.</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Professional fees, when expressed as a percentage of revenue, increased 40 basis points in support of our technology plan and business transformation activities. Employee compensation expense, when expressed as a percentage of revenue, increased 30 basis points, primarily driven by higher annual base salaries, a net increase in employee headcount and higher vacation accrual expense. Non-compensatory employee related expenses, inclusive of travel, entertainment and office expenses, when expressed as a percentage of revenue, decreased 90 basis points mainly due to restrictions and impacts related to the COVID-19 pandemic. Bad debt decreased 50 basis points compared to the prior year period when expressed as a percentage of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2020 compared to three months ended May 31, 2019</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income increased 3.8% to $121.6 million for the three months ended May 31, 2020 compared to $117.2 million in the prior year period. Operating income increased due to higher revenue and a reduction in non-compensatory employee related expenses, partially offset by an increase in computer-related expenses and employee compensation expense compared to the prior year period. The impact of foreign currency increased operating income by $1.5 million year over year. Operating margin increased to 32.5% during the third quarter of fiscal 2020 compared to 32.2% in the prior year period. The increase in operating margin on a year-over-year basis was primarily due to a decrease in non-compensatory employee related expenses and bad debt expense, partially offset by an increase in computer-related expenses and employee compensation expense including stock-based compensation, when expressed as a percentage of revenue.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2020 compared to nine months ended May 31, 2019</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Operating income increased 4.5% to $341.1 million for the nine months ended May 31, 2020 compared to $326.5 million in the prior year period. Operating income increased due to increased revenue and a reduction in non-compensatory employee related expenses and bad debt expense, partially offset by an increase in computer-related expenses, employee compensation expense including stock-based compensation, and professional fees. The impact of foreign currency increased operating income by $2.7 million year over year. Operating margin increased to 30.7% for the nine months ended May 31, 2020 compared to 30.5% in the prior year period. The increase in operating margin on a year-over-year basis was primarily due to revenue growth and a reduction in non-compensatory employee related costs, employee compensation expense and bad debt expense, partially offset by an increase in computer-related expenses and professional fees, when expressed as a percentage of revenue.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18"/>
                <w:szCs w:val="18"/>
                <w:b w:val="1"/>
                <w:bCs w:val="1"/>
                <w:i w:val="1"/>
                <w:iCs w:val="1"/>
                <w:color w:val="auto"/>
              </w:rPr>
              <w:t>Operating Income by Segment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0"/>
        </w:trPr>
        <w:tc>
          <w:tcPr>
            <w:tcW w:w="2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40" w:type="dxa"/>
            <w:vAlign w:val="bottom"/>
            <w:gridSpan w:val="4"/>
          </w:tcPr>
          <w:p>
            <w:pPr>
              <w:jc w:val="right"/>
              <w:ind w:right="20"/>
              <w:spacing w:after="0"/>
              <w:rPr>
                <w:sz w:val="20"/>
                <w:szCs w:val="20"/>
                <w:color w:val="auto"/>
              </w:rPr>
            </w:pPr>
            <w:r>
              <w:rPr>
                <w:rFonts w:ascii="Arial" w:cs="Arial" w:eastAsia="Arial" w:hAnsi="Arial"/>
                <w:sz w:val="18"/>
                <w:szCs w:val="18"/>
                <w:color w:val="auto"/>
              </w:rPr>
              <w:t>Three Months Ended May 31,</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60" w:type="dxa"/>
            <w:vAlign w:val="bottom"/>
            <w:gridSpan w:val="4"/>
          </w:tcPr>
          <w:p>
            <w:pPr>
              <w:ind w:left="720"/>
              <w:spacing w:after="0"/>
              <w:rPr>
                <w:sz w:val="20"/>
                <w:szCs w:val="20"/>
                <w:color w:val="auto"/>
              </w:rPr>
            </w:pPr>
            <w:r>
              <w:rPr>
                <w:rFonts w:ascii="Arial" w:cs="Arial" w:eastAsia="Arial" w:hAnsi="Arial"/>
                <w:sz w:val="18"/>
                <w:szCs w:val="18"/>
                <w:color w:val="auto"/>
                <w:w w:val="93"/>
              </w:rPr>
              <w:t>Nine Months Ended May 31,</w:t>
            </w: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
        </w:trPr>
        <w:tc>
          <w:tcPr>
            <w:tcW w:w="2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w w:val="85"/>
              </w:rPr>
              <w:t>Change</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91"/>
              </w:rPr>
              <w:t>Change</w:t>
            </w:r>
          </w:p>
        </w:tc>
        <w:tc>
          <w:tcPr>
            <w:tcW w:w="200" w:type="dxa"/>
            <w:vAlign w:val="bottom"/>
          </w:tcPr>
          <w:p>
            <w:pPr>
              <w:spacing w:after="0"/>
              <w:rPr>
                <w:sz w:val="20"/>
                <w:szCs w:val="20"/>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54,019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51,012</w:t>
            </w:r>
          </w:p>
        </w:tc>
        <w:tc>
          <w:tcPr>
            <w:tcW w:w="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144,952</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140,549</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43,638</w:t>
            </w:r>
          </w:p>
        </w:tc>
        <w:tc>
          <w:tcPr>
            <w:tcW w:w="42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44,793</w:t>
            </w:r>
          </w:p>
        </w:tc>
        <w:tc>
          <w:tcPr>
            <w:tcW w:w="460" w:type="dxa"/>
            <w:vAlign w:val="bottom"/>
          </w:tcPr>
          <w:p>
            <w:pPr>
              <w:spacing w:after="0"/>
              <w:rPr>
                <w:sz w:val="21"/>
                <w:szCs w:val="21"/>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127,520</w:t>
            </w:r>
          </w:p>
        </w:tc>
        <w:tc>
          <w:tcPr>
            <w:tcW w:w="4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127,130</w:t>
            </w:r>
          </w:p>
        </w:tc>
        <w:tc>
          <w:tcPr>
            <w:tcW w:w="4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2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23,983</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21,435</w:t>
            </w:r>
          </w:p>
        </w:tc>
        <w:tc>
          <w:tcPr>
            <w:tcW w:w="4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68,611</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58,788</w:t>
            </w: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282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121,640</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117,240</w:t>
            </w: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341,083</w:t>
            </w:r>
          </w:p>
        </w:tc>
        <w:tc>
          <w:tcPr>
            <w:tcW w:w="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326,467</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904"/>
        </w:trPr>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operating segments are aligned with how we manage the business, the geographic markets we serve, and how our chief operating decision maker ("CODM") assesses performance. Our internal financial reporting structure is based on three reportable segments, the Americas, EMEA and Asia Pacific, which we believe helps us better manage the business and view the markets we serve. Sales, consulting, data collection, product development and software engineering are the primary functional groups within each segment. Each segment records its respective compensation expense, including stock-based compensation, amortization of intangible assets, depreciation of furniture and fixtures, amortization of leasehold improvements, communication costs, professional fees, rent expense, travel, office and other direct expenses. Expenditures associated with our data centers, third-party data costs and corporate headquarters charges are recorded by the Americas segment and are not allocated to the other segments. The centers of excellence, located in India and the Philippines, primarily focus on content collection that benefit all our segments. The expenses incurred at these locations are allocated to each segment based on a percentage of revenue.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2020 compared to three months ended May 31, 2019</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Americas operating income increased 5.9% to $54.0 million during the three months ended May 31, 2020 compared to $51.0 million in the same period a year ago. The increase in Americas operating income was primarily due to revenue growth of 1.8%, inclusive of our annual price increase, a decrease in non-compensatory employee related expenses, and a decrease in employee compensation expense, partially offset by an increase in computer-related expenses. Non-compensatory employee related expenses, inclusive of travel, entertainment and office expenses, decreased mainly due to restrictions and impacts related to the COVID-19 pandemic. Employee compensation expense decreased mainly due to higher capitalization of compensation costs related to development of our internal-use software projects. This decrease in employee compensation expense was partially offset by annual base salary increases year-over-year, a net increase in employee headcount, higher vacation accrual expense and incremental employee-based stock grants. Computer-related expenses increased primarily due to increased technology investments including costs from cloud-based hosting and licensed software arrangements.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EMEA operating income decreased 2.6% to $43.6 million during the three months ended May 31, 2020 compared to $44.8 million in the same period a year ago. The decrease in EMEA operating income was primarily due to an increase in employee compensation expense partially offset by revenue growth of 2.8%, inclusive of our annual price increase. The impact of foreign currency increased operating income by $1.5 million year over year. Employee compensation expense increased due to higher vacation accrual expense, a net increase in employee headcount and annual base salary increases year-over-year.</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Asia Pacific operating income increased 11.9% to $24.0 million during the three months ended May 31, 2020, compared to $21.4 million in the same period a year ago. The increase in the Asia Pacific operating income was mainly due to revenue growth of 7.4%, inclusive of our annual price increase, and a decrease in non-compensatory employee related expenses, partially offset by an increase in employee compensation expense. Non-compensatory employee related expenses, inclusive of travel, entertainment and office expenses, decreased mainly due to restrictions and impacts related to the COVID-19 pandemic. Employee compensation expense increased mainly due to a net increase in employee headcount and annual base salary increases year-over-year.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2020 compared to nine months ended May 31, 2019</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Americas operating income increased 3.1% to $145.0 million during the nine months ended May 31, 2020 compared to $140.5 million in the same period a year ago. The increase in Americas operating income was primarily due to revenue growth of 3.4%, inclusive of our annual price increase, and decreases in bad debt expense, non-compensatory employee related costs, and employee compensation expense, partially offset by an increase in computer-related expenses and professional fees. Non-compensatory employee related expenses, inclusive of travel, entertainment and office expenses, decreased mainly due to restrictions and impacts related to the COVID-19 pandemic. Employee compensation expense decreased mainly due to higher capitalization of compensation costs related to development of our internal-use software projects. This decrease in employee compensation expense was partially offset by higher annual base salaries, a net increase in employee headcount of 3.9% over the past 12 months, higher vacation accrual expense and incremental employee-based stock grants. Computer-related expenses increased primarily due to increased technology investments including costs from cloud-based hosting and licensed software arrangements. Professional fees increased to support our technology investment plan and business transformation activities.</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EMEA operating income increased 0.3% to $127.5 million during the nine months ended May 31, 2020 compared to $127.1 million in the same period a year ago. The increase in EMEA operating income was primarily due to revenue growth of 3.1%, inclusive of our annual price increase, partially offset by an increase in employee compensation expense. The impact of foreign currency increased operating income by $4.8 million year over year. Employee compensation increased primarily due to higher vacation accrual expense, a net increase in employee headcount of 6.7% over the past 12 months and annual base salary increases year-over-year.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Asia Pacific operating income increased 16.7% to $68.6 million during the nine months ended May 31, 2020, compared to $58.8 million in the same period a year ago. The increase in Asia Pacific operating income was mainly due to revenue growth of 7.8%, inclusive of our annual price increase, partially offset by an increase in employee compensation expense and occupancy costs. The impact of foreign currency decreased operating income by $2.3 million year over year. Employee compensation expense increased as a result of a 9.0% increase in our Asia Pacific workforce in the last 12 months and annual base salary increases year-over-year. Occupancy costs increased mainly due to facility costs in the Philippines.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0"/>
              </w:rPr>
              <w:t>Income Taxes, Net Income and Diluted Earnings per Share</w:t>
            </w: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0"/>
        </w:trPr>
        <w:tc>
          <w:tcPr>
            <w:tcW w:w="3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60" w:type="dxa"/>
            <w:vAlign w:val="bottom"/>
            <w:gridSpan w:val="4"/>
          </w:tcPr>
          <w:p>
            <w:pPr>
              <w:jc w:val="right"/>
              <w:ind w:right="550"/>
              <w:spacing w:after="0"/>
              <w:rPr>
                <w:sz w:val="20"/>
                <w:szCs w:val="20"/>
                <w:color w:val="auto"/>
              </w:rPr>
            </w:pPr>
            <w:r>
              <w:rPr>
                <w:rFonts w:ascii="Arial" w:cs="Arial" w:eastAsia="Arial" w:hAnsi="Arial"/>
                <w:sz w:val="18"/>
                <w:szCs w:val="18"/>
                <w:color w:val="auto"/>
              </w:rPr>
              <w:t>Three Months Ended May 31,</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760" w:type="dxa"/>
            <w:vAlign w:val="bottom"/>
            <w:gridSpan w:val="3"/>
          </w:tcPr>
          <w:p>
            <w:pPr>
              <w:jc w:val="right"/>
              <w:spacing w:after="0"/>
              <w:rPr>
                <w:sz w:val="20"/>
                <w:szCs w:val="20"/>
                <w:color w:val="auto"/>
              </w:rPr>
            </w:pPr>
            <w:r>
              <w:rPr>
                <w:rFonts w:ascii="Arial" w:cs="Arial" w:eastAsia="Arial" w:hAnsi="Arial"/>
                <w:sz w:val="18"/>
                <w:szCs w:val="18"/>
                <w:color w:val="auto"/>
              </w:rPr>
              <w:t>Nine Months Ended May 31,</w:t>
            </w: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
        </w:trPr>
        <w:tc>
          <w:tcPr>
            <w:tcW w:w="3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i w:val="1"/>
                <w:iCs w:val="1"/>
                <w:color w:val="auto"/>
                <w:w w:val="99"/>
              </w:rPr>
              <w:t>(in thousands, except for per share data)</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color w:val="auto"/>
              </w:rPr>
              <w:t>2019</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88"/>
              </w:rPr>
              <w:t>Change</w:t>
            </w:r>
          </w:p>
        </w:tc>
        <w:tc>
          <w:tcPr>
            <w:tcW w:w="200" w:type="dxa"/>
            <w:vAlign w:val="bottom"/>
          </w:tcPr>
          <w:p>
            <w:pPr>
              <w:spacing w:after="0"/>
              <w:rPr>
                <w:sz w:val="20"/>
                <w:szCs w:val="20"/>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r>
      <w:tr>
        <w:trPr>
          <w:trHeight w:val="243"/>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17,924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21,119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47,131</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52,413</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101,216</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92,265</w:t>
            </w: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283,859</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261,263</w:t>
            </w: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7.36</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6.73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2020 compared to three months ended May 31, 2019</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three months ended May 31, 2020, the provision for income taxes was $17.9 million, compared to $21.1 million from the same period a year ago. The provision decreased due mainly to a lower effective tax rate as of May 31, 2020 compared to the same period a year ago, primarily driven by higher research and development ("R&amp;D") tax credits and a higher foreign-derived intangible income ("FDII") deduction, coupled with the effect of applying the lower effective tax rate to the first half of fiscal 2020. The three months ended May 31, 2019 included a $5.8 million income tax expense from finalizing the prior year’s tax returns with no similar event for the three months ended May 31, 2020. The decrease to the provision was partially offset by increased income tax expense from higher operating income for the three months ended May 31, 2020 compared to the prior year period and $3.3 million in higher windfall tax benefits from stock-based compensation recognized during the three months ended May 31, 2019 compared to the three months ended May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2020 compared to nine months ended May 31, 2019</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the nine months ended May 31, 2020, the provision for income taxes was $47.1 million, compared to $52.4 million from the same period a year ago. The provision decreased due mainly to a lower effective tax rate as of May 31, 2020 compared to the same period a year ago, primarily driven by higher R&amp;D tax credits and a higher FDII deduction, coupled with the effect of applying the lower effective tax rate to the first half of fiscal 2020. The nine months ended May 31, 2019 included a $5.8 million tax expense from finalizing the prior year’s tax returns with no similar event for the nine months ended May 31, 2020. The decrease to the provision was partially offset by increased income tax expense from higher operating income for the nine months ended May 31, 2020 compared to the prior year period. The decrease to the provision was also offset by $3.3 million in higher windfall tax benefits from stock-based compensation recognized during the nine months ended May 31, 2019 compared to the nine months ended May 31, 2020 and an income tax benefit from the revision of the one-time transition tax permitted by the U.S. Tax Cuts and Jobs Act recognized during the nine months ended May 31,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 and Diluted Earnings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2020 compared to three months ended May 31, 2019</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Net income increased 9.7% to $101.2 million and diluted earnings per share ("EPS") increased 11.0% to $2.63 for the three months ended May 31, 2020, compared to the same period a year ago. Net income and diluted EPS increased primarily due to revenue growth outpacing the growth of operating expenses, a decrease in the income tax provision and reduced interest expense on a year-over-year basis. Interest expense decreased compared to the prior year period primarily due to a reduction in the LIBOR rate. Diluted EPS also benefited from a 0.5 million share reduction in our diluted weighted average shares outstanding, compared to the same period a year ago, mainly due to share repurchases, partially offset by the impact from stock option exercises.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2020 compared to nine months ended May 31, 2019</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Net income increased 8.6% to 283.9 million and diluted EPS increased 9.4% to $7.36 for the nine months ended May 31, 2020, compared to the same period a year ago. Net income and diluted EPS increased primarily due to revenue growth outpacing the growth of operating expenses, a decrease in the income tax provision and reduced interest expense on a year-over-year basis. Interest expense decreased compared to the prior year period, primarily due to a reduction in the LIBOR rate. Diluted EPS also benefited from a 0.3 million share reduction in our diluted weighted average shares outstanding, compared to the same period a year ago, mainly due to share repurchases, partially offset by the impact from stock option exercises.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the financial measures prepared in accordance with GAAP, we use non-GAAP financial measures including organic revenue, adjusted operating margin, adjusted net income and adjusted diluted earnings per share. The reconciliations of these non-GAAP financial measures to the most directly comparable financial measures calculated and presented in accordance with GAAP are show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that we do, limiting the usefulness of those measures for comparative purposes.</w:t>
      </w:r>
    </w:p>
    <w:p>
      <w:pPr>
        <w:spacing w:after="0" w:line="15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w w:val="98"/>
              </w:rPr>
              <w:t>The table below provides an unaudited reconciliation of revenue to organic revenue.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6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140" w:type="dxa"/>
            <w:vAlign w:val="bottom"/>
            <w:gridSpan w:val="4"/>
          </w:tcPr>
          <w:p>
            <w:pPr>
              <w:ind w:left="880"/>
              <w:spacing w:after="0"/>
              <w:rPr>
                <w:sz w:val="20"/>
                <w:szCs w:val="20"/>
                <w:color w:val="auto"/>
              </w:rPr>
            </w:pPr>
            <w:r>
              <w:rPr>
                <w:rFonts w:ascii="Arial" w:cs="Arial" w:eastAsia="Arial" w:hAnsi="Arial"/>
                <w:sz w:val="18"/>
                <w:szCs w:val="18"/>
                <w:color w:val="auto"/>
                <w:w w:val="94"/>
              </w:rPr>
              <w:t>Three Months Ended May 31,</w:t>
            </w: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
        </w:trPr>
        <w:tc>
          <w:tcPr>
            <w:tcW w:w="6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w w:val="98"/>
              </w:rPr>
              <w:t>Change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6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374,083</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364,533</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70"/>
        </w:trPr>
        <w:tc>
          <w:tcPr>
            <w:tcW w:w="6580" w:type="dxa"/>
            <w:vAlign w:val="bottom"/>
          </w:tcPr>
          <w:p>
            <w:pPr>
              <w:ind w:left="20"/>
              <w:spacing w:after="0"/>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18"/>
                <w:szCs w:val="18"/>
                <w:color w:val="auto"/>
                <w:vertAlign w:val="superscript"/>
              </w:rPr>
              <w:t>(1)</w:t>
            </w:r>
          </w:p>
        </w:tc>
        <w:tc>
          <w:tcPr>
            <w:tcW w:w="3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1,169</w:t>
            </w:r>
          </w:p>
        </w:tc>
        <w:tc>
          <w:tcPr>
            <w:tcW w:w="46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1,274</w:t>
            </w: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impact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w:t>
            </w:r>
          </w:p>
        </w:tc>
        <w:tc>
          <w:tcPr>
            <w:tcW w:w="4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6580" w:type="dxa"/>
            <w:vAlign w:val="bottom"/>
          </w:tcPr>
          <w:p>
            <w:pPr>
              <w:ind w:left="460"/>
              <w:spacing w:after="0"/>
              <w:rPr>
                <w:sz w:val="20"/>
                <w:szCs w:val="20"/>
                <w:color w:val="auto"/>
              </w:rPr>
            </w:pPr>
            <w:r>
              <w:rPr>
                <w:rFonts w:ascii="Arial" w:cs="Arial" w:eastAsia="Arial" w:hAnsi="Arial"/>
                <w:sz w:val="18"/>
                <w:szCs w:val="18"/>
                <w:color w:val="auto"/>
              </w:rPr>
              <w:t>Organic revenue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375,336</w:t>
            </w:r>
          </w:p>
        </w:tc>
        <w:tc>
          <w:tcPr>
            <w:tcW w:w="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365,807</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i w:val="1"/>
          <w:iCs w:val="1"/>
          <w:color w:val="auto"/>
        </w:rPr>
        <w:t>(1)</w:t>
        <w:tab/>
        <w:t>Deferred revenue fair value adjustment from purchase accounting.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table below provides an unaudited reconciliation of operating income, operating margin, net income and diluted EPS to adjusted operating income, adjusted operating margin, adjusted net income and adjusted diluted EPS.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gridSpan w:val="3"/>
          </w:tcPr>
          <w:p>
            <w:pPr>
              <w:jc w:val="right"/>
              <w:ind w:right="390"/>
              <w:spacing w:after="0"/>
              <w:rPr>
                <w:sz w:val="20"/>
                <w:szCs w:val="20"/>
                <w:color w:val="auto"/>
              </w:rPr>
            </w:pPr>
            <w:r>
              <w:rPr>
                <w:rFonts w:ascii="Arial" w:cs="Arial" w:eastAsia="Arial" w:hAnsi="Arial"/>
                <w:sz w:val="18"/>
                <w:szCs w:val="18"/>
                <w:color w:val="auto"/>
              </w:rPr>
              <w:t>Three Months Ended May 31,</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26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3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2020</w:t>
            </w:r>
            <w:r>
              <w:rPr>
                <w:rFonts w:ascii="Arial" w:cs="Arial" w:eastAsia="Arial" w:hAnsi="Arial"/>
                <w:sz w:val="23"/>
                <w:szCs w:val="23"/>
                <w:color w:val="auto"/>
                <w:vertAlign w:val="superscript"/>
              </w:rPr>
              <w:t>(1)</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2019</w:t>
            </w:r>
            <w:r>
              <w:rPr>
                <w:rFonts w:ascii="Arial" w:cs="Arial" w:eastAsia="Arial" w:hAnsi="Arial"/>
                <w:sz w:val="23"/>
                <w:szCs w:val="23"/>
                <w:color w:val="auto"/>
                <w:vertAlign w:val="superscript"/>
              </w:rPr>
              <w:t>(2)</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Change</w:t>
            </w:r>
          </w:p>
        </w:tc>
      </w:tr>
      <w:tr>
        <w:trPr>
          <w:trHeight w:val="243"/>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121,640</w:t>
            </w:r>
          </w:p>
        </w:tc>
        <w:tc>
          <w:tcPr>
            <w:tcW w:w="8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117,240</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5,107</w:t>
            </w:r>
          </w:p>
        </w:tc>
        <w:tc>
          <w:tcPr>
            <w:tcW w:w="8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5,928</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fair value adjustment</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Other items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5,464</w:t>
            </w:r>
          </w:p>
        </w:tc>
        <w:tc>
          <w:tcPr>
            <w:tcW w:w="8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(1,647)</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133,380</w:t>
            </w:r>
          </w:p>
        </w:tc>
        <w:tc>
          <w:tcPr>
            <w:tcW w:w="8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122,795</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080" w:type="dxa"/>
            <w:vAlign w:val="bottom"/>
          </w:tcPr>
          <w:p>
            <w:pPr>
              <w:ind w:left="340"/>
              <w:spacing w:after="0"/>
              <w:rPr>
                <w:sz w:val="20"/>
                <w:szCs w:val="20"/>
                <w:color w:val="auto"/>
              </w:rPr>
            </w:pPr>
            <w:r>
              <w:rPr>
                <w:rFonts w:ascii="Arial" w:cs="Arial" w:eastAsia="Arial" w:hAnsi="Arial"/>
                <w:sz w:val="18"/>
                <w:szCs w:val="18"/>
                <w:color w:val="auto"/>
              </w:rPr>
              <w:t>Adjusted operating margin</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w:t>
            </w:r>
          </w:p>
        </w:tc>
        <w:tc>
          <w:tcPr>
            <w:tcW w:w="820" w:type="dxa"/>
            <w:vAlign w:val="bottom"/>
          </w:tcPr>
          <w:p>
            <w:pPr>
              <w:jc w:val="right"/>
              <w:ind w:right="570"/>
              <w:spacing w:after="0"/>
              <w:rPr>
                <w:sz w:val="20"/>
                <w:szCs w:val="20"/>
                <w:color w:val="auto"/>
              </w:rPr>
            </w:pPr>
            <w:r>
              <w:rPr>
                <w:rFonts w:ascii="Arial" w:cs="Arial" w:eastAsia="Arial" w:hAnsi="Arial"/>
                <w:sz w:val="18"/>
                <w:szCs w:val="18"/>
                <w:color w:val="auto"/>
                <w:w w:val="87"/>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60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101,216</w:t>
            </w: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92,265</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r>
              <w:rPr>
                <w:rFonts w:ascii="Arial" w:cs="Arial" w:eastAsia="Arial" w:hAnsi="Arial"/>
                <w:sz w:val="18"/>
                <w:szCs w:val="18"/>
                <w:color w:val="auto"/>
                <w:vertAlign w:val="superscript"/>
              </w:rPr>
              <w:t>(3)</w:t>
            </w: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8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Deferred revenue fair value adjustment</w:t>
            </w:r>
            <w:r>
              <w:rPr>
                <w:rFonts w:ascii="Arial" w:cs="Arial" w:eastAsia="Arial" w:hAnsi="Arial"/>
                <w:sz w:val="18"/>
                <w:szCs w:val="18"/>
                <w:color w:val="auto"/>
                <w:vertAlign w:val="superscript"/>
              </w:rPr>
              <w:t>(4)</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963</w:t>
            </w:r>
          </w:p>
        </w:tc>
        <w:tc>
          <w:tcPr>
            <w:tcW w:w="8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r>
              <w:rPr>
                <w:rFonts w:ascii="Arial" w:cs="Arial" w:eastAsia="Arial" w:hAnsi="Arial"/>
                <w:sz w:val="18"/>
                <w:szCs w:val="18"/>
                <w:color w:val="auto"/>
                <w:vertAlign w:val="superscript"/>
              </w:rPr>
              <w:t>(5)</w:t>
            </w: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8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Income tax items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w:t>
            </w:r>
          </w:p>
        </w:tc>
        <w:tc>
          <w:tcPr>
            <w:tcW w:w="8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5,296</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68"/>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110,085</w:t>
            </w:r>
          </w:p>
        </w:tc>
        <w:tc>
          <w:tcPr>
            <w:tcW w:w="8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102,056</w:t>
            </w: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50"/>
        </w:trPr>
        <w:tc>
          <w:tcPr>
            <w:tcW w:w="60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0.11</w:t>
            </w:r>
          </w:p>
        </w:tc>
        <w:tc>
          <w:tcPr>
            <w:tcW w:w="8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fair value adjustment</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Other items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0.12</w:t>
            </w:r>
          </w:p>
        </w:tc>
        <w:tc>
          <w:tcPr>
            <w:tcW w:w="8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items</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6080" w:type="dxa"/>
            <w:vAlign w:val="bottom"/>
          </w:tcPr>
          <w:p>
            <w:pPr>
              <w:ind w:left="340"/>
              <w:spacing w:after="0"/>
              <w:rPr>
                <w:sz w:val="20"/>
                <w:szCs w:val="20"/>
                <w:color w:val="auto"/>
              </w:rPr>
            </w:pPr>
            <w:r>
              <w:rPr>
                <w:rFonts w:ascii="Arial" w:cs="Arial" w:eastAsia="Arial" w:hAnsi="Arial"/>
                <w:sz w:val="18"/>
                <w:szCs w:val="18"/>
                <w:color w:val="auto"/>
              </w:rPr>
              <w:t>Adjusted diluted earnings per common share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Borders>
              <w:top w:val="single" w:sz="8" w:color="auto"/>
            </w:tcBorders>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(Diluted)</w:t>
            </w: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38,481</w:t>
            </w:r>
          </w:p>
        </w:tc>
        <w:tc>
          <w:tcPr>
            <w:tcW w:w="8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38,993</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7"/>
        </w:trPr>
        <w:tc>
          <w:tcPr>
            <w:tcW w:w="6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left="660" w:hanging="328"/>
        <w:spacing w:after="0" w:line="263" w:lineRule="auto"/>
        <w:tabs>
          <w:tab w:leader="none" w:pos="654"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income, net income and diluted EPS in the third quarter of fiscal 2020 were adjusted to exclude (i) intangible asset amortization, (ii) deferred revenue fair value adjustments from purchase accounting, and (iii) other items primarily related to professional fees associated with the ongoing content and technology investment plan and facilities costs.</w:t>
      </w:r>
    </w:p>
    <w:p>
      <w:pPr>
        <w:spacing w:after="0" w:line="143" w:lineRule="exact"/>
        <w:rPr>
          <w:rFonts w:ascii="Arial" w:cs="Arial" w:eastAsia="Arial" w:hAnsi="Arial"/>
          <w:sz w:val="18"/>
          <w:szCs w:val="18"/>
          <w:i w:val="1"/>
          <w:iCs w:val="1"/>
          <w:color w:val="auto"/>
        </w:rPr>
      </w:pPr>
    </w:p>
    <w:p>
      <w:pPr>
        <w:jc w:val="both"/>
        <w:ind w:left="660" w:hanging="328"/>
        <w:spacing w:after="0" w:line="286" w:lineRule="auto"/>
        <w:tabs>
          <w:tab w:leader="none" w:pos="654"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Operating income, net income and diluted EPS in the third quarter of fiscal 2019 were adjusted to exclude (i) intangible asset amortization, (ii) deferred revenue fair value adjustments from purchase accounting, and (iii) other items including non-core transaction related revenue, offset by severance, stock-based compensation acceleration, transformation activities and occupancy costs.</w:t>
      </w:r>
    </w:p>
    <w:p>
      <w:pPr>
        <w:spacing w:after="0" w:line="124" w:lineRule="exact"/>
        <w:rPr>
          <w:rFonts w:ascii="Arial" w:cs="Arial" w:eastAsia="Arial" w:hAnsi="Arial"/>
          <w:sz w:val="17"/>
          <w:szCs w:val="17"/>
          <w:i w:val="1"/>
          <w:iCs w:val="1"/>
          <w:color w:val="auto"/>
        </w:rPr>
      </w:pPr>
    </w:p>
    <w:p>
      <w:pPr>
        <w:ind w:left="660" w:hanging="328"/>
        <w:spacing w:after="0" w:line="277" w:lineRule="auto"/>
        <w:tabs>
          <w:tab w:leader="none" w:pos="654"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The intangible asset amortization was recorded net of a tax provision of $0.9 million in the third quarter of fiscal 2020, compared to $1.1 million for the third quarter of fiscal 2019.</w:t>
      </w:r>
    </w:p>
    <w:p>
      <w:pPr>
        <w:spacing w:after="0" w:line="143" w:lineRule="exact"/>
        <w:rPr>
          <w:rFonts w:ascii="Arial" w:cs="Arial" w:eastAsia="Arial" w:hAnsi="Arial"/>
          <w:sz w:val="18"/>
          <w:szCs w:val="18"/>
          <w:i w:val="1"/>
          <w:iCs w:val="1"/>
          <w:color w:val="auto"/>
        </w:rPr>
      </w:pPr>
    </w:p>
    <w:p>
      <w:pPr>
        <w:ind w:left="640" w:hanging="308"/>
        <w:spacing w:after="0"/>
        <w:tabs>
          <w:tab w:leader="none" w:pos="6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The deferred revenue fair value adjustment was recorded net of a tax provision of $0.2 million for the third quarters of both fiscal 2020 and 2019.</w:t>
      </w:r>
    </w:p>
    <w:p>
      <w:pPr>
        <w:spacing w:after="0" w:line="207" w:lineRule="exact"/>
        <w:rPr>
          <w:rFonts w:ascii="Arial" w:cs="Arial" w:eastAsia="Arial" w:hAnsi="Arial"/>
          <w:sz w:val="16"/>
          <w:szCs w:val="16"/>
          <w:i w:val="1"/>
          <w:iCs w:val="1"/>
          <w:color w:val="auto"/>
        </w:rPr>
      </w:pPr>
    </w:p>
    <w:p>
      <w:pPr>
        <w:ind w:left="660" w:hanging="328"/>
        <w:spacing w:after="0" w:line="277" w:lineRule="auto"/>
        <w:tabs>
          <w:tab w:leader="none" w:pos="654"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The other items were recorded net of a tax provision of $1.0 million for the third quarter of fiscal 2020, compared to a $0.3 million tax benefit for the third quarter of 2019.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84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966"/>
        </w:trPr>
        <w:tc>
          <w:tcPr>
            <w:tcW w:w="12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Liquidity</w:t>
            </w:r>
          </w:p>
        </w:tc>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05"/>
        </w:trPr>
        <w:tc>
          <w:tcPr>
            <w:tcW w:w="8480" w:type="dxa"/>
            <w:vAlign w:val="bottom"/>
            <w:gridSpan w:val="2"/>
          </w:tcPr>
          <w:p>
            <w:pPr>
              <w:spacing w:after="0"/>
              <w:rPr>
                <w:sz w:val="20"/>
                <w:szCs w:val="20"/>
                <w:color w:val="auto"/>
              </w:rPr>
            </w:pPr>
            <w:r>
              <w:rPr>
                <w:rFonts w:ascii="Arial" w:cs="Arial" w:eastAsia="Arial" w:hAnsi="Arial"/>
                <w:sz w:val="18"/>
                <w:szCs w:val="18"/>
                <w:color w:val="auto"/>
              </w:rPr>
              <w:t>The table below, for the periods indicated, provides selected cash flow information:</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20" w:type="dxa"/>
            <w:vAlign w:val="bottom"/>
            <w:gridSpan w:val="3"/>
          </w:tcPr>
          <w:p>
            <w:pPr>
              <w:jc w:val="right"/>
              <w:ind w:right="230"/>
              <w:spacing w:after="0"/>
              <w:rPr>
                <w:sz w:val="20"/>
                <w:szCs w:val="20"/>
                <w:color w:val="auto"/>
              </w:rPr>
            </w:pPr>
            <w:r>
              <w:rPr>
                <w:rFonts w:ascii="Arial" w:cs="Arial" w:eastAsia="Arial" w:hAnsi="Arial"/>
                <w:sz w:val="18"/>
                <w:szCs w:val="18"/>
                <w:color w:val="auto"/>
                <w:w w:val="95"/>
              </w:rPr>
              <w:t>Nine Months Ended May 31,</w:t>
            </w:r>
          </w:p>
        </w:tc>
      </w:tr>
      <w:tr>
        <w:trPr>
          <w:trHeight w:val="27"/>
        </w:trPr>
        <w:tc>
          <w:tcPr>
            <w:tcW w:w="84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4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2019</w:t>
            </w:r>
          </w:p>
        </w:tc>
      </w:tr>
      <w:tr>
        <w:trPr>
          <w:trHeight w:val="27"/>
        </w:trPr>
        <w:tc>
          <w:tcPr>
            <w:tcW w:w="8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346,413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305,324</w:t>
            </w:r>
          </w:p>
        </w:tc>
      </w:tr>
      <w:tr>
        <w:trPr>
          <w:trHeight w:val="270"/>
        </w:trPr>
        <w:tc>
          <w:tcPr>
            <w:tcW w:w="8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(62,909)</w:t>
            </w: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(32,906)</w:t>
            </w: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283,504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272,418</w:t>
            </w:r>
          </w:p>
        </w:tc>
      </w:tr>
      <w:tr>
        <w:trPr>
          <w:trHeight w:val="270"/>
        </w:trPr>
        <w:tc>
          <w:tcPr>
            <w:tcW w:w="848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r>
              <w:rPr>
                <w:rFonts w:ascii="Arial" w:cs="Arial" w:eastAsia="Arial" w:hAnsi="Arial"/>
                <w:sz w:val="18"/>
                <w:szCs w:val="18"/>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(61,446)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(29,543)</w:t>
            </w: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(188,712)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(156,038)</w:t>
            </w:r>
          </w:p>
        </w:tc>
      </w:tr>
      <w:tr>
        <w:trPr>
          <w:trHeight w:val="27"/>
        </w:trPr>
        <w:tc>
          <w:tcPr>
            <w:tcW w:w="8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457,707</w:t>
            </w: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323,960</w:t>
            </w:r>
          </w:p>
        </w:tc>
      </w:tr>
      <w:tr>
        <w:trPr>
          <w:trHeight w:val="27"/>
        </w:trPr>
        <w:tc>
          <w:tcPr>
            <w:tcW w:w="1280" w:type="dxa"/>
            <w:vAlign w:val="bottom"/>
            <w:shd w:val="clear" w:color="auto" w:fill="CCEEFF"/>
          </w:tcPr>
          <w:p>
            <w:pPr>
              <w:spacing w:after="0"/>
              <w:rPr>
                <w:sz w:val="2"/>
                <w:szCs w:val="2"/>
                <w:color w:val="auto"/>
              </w:rPr>
            </w:pPr>
          </w:p>
        </w:tc>
        <w:tc>
          <w:tcPr>
            <w:tcW w:w="7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(1) Capital expenditures are included in net cash used in investing activities during each fiscal period reported.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aggregated to $457.7 million as of May 31, 2020, compared to $359.8 million as of August 31, 2019. Our cash and cash equivalents increased $97.9 million during the first nine months of fiscal 2020, primarily due to cash inflows of $346.4 million of net cash provided by operating activities and $65.3 million in proceeds from the exercise of employee stock options, partially offset by cash outflows of $171.0 million in share repurchases, $81.4 million in dividend payments, and $62.9 million of capital expenditures.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was $61.4 million in the first nine months of fiscal 2020, representing a $31.9 million increase from the same period a year ago. This increase was due primarily to $30.0 million of higher capital expenditures.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by financing activities was $188.7 million in the first nine months of fiscal 2020, representing a $32.7 million increase in cash used by financing activities from the same period a year ago. The increase was primarily due to a $12.7 million increase in share purchases and a $5.7 million increase in dividend payments, partially offset by a $13.6 million decrease in proceeds from employee stock plans.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31, 2020, our total Cash and cash equivalents worldwide was $457.7 million. The total available cash and cash equivalents within the Americas was $235.8 million, within EMEA was $171.1 million (predominantly within the UK, France, and Germany) and the remaining $50.8 million was held in Asia Pacific.</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May 31, 2020, we have borrowed $575.0 million of the available $750.0 million provided under our 2019 revolving credit facility which we entered into on March 29, 2019, resulting in $175.0 million available for additional borrowings. The 2019 Credit Agreement between FactSet, as the borrower, and PNC Bank, National Association ("PNC"), as the administrative agent and lender (the "2019 Credit Agreement") also allows us, subject to certain requirements, to arrange for additional borrowings with an aggregate amount up to $500.0 million. Refer to Capital Resources - Capital Needs - Long Term Debt for additional information on the 2019 Credit Agreement.</w:t>
      </w:r>
    </w:p>
    <w:p>
      <w:pPr>
        <w:spacing w:after="0" w:line="14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our liquidity (including cash on hand, cash from operating activities, other cash flows that we expect to generate and availability under our existing credit facilities) within each geographic segment will be sufficient to meet our short-term and long-term operating requirements, as they occur, including working capital needs, capital expenditures, dividend payments, stock repurchases, growth objectives and other financing activities. In addition, we expect existing foreign cash and cash equivalents and cash flows from operations to continue to be sufficient to fund our foreign operating activities and cash commitments for investing activities, such as capital expenditures, for at least the next 12 months and, thereafter, for the foreseeable future.</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not observed any significant client loss, deterioration in the collectability of receivables, reduction in liquidity, or decline in subscription renewal rates as a result of the COVID-19 pandemic. While the COVID-19 pandemic did not have a material impact on our financial results or cash flows for the three and nine months ended May 31, 2020, our future business and cash flows may be adversely affected. The situation surrounding the COVID-19 pandemic remains fluid, and we are actively managing our response and assessing potential impacts to our financial position, including our balance sheet and liquidity position. However, the COVID-19 pandemic has caused disruption in the capital markets, and could adversely affect our ability to access these markets on acceptable terms or at all and/or increase our cost of borrowing should we desire to access additional capital.</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Free cash flow generated in the nine months ended May 31, 2020 was $283.5 million, an increase of 4.1% compared to a year ago. Free cash flow was generated from $346.4 million of net cash provided by operating activities, less $62.9 million in capital expenditures. Free cash flow increased $11.1 million year-over-year due to a $41.1 million increase in operating cash flows primarily due to higher net income, partially offset by the timing of income tax payments. This increase was partially offset by higher capital expenditures for the build-out of new and existing office space for some of our locations and increased investments in technology compared to the prior year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expenditures in the third quarter of fiscal 2020 were $11.0 million, compared to $11.4 million in the prior year period. Capital expenditures of $5.9 million, or 54%, were related to facilities investments, primarily for the build-out of our new corporate headquarters in Norwalk, Connecticut and office space in the Philippines. The remainder of our capital expenditures, $5.1 million, was primarily related to investment in technology and development costs related to internal-use software.</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expenditures during the first nine months of fiscal 2020 were $62.9 million, compared to $32.9 million in the same period a year ago. Capital expenditures of $40.7 million, or 65%, were related to facilities investments, primarily for the build-out of our new corporate headquarters in Norwalk, Connecticut and office space in India and the Philippines. The remainder of our capital expenditures, $22.2 million, was primarily related to investment in technology and development costs related to internal-use software.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Needs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 Credit Agreement</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29, 2019, we entered into the 2019 Credit Agreement with PNC, which provides for a $750.0 million revolving credit facility (the "2019 Revolving Credit Facility"). We may request borrowings under the 2019 Revolving Credit Facility until its maturity date of March 29, 2024. The 2019 Credit Agreement also allows us, subject to certain requirements, to arrange for additional borrowings with PNC for an aggregate amount up to $500.0 million, provided that any such request for additional borrowings must be in a minimum amount of $25.0 million.</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May 31, 2020, we have borrowed $575.0 million of the available $750.0 million provided by the 2019 Revolving Credit Facility, resulting in $175.0 million available to be withdrawn. We are required to pay a commitment fee using a pricing grid which was 0.10% as of May 31, 2020. This fee is based on the daily amount by which the available balance in the 2019 Revolving Credit Facility exceeds the borrowed amount. All outstanding loan amounts are reported as Long-term debt within the Consolidated Balance Sheets at May 31, 2020 and August 31, 2019. The principal balance is payable in full on the maturity date.</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fair value of our long-term debt was $575.0 million as of May 31, 2020, which we believe approximates the carrying amount as the terms and interest rate approximate market rates given its floating interest rate basis. Borrowings under the loan bear interest on the outstanding principal amount at a rate equal to the LIBOR rate plus a spread using a debt leverage pricing grid, which was 0.875% as of May 31, 2020. The variable rate of interest on our long-term debt can expose us to interest rate volatility due to changes in the LIBOR rate. To mitigate this exposure, on March 5, 2020, we entered into an interest rate swap agreement with a notional amount of $287.5 million to hedge the variable interest rate obligation on a portion of our outstanding balance under the 2019 Revolving Credit Facility. Under the terms of the interest rate swap agreement, we will pay interest at a fixed rate of 0.7995% and receive variable interest payments based on the same one-month LIBOR rate utilized to calculate the interest expense from the 2019 Revolving Credit Facility. The interest rate swap agreement matures on March 28, 2024.</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three months ended May 31, 2020 and May 31, 2019, we recorded interest expense of $2.9 million and $5.2 million, respectively, on our outstanding debt amounts. For the nine months ended May 31, 2020 and May 31, 2019, we recorded interest expense of $10.9 million and $15.1 million, respectively, on our outstanding debt amounts. Including the effects of the interest rate swap agreement, the weighted average interest rate on amounts outstanding under our credit facilities was 2.47% for the nine months ended May 31, 2020. The weighted average interest rate for the fiscal year ended 2019 was 3.35%. Interest on the loan outstanding is payable quarterly, in arrears, and on the maturity date.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terms for the interest rate swap agreement align with the 2019 Revolving Credit Facility, we do not expect any hedge ineffectiveness. We have designated and accounted for this instrument as a cash flow hedge with the unrealized gains or losses on the interest rate swap agreement recorded in AOCL in the Consolidated Balance Sheets.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2019, we incurred approximately $0.9 million in debt issuance costs related to the 2019 Credit Agreement. These costs were capitalized as loan origination fees and are amortized into interest expense ratably over the term of the 2019 Credit Agreement.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Credit Agreement contains covenants and requirements restricting certain activities, which are usual and customary for this type of loan. In addition, the 2019 Credit Agreement requires that we maintain a consolidated net leverage ratio, as measured by total net funded debt/EBITDA (as defined in the 2019 Credit Agreement) below a specified level as of the end of each fiscal quarter. We were in compliance with all the covenants and requirements within the 2019 Credit Agreement as of May 31,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required to obtain letters of credit in the ordinary course of business. Approximately $2.9 million of standby letters of credit have been issued in connection with our leased office spaces as of May 31, 2020. These standby letters of credit utilize the same covenants included in the 2019 Credit Agreement. Refer to Note 14, Debt, of the Notes to the Consolidated Financial Statements in this Quarterly Report on Form 10-Q for more information on these covenants.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Exposure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wholly-owned subsidiaries within the EMEA and Asia Pacific segments operate under a functional currency different from the U.S. dollar. The financial statements of these foreign subsidiaries are translated into U.S. dollars using period-end rates of exchange for assets and liabilities and average exchange rates for revenue and expenses. Translation gains and losses that arise from translating assets, liabilities, revenue and expenses of foreign operations are recorded in accumulated other comprehensive loss as a component of stockholders’ equity.</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foreign currency exchange exposure is related to our operating expenses in countries outside the Americas, where approximately 76% of our employees were located as of May 31, 2020. During the third quarter of fiscal 2020, foreign currency movements increased operating income by $1.5 million, compared to a $3.0 million increase to operating income a year ago. During the first nine months of fiscal 2020, foreign currency movements increased operating income by $2.7 million, compared to an increase in operating income of $8.6 million in the same period a year ago.</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31, 2020, we maintained foreign currency forward contracts to hedge a portion of our British Pound Sterling, Euro, Indian Rupee, and Philippine Peso exposures. We entered into a series of forward contracts to mitigate our currency exposure ranging from 50% to 75% over their respective hedged periods. The current foreign currency forward contracts are set to mature at various points between the fourth quarter of fiscal 2020 through the first quarter of fiscal 2021.</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31, 2020, the gross notional value of foreign currency forward contracts to purchase Philippine Pesos and Indian Rupees with U.S. dollars was ₱466.8 billion and Rs830.6 billion, respectively. The gross notional value of foreign currency forward contracts to purchase U.S. dollars with Euros and British Pound Sterling was €11.4 million and £9.5 million, respectively.</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loss on derivatives of $1.0 million was recorded into operating income for the three months ended May 31, 2020, compared to a loss on derivatives of $0.6 million in the same period a year ago. For the nine months ended May 31, 2020, a loss on derivatives of $2.1 million was recorded into operating income, compared to a loss on derivatives of $1.4 million in the prior year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May 31, 2020 and August 31, 2019,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Repurchases of shares of our common stock are made from time to time in the open market and privately negotiated transactions, subject to market conditions. In the third quarter of fiscal 2020, we repurchased 46,636 shares for $12.4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our existing share repurchase program compared to 175,000 shares for $47.6 million in the same period a year ago. During the first nine months of fiscal 2020, we repurchased 657,136 shares for $171.0 million compared to 664,945 shares for $152.1 million in the prior year comparable period. For the nine months ended May 31, 2020, we have returned $252.4 million to stockholders in the form of share repurchases and dividends. Over the last 12 months, we have returned $341.8 million to stockholders in the form of share repurchases and dividends.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24, 2020, our Board of Directors approved a $220.0 million increase to the existing share repurchase program. As a result of this expansion, $287.6 million is available for future share repurchases as of May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Fluctuations in our operating results, the degree of success of our accounts receivable collection efforts, the timing of tax and other payments, as well as necessary capital expenditures to support growth of our operations, will impact our liquidity and cash flows in future periods. The effect of our contractual obligations on our liquidity and capital resources in future periods should be considered in conjunction with the factors mentioned here. As of August 31, 2019, we had total purchase commitments of $69.9 million. There were no material changes in our purchase commitments during the nine months ended May 31, 2020.</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disclosed earlier in the Capital Resources section of this MD&amp;A, we entered into the 2019 Credit Agreement on March 29, 2019 and borrowed $575.0 million. The loan balance of $575.0 million remains outstanding as of May 31, 2020. Refer to the Capital Resources section of the MD&amp;A for a discussion of our Long-term debt borrowings.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significant changes to our contractual obligations during the first nine months of fiscal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5, 2020, our Board of Directors approved a regular quarterly dividend of $0.77 per share. The $0.05 per share or 7% increase in the amount of our quarterly dividend marked the 15th consecutive year we have increased dividends, highlighting our continued commitment to returning value to shareholders. The cash dividend of $29.0 million was paid on June 18, 2020, to common stockholders of record at the close of business on May 29, 2020. Future cash dividends will depend on our earnings, capital requirements, financial condition and other factors considered relevant by us and is subject to final determination by our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Critical Accounting Estimates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describe our significant accounting policies in Note 3, Summary of Significant Accounting Policies, of the notes to our consolidated financial statements included in Item 8 of our Annual Report on Form 10-K for the fiscal year ended August 31, 2019. The accounting policies used in preparing our consolidated financial statements for the first nine months of fiscal 2020 are applied consistently with those described in our Annual Report on Form 10-K for the fiscal year ended August 31, 2019, with the exception of the accounting guidance adopted in the first quarter of fiscal 2020 related to accounting for leases. Refer to Note 15, Leases, of the Notes to the Consolidated Financial Statements in this Quarterly Report on Form 10-Q for further details on the adoption of the new lease standard.</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discuss our critical accounting estimates in Management’s Discussion and Analysis of Financial Condition and Results of Operations in our Annual Report on Form 10-K for the fiscal year ended August 31, 2019. There were no significant changes in our accounting policies or critical accounting estimates during the first nine months of fiscal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3, Recent Accounting Pronouncements, in the notes to the consolidated financial statements for a full description of recent accounting pronouncements, including the expected dates of adoption, which we include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ordinary course of business, we are exposed to financial risks involving the volatility of equity markets as well as foreign currency and interest rate fluctuations.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Shift from Active to Passive Investment Management</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Approximately 84% of our organic ASV is derived from our investment management clients. The prosperity of these clients is tied to equity assets under management. An equity market decline not only depresses assets under management but also could cause a significant increase in redemption requests to move money out of equities and into other asset classes. Moreover, a shift from active investment management to passive investment management can result in lower demand for our services. Our investment banking clients that provide M&amp;A advisory work, capital markets services and equity research, account for approximately 16% of our organic ASV. A significant portion of this revenue relates to services deployed by large, bulge-bracket banks. Credit continues to impact many of the large banking clients due to the amount of leverage deployed in past operations. Our clients could also encounter similar issues. A lack of confidence in the global banking system could cause declines in M&amp;A funded by debt. Additional uncertainty, consolidation and business failures in the global investment banking sector could adversely affect our financial results and future growth. Regardless, the size of banks in general is shrinking as they deleverage their balance sheets and adjust their expense bases to future revenue opportunities. Our revenue may decline if banks, including those involved in merger activity, significantly reduce headcount in the areas of corporate M&amp;A, capital markets and equity research to compensate for the challenges faced in the current economic environment.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January 31, 2020, the UK formally left the European Union when the UK-EU Withdrawal Agreement became effective. Under the Withdrawal Agreement, a transition period began and will run until December 31, 2020. During this transition period, many existing arrangements will remain in place. The UK will still follow all the EU's rules and regulations, will remain in the single market and the customs union, and will continue to permit the free movement of people. On March 2, 2020 formal UK-EU negotiations on the future relationship commenced. On March 18, 2020, the European Commission published a draft legal agreement for the future EU-UK partnership, covering all areas of the negotiations, including trade and economic cooperation, law enforcement and participation in European Union programs. The UK and the EU are currently in the process of negotiating a UK-EU free trade deal and the terms of their future relationship. Although March negotiations were affected by the COVID-19 pandemic, the EU and the UK resumed the Brexit discussions on April 15, 2020. The deadline for these negotiations is the expiry of the transition period and the UK has consistently made it clear that it will not ask to extend the transition period. At this time, we cannot predict the impact that the future UK-EU arrangements will have on our business, as it will depend on the longer-term outcome of tariff, trade, regulatory and other negotiations. Although the results of these negotiations are currently unknown, it is possible that new terms may adversely affect our operations and financial results. While we evaluate our own risks and uncertainty related to Brexit, we continue to partner with our clients to help them navigate the fluctuating international markets.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Markets in Financial Instruments Directive (“MiFID”)</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MiFID II built upon many of the initiatives introduced through MiFID and is intended to help improve the functioning of the European Union single market by achieving a greater consistency of regulatory standards. MiFID originally became effective in 2007 and was enhanced through adoption of MiFID II, which became effective in January 2018. We continue to monitor the impact in the European Union of MiFID II on the investment process and trade lifecycle, as well as any impact of MiFID II on non-European Union countries. We also continue to review the application of key MiFID II requirements and plan to work with our clients to navigate through them.</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Factors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In addition to current and historical information, this Quarterly Report on Form 10-Q, including Management’s Discussion and Analysis of Financial Condition and Results of Operations, contains forward-looking statements based on management’s current expectations, estimates, forecasts and projections about industries in which we operate and the beliefs and assumptions of management. All statements that address expectations, guidance, outlook or projections about the future, including statements about our strategy for growth, product development, revenue, future financial results, anticipated growth, market position, subscriptions, expected expenditures, trends in our business and financial results, are forward-looking statements. Forward-looking statements may be identified by words like "expects," "believes", "anticipates," "plans," "intends," "estimates", "projects," "should," "indicates," "continues," "may" and similar expressions. These statements are not guarantees of future performance and involve a number of risks, uncertainties and assumptions. Many factors, including those discussed more fully elsewhere in this Quarterly Report on Form 10-Q or in any of our other filings with the Securities and Exchange Commission, could cause results to differ materially from those stated. These factors include, but are not limited to: the ability to integrate newly acquired companies, clients and businesses; strains on resources as a result of growth, the volatility and stability of global securities markets, including declines in equity or fixed income returns impacting the buying power of investment management clients; the ability to hire and retain qualified personnel; the maintenance of our leading technological position and reputation; failure to maintain or improve our competitive position in the marketplace; fraudulent, misappropriation or unauthorized data access, including cyber-security and privacy breaches; failures or disruptions of telecommunications, data centers, network systems, facilities, or the Internet; uncertainty, consolidation and business failures in the global investment banking industry; the continued shift from active to passive investing, the negotiation of contract terms with vendors, data suppliers and landlords; the retention of clients and the attraction of new ones; the absence of U.S. or foreign governmental regulation restricting international business; the unfavorable resolution of tax assessments and legal proceedings; </w:t>
      </w:r>
      <w:r>
        <w:rPr>
          <w:rFonts w:ascii="Arial" w:cs="Arial" w:eastAsia="Arial" w:hAnsi="Arial"/>
          <w:sz w:val="17"/>
          <w:szCs w:val="17"/>
          <w:color w:val="auto"/>
        </w:rPr>
        <w:t>t</w:t>
      </w:r>
      <w:r>
        <w:rPr>
          <w:rFonts w:ascii="Arial" w:cs="Arial" w:eastAsia="Arial" w:hAnsi="Arial"/>
          <w:sz w:val="16"/>
          <w:szCs w:val="16"/>
          <w:color w:val="auto"/>
        </w:rPr>
        <w:t>he impact of the COVID-19 pandemic on our operating results and our employees' health and safety; and legislative and regulatory changes in the environments in which we and our clients operate. Forward-looking statements speak only as of the date they are made, and we assume no duty to and do not undertake to update forward-looking statements. Actual results could differ materially from those anticipated in forward-looking statements and future results could differ materially from historical performance.</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These statements involve certain known and unknown risks and uncertainties that could cause our actual results to differ materially from those expressed or implied in our forward-looking statements. Such risks and uncertainties include, among others, those listed in this MD&amp;A above and those listed in Part 1 Item 1A, Risk Factors, of our Annual Report on Form 10-K for the fiscal year ended August 31, 2019. We do not intend, and undertake no obligation, to update any of our forward-looking statements after the date of this Quarterly Report to reflect actual results or future events or circumstances.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Outlook</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provided an annual outlook for certain key metrics for fiscal 2020 on September 26, 2019 and most recently updated it on June 25, 2020. Given the number of risk factors, uncertainties and assumptions discussed in Part 1 Item 1A, Risk Factors, of our Annual Report on Form 10-K for the fiscal year ended August 31, 2019, and particularly the ongoing uncertainty surrounding the duration, magnitude, and impact of the novel coronavirus pandemic, actual results may differ materially from these expectations. We currently do not intend to update our forward-looking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Expectations:</w:t>
      </w:r>
    </w:p>
    <w:p>
      <w:pPr>
        <w:spacing w:after="0" w:line="198" w:lineRule="exact"/>
        <w:rPr>
          <w:sz w:val="20"/>
          <w:szCs w:val="20"/>
          <w:color w:val="auto"/>
        </w:rPr>
      </w:pPr>
    </w:p>
    <w:p>
      <w:pPr>
        <w:ind w:left="980" w:hanging="648"/>
        <w:spacing w:after="0" w:line="277" w:lineRule="auto"/>
        <w:rPr>
          <w:sz w:val="20"/>
          <w:szCs w:val="20"/>
          <w:color w:val="auto"/>
        </w:rPr>
      </w:pPr>
      <w:r>
        <w:rPr>
          <w:rFonts w:ascii="Arial" w:cs="Arial" w:eastAsia="Arial" w:hAnsi="Arial"/>
          <w:sz w:val="18"/>
          <w:szCs w:val="18"/>
          <w:color w:val="auto"/>
        </w:rPr>
        <w:t>– Organic ASV plus professional services is now expected to increase in the range of $60 million and $75 million over fiscal 2019. The change in the range reflects the current anticipated business impacts resulting from the coronavirus pandemic.</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GAAP revenue is now expected to be in the range of $1.485 billion and $1.490 billion.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GAAP operating margin is now expected to be in the range of 30.0% and 30.5%.</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Adjusted operating margin is now expected to be in the range of 33.0% and 33.5%.</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Annual effective tax rate is now expected to be in the range of 15.5% and 16.5%.</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300" w:hanging="648"/>
        <w:spacing w:after="0" w:line="277" w:lineRule="auto"/>
        <w:rPr>
          <w:sz w:val="20"/>
          <w:szCs w:val="20"/>
          <w:color w:val="auto"/>
        </w:rPr>
      </w:pPr>
      <w:r>
        <w:rPr>
          <w:rFonts w:ascii="Arial" w:cs="Arial" w:eastAsia="Arial" w:hAnsi="Arial"/>
          <w:sz w:val="18"/>
          <w:szCs w:val="18"/>
          <w:color w:val="auto"/>
        </w:rPr>
        <w:t>– GAAP diluted EPS is now expected to be in the range of $9.60 and $9.80. Adjusted diluted EPS is now expected to be in the range of $10.40 and $10.60.</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Both GAAP operating margin and GAAP diluted EPS guidance do not include certain effects of any non-recurring benefits or charges that may arise in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right="500"/>
        <w:spacing w:after="0" w:line="453" w:lineRule="auto"/>
        <w:rPr>
          <w:sz w:val="20"/>
          <w:szCs w:val="20"/>
          <w:color w:val="auto"/>
        </w:rPr>
      </w:pPr>
      <w:r>
        <w:rPr>
          <w:rFonts w:ascii="Arial" w:cs="Arial" w:eastAsia="Arial" w:hAnsi="Arial"/>
          <w:sz w:val="18"/>
          <w:szCs w:val="18"/>
          <w:color w:val="auto"/>
        </w:rPr>
        <w:t xml:space="preserve">In the normal course of business, we are exposed to foreign currency exchange risk that could impact our financial position and results of operations. </w:t>
      </w:r>
      <w:r>
        <w:rPr>
          <w:rFonts w:ascii="Arial" w:cs="Arial" w:eastAsia="Arial" w:hAnsi="Arial"/>
          <w:sz w:val="18"/>
          <w:szCs w:val="18"/>
          <w:b w:val="1"/>
          <w:bCs w:val="1"/>
          <w:color w:val="auto"/>
        </w:rPr>
        <w:t>Foreign Currency Exchange Risk</w:t>
      </w:r>
    </w:p>
    <w:p>
      <w:pPr>
        <w:spacing w:after="0" w:line="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conduct business outside the U.S. in several currencies including British Pound Sterling, Euro, Indian Rupee, and Philippine Peso. We translate foreign currencies into U.S. dollars using period-end rates of exchange for assets and liabilities and average rates for the period for revenue and expenses. To the extent that our international activities recorded in local currencies increase in the future, our exposure to fluctuations in currency exchange rates will correspondingly increase. To manage the exposures related to the effects of foreign exchange rate fluctuations, we utilize derivative instruments (foreign currency forward contracts). 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We do not believe there is significant risk of loss in the event of non-performance by the counterparties associated with these instruments because these transactions are executed with major financial institutions. Further, our policy is to deal with counterparties having a minimum investment grade or better credit rating. Credit risk is managed through the continuous monitoring of exposures to such counterparties. Our primary objective in holding derivatives is to reduce the volatility of earnings associated with changes in foreign currency.</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31, 2020, FactSet maintained foreign currency forward contracts to hedge a portion of the British Pound Sterling, Euro, Indian Rupee, and Philippine Peso exposures. FactSet entered into a series of forward contracts to mitigate our currency exposure ranging from 50% to 75% over their respective hedged periods. The current foreign currency forward contracts are set to mature at various points between the fourth quarter of fiscal 2020 through the first quarter of fiscal 2021.</w:t>
      </w:r>
    </w:p>
    <w:p>
      <w:pPr>
        <w:spacing w:after="0" w:line="14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of May 31, 2020, the gross notional value of foreign currency forward contracts to purchase Philippine Pesos and Indian Rupees with U.S. dollars was ₱466.8 billion and Rs830.6 billion, respectively. The gross notional value of foreign currency forward contracts to purchase U.S. dollars with Euros and British Pound Sterling was €11.4 million and £9.5 million, respectively.</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loss on derivatives of $1.0 million was recorded into operating income for the three months ended May 31, 2020, compared to a loss on derivatives of $0.6 million in the same period a year ago. For the nine months ended May 31, 2020, a loss on derivatives of $2.1 million was recorded into operating income, compared to a loss on derivatives of $1.4 million in the prior year period. The gains and losses on foreign currency forward contracts mitigate the variability in operating expenses associated with currency movements. These transactions are designated and accounted for as cash flow hedges in accordance with applicable accounting guidance</w:t>
      </w:r>
      <w:r>
        <w:rPr>
          <w:rFonts w:ascii="Arial" w:cs="Arial" w:eastAsia="Arial" w:hAnsi="Arial"/>
          <w:sz w:val="17"/>
          <w:szCs w:val="17"/>
          <w:i w:val="1"/>
          <w:iCs w:val="1"/>
          <w:color w:val="auto"/>
        </w:rPr>
        <w:t>.</w:t>
      </w:r>
      <w:r>
        <w:rPr>
          <w:rFonts w:ascii="Arial" w:cs="Arial" w:eastAsia="Arial" w:hAnsi="Arial"/>
          <w:sz w:val="17"/>
          <w:szCs w:val="17"/>
          <w:color w:val="auto"/>
        </w:rPr>
        <w:t xml:space="preserve"> The changes in fair value for these foreign currency forward contracts are initially reported as a component of accumulated other comprehensive loss and subsequently reclassified into operating expenses when the hedged exposure affects earnings. The related cash flow impacts of all our derivative activities are reflected as cash flows from operating activities.</w:t>
      </w:r>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sensitivity analysis was performed based on the estimated fair value of all foreign currency forward contracts outstanding at May 31, 2020. If the U.S. dollar had been 10% weaker, the fair value of outstanding foreign currency forward contracts would have increased by $4.7 million, which would have had an immaterial impact on our Consolidated Balance Sheet. Such a change in fair value of our financial instruments would be substantially offset by changes in our expense base. If we had no hedges in place as of May 31, 2020, a hypothetical 10% weaker U.S. dollar against all foreign currencies from the quoted foreign currency exchange rates at May 31, 2020, with operating results held constant in local currencies, would result in a decrease in operating income by $28.7 million over the next 12 months. A hypothetical 10% weaker U.S. dollar against all foreign currencies at May 31, 2020 would have increased the fair value of total assets by $116.2 million and equity by $25.2 million.</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Volatility in the British Pound Sterling exchange rate is expected to continue in the short term as the UK negotiates its exit from the European Union. In the longer term, any impact from Brexit will depend on, in part, on the outcome of tariff, regulatory and other negotiations. Refer to Management's Discussion and Analysis of Financial Condition and Results of Operations - Market Trends - Brexit for further information on Brexit.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fair market value of our Cash and cash equivalents and Investments at May 31, 2020 was $480.3 million. Our cash and cash equivalents consist of demand deposits and money market funds with original maturities of three months or less and are reported at fair value. Our investments consist of both mutual funds and certificates of deposit as both are part of our investment strategy. These mutual funds and certificates of deposit are included as Investments (short-term) on our Consolidated Balance Sheets as the mutual funds can be liquidated at our discretion and the certificates of deposit have original maturities greater than three months but less than one year. The mutual funds and certificates of deposit are held for investment and are not considered debt securities. It is anticipated that the fair market value of our Cash and cash equivalents and Investments will continue to be immaterially affected by fluctuations in interest rates. Preservation of principal is the primary goal of our cash and investment policy. Pursuant to our established investment guidelines, we try to achieve high levels of credit quality, liquidity and diversification. Our investment guidelines do not permit us to invest in puts, calls, strips, short sales, straddles, options, commodities, precious metals, futures or investments on margin. As we have a restrictive investment policy, our financial exposure to fluctuations in interest rates is expected to remain low. We do not believe that the value or liquidity of our cash and cash equivalents and investments have been significantly impacted by current market events.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May 31, 2020, the fair value of our long-term debt was $575.0 million and bears interest on the outstanding principal amount at a rate equal to the LIBOR rate plus a spread using a debt leverage pricing grid, which was 0.875% as of May 31, 2020. We believe the carrying value of the debt approximates fair value as the interest rate is a floating rate equal to the LIBOR rate plus a spread, which is representative of market rates for similar instruments. It is anticipated that the fair market value of our debt will continue to be immaterially affected by fluctuations in interest rates and we do not believe that the value of our debt has been significantly impacted by current market events.</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variable rate of interest on our long-term debt can expose us to interest rate volatility due to changes in the LIBOR rate. To mitigate this exposure, on March 5, 2020, we entered into an interest rate swap agreement with a notional amount of $287.5 million to hedge the variable interest rate obligation on a portion of our outstanding balance under the 2019 Revolving Credit Facility. Under the terms of the interest rate swap agreement, we will pay interest at a fixed rate of 0.7995% and receive variable interest payments based on the same one-month LIBOR rate utilized to calculate the interest expense from the 2019 Revolving Credit Facility. The interest rate swap agreement matures on March 28, 2024.</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May 31, 2020 and May 31, 2019, we recorded interest expense of $2.9 million and $5.2 million, respectively, on our outstanding debt amounts. During the nine months ended May 31, 2020 and May 31, 2019, we recorded interest expense of $10.9 million and $15.1 million, respectively, on our outstanding debt amounts. Assuming all terms of our outstanding long-term debt remained the same, a hypothetical 25 basis point change (up or down) in the one-month LIBOR rate would result in a $0.7 million change to our annual interest expense for the portion of the long-term debt not hedged by the interest rate swap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Risk</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clients rely on us for the delivery of time-sensitive, up-to-date data and applications. Our business is dependent on our ability to process substantial volumes of data and transactions rapidly and efficiently on our computer-based networks and systems. Our computer operations, as well as our other business centers, and those of our suppliers and clients are vulnerable to interruption by fire, natural disaster, power loss, telecommunications failures, terrorist attacks, acts of war, civil unrest, public health crises, Internet failures, computer viruses and security breaches, and other events beyond our reasonable control. We maintain back-up facilities and certain other redundancies for each of our major data centers to minimize the risk that any such event will disrupt those operations. However, a loss of our services involving our significant facilities may materially disrupt our business and may induce our clients to seek alternative data suppliers. Any such losses or damages we incur could have a material adverse effect on our business. Although we seek to minimize these risks through security measures, controls, back-up data centers and emergency planning, there can be no assurance that such efforts will be successful or effective.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management, including its principal executive officer and principal financial officer, have evaluated the effectiveness of the Company’s disclosure controls and procedures pursuant to Rules 13a-15(e) and 15d-15(e) under the Securities Exchange Act of 1934, as amended (the “Exchange Act”), as of the end of the period covered by this report, and the principal executive officer and principal financial officer have concluded that the Company’s disclosure controls and procedures are effective as of the end of the period covered by this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and third quarters of fiscal 2020, the Company implemented a new general ledger and financial reporting system and a new purchase to payables system, respectively, as part of a multi-year global project to design, configure and install an integrated suite of enterprise software. The implementations have involved changes to certain processes and related internal controls over financial reporting. The Company has reviewed the system and the controls affected and made appropriate changes as necessary.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other changes in the Company’s internal control over financial reporting (as such term is defined in Rules 13a-15(f) and 15d-15(f) under the Exchange Act) during the Company’s third quarter of fiscal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set forth under Note 16, Commitments and Contingencies</w:t>
      </w:r>
      <w:r>
        <w:rPr>
          <w:rFonts w:ascii="Arial" w:cs="Arial" w:eastAsia="Arial" w:hAnsi="Arial"/>
          <w:sz w:val="18"/>
          <w:szCs w:val="18"/>
          <w:i w:val="1"/>
          <w:iCs w:val="1"/>
          <w:color w:val="auto"/>
        </w:rPr>
        <w:t>,</w:t>
      </w:r>
      <w:r>
        <w:rPr>
          <w:rFonts w:ascii="Arial" w:cs="Arial" w:eastAsia="Arial" w:hAnsi="Arial"/>
          <w:sz w:val="18"/>
          <w:szCs w:val="18"/>
          <w:color w:val="auto"/>
        </w:rPr>
        <w:t xml:space="preserve"> contained in the notes to the consolidated financial statements of this Quarterly Report on Form 10-Q is incorporated by reference in answer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were no material changes during the first nine months of fiscal 2020 to the risk factors identified in the Company’s fiscal 2019 Annual Report on Form 10-K, except as noted below.</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current COVID-19 pandemic and other global public health epidemics may adversely impact our business, our future results of operations and our overall financial performance.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business could be materially and adversely affected by the risk, or the public perception of risk, related to a pandemic or widespread health crisis, such as the current COVID-19 pandemic. A significant outbreak, epidemic or pandemic of contagious diseases in the human population could result in a widespread health crisis adversely affecting the broader economies, financial markets and overall demand for our products. In addition, any preventative or protective actions that governments implement or that we take in respect of a global health crisis such as COVID-19, such as travel restrictions, quarantines or site closures, may interfere with the ability of our employees, vendors, and data suppliers to perform their respective responsibilities and obligations relative to the conduct of our business, including our ability to gather content. Such results could have a material adverse effect on our operations, business, financial condition, results of operations, or cash flows.</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have been affected by a range of external factors related to the COVID-19 pandemic that are not within our control. For example, many jurisdictions have imposed a wide range of restrictions on the physical movement of our employees and vendors to limit the spread of COVID-19. If the COVID-19 pandemic has a substantial impact on our employees' or vendors' attendance or productivity, our operations, including our ability to gather content, may suffer, and in turn our results of operations and overall financial performance may be impacted. Furthermore, if our employees incur substantial medical expenses due to COVID-19, our expenses may increase due to our self-funded employee medical insurance model. Our management is focused on mitigating the effects of COVID-19 on our business, which has required and will continue to require a substantial investment of their time and may delay their other efforts. The impact of COVID-19, and the volatile regional and global economic conditions stemming from the pandemic, may also increase the severity or likelihood of other risks discussed in Item 1A. Risk Factors in our Annual Report on Form 10-K for the fiscal year ended August 31, 2019, any of which could have a material effect on us.</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closely monitoring the impact of the COVID-19 pandemic and continually assessing its potential effects on our business. Given the dynamic nature of these circumstances, the full impact of the COVID-19 pandemic cannot be reasonably estimated at this time. The extent to which our business, financial condition, results of operations, or cash flows are affected by COVID-19 will largely depend on future developments which cannot be accurately predicted and are uncertain, as there are no comparable recent events that provide guidance as to the potential effect of the spread of a global pandemic. The impact of the COVID-19 pandemic will depend upon various uncertainties, including the ultimate geographic spread of the virus, the severity of the virus, the duration of the outbreak, and actions that may be taken by governmental authorities to contain the virus. This situation is changing continually, and additional effects may arise that we are not presently aware of or that we currently do not consider to be significant risks to our operations. If we are not able to respond to and manage the impact of such events effectively, our business and financial condition could be negatively impacted. Refer to Management’s Discussion and Analysis of Financial Condition and Results of Operations - COVID-19 Update for additional information.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Items 2(a) and (b) are not applicable as there have been no unregistered sales of equity securities.</w:t>
      </w:r>
    </w:p>
    <w:p>
      <w:pPr>
        <w:spacing w:after="0" w:line="185" w:lineRule="exact"/>
        <w:rPr>
          <w:sz w:val="20"/>
          <w:szCs w:val="20"/>
          <w:color w:val="auto"/>
        </w:rPr>
      </w:pPr>
    </w:p>
    <w:p>
      <w:pPr>
        <w:ind w:left="340" w:hanging="340"/>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Issuer Purchases of Equity Securities (in thousands, except share and per share data)</w:t>
      </w:r>
    </w:p>
    <w:p>
      <w:pPr>
        <w:spacing w:after="0" w:line="18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provides a month-to-month summary of the share repurchase activity during the three months ended May 31, 2020: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Total Number of Shares</w:t>
            </w:r>
          </w:p>
        </w:tc>
        <w:tc>
          <w:tcPr>
            <w:tcW w:w="24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Maximum Number of Shares</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2420" w:type="dxa"/>
            <w:vAlign w:val="bottom"/>
            <w:gridSpan w:val="2"/>
          </w:tcPr>
          <w:p>
            <w:pPr>
              <w:jc w:val="center"/>
              <w:ind w:left="30"/>
              <w:spacing w:after="0" w:line="176" w:lineRule="exact"/>
              <w:rPr>
                <w:sz w:val="20"/>
                <w:szCs w:val="20"/>
                <w:color w:val="auto"/>
              </w:rPr>
            </w:pPr>
            <w:r>
              <w:rPr>
                <w:rFonts w:ascii="Arial" w:cs="Arial" w:eastAsia="Arial" w:hAnsi="Arial"/>
                <w:sz w:val="18"/>
                <w:szCs w:val="18"/>
                <w:color w:val="auto"/>
                <w:w w:val="93"/>
              </w:rPr>
              <w:t>(or Approximate Dollar Value)</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2120" w:type="dxa"/>
            <w:vAlign w:val="bottom"/>
            <w:vMerge w:val="restart"/>
          </w:tcPr>
          <w:p>
            <w:pPr>
              <w:jc w:val="right"/>
              <w:ind w:right="370"/>
              <w:spacing w:after="0"/>
              <w:rPr>
                <w:sz w:val="20"/>
                <w:szCs w:val="20"/>
                <w:color w:val="auto"/>
              </w:rPr>
            </w:pPr>
            <w:r>
              <w:rPr>
                <w:rFonts w:ascii="Arial" w:cs="Arial" w:eastAsia="Arial" w:hAnsi="Arial"/>
                <w:sz w:val="18"/>
                <w:szCs w:val="18"/>
                <w:color w:val="auto"/>
              </w:rPr>
              <w:t>Total Number of</w:t>
            </w:r>
          </w:p>
        </w:tc>
        <w:tc>
          <w:tcPr>
            <w:tcW w:w="420" w:type="dxa"/>
            <w:vAlign w:val="bottom"/>
          </w:tcPr>
          <w:p>
            <w:pPr>
              <w:spacing w:after="0"/>
              <w:rPr>
                <w:sz w:val="15"/>
                <w:szCs w:val="15"/>
                <w:color w:val="auto"/>
              </w:rPr>
            </w:pPr>
          </w:p>
        </w:tc>
        <w:tc>
          <w:tcPr>
            <w:tcW w:w="1900" w:type="dxa"/>
            <w:vAlign w:val="bottom"/>
            <w:vMerge w:val="restart"/>
          </w:tcPr>
          <w:p>
            <w:pPr>
              <w:jc w:val="right"/>
              <w:ind w:right="570"/>
              <w:spacing w:after="0"/>
              <w:rPr>
                <w:sz w:val="20"/>
                <w:szCs w:val="20"/>
                <w:color w:val="auto"/>
              </w:rPr>
            </w:pPr>
            <w:r>
              <w:rPr>
                <w:rFonts w:ascii="Arial" w:cs="Arial" w:eastAsia="Arial" w:hAnsi="Arial"/>
                <w:sz w:val="18"/>
                <w:szCs w:val="18"/>
                <w:color w:val="auto"/>
              </w:rPr>
              <w:t>Average Price</w:t>
            </w:r>
          </w:p>
        </w:tc>
        <w:tc>
          <w:tcPr>
            <w:tcW w:w="2300" w:type="dxa"/>
            <w:vAlign w:val="bottom"/>
          </w:tcPr>
          <w:p>
            <w:pPr>
              <w:jc w:val="center"/>
              <w:spacing w:after="0" w:line="176" w:lineRule="exact"/>
              <w:rPr>
                <w:sz w:val="20"/>
                <w:szCs w:val="20"/>
                <w:color w:val="auto"/>
              </w:rPr>
            </w:pPr>
            <w:r>
              <w:rPr>
                <w:rFonts w:ascii="Arial" w:cs="Arial" w:eastAsia="Arial" w:hAnsi="Arial"/>
                <w:sz w:val="18"/>
                <w:szCs w:val="18"/>
                <w:color w:val="auto"/>
                <w:w w:val="90"/>
              </w:rPr>
              <w:t>Purchased as Part of Publicly</w:t>
            </w:r>
          </w:p>
        </w:tc>
        <w:tc>
          <w:tcPr>
            <w:tcW w:w="220" w:type="dxa"/>
            <w:vAlign w:val="bottom"/>
          </w:tcPr>
          <w:p>
            <w:pPr>
              <w:spacing w:after="0"/>
              <w:rPr>
                <w:sz w:val="15"/>
                <w:szCs w:val="15"/>
                <w:color w:val="auto"/>
              </w:rPr>
            </w:pPr>
          </w:p>
        </w:tc>
        <w:tc>
          <w:tcPr>
            <w:tcW w:w="220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9"/>
              </w:rPr>
              <w:t>that May Yet be Purchased</w:t>
            </w:r>
          </w:p>
        </w:tc>
        <w:tc>
          <w:tcPr>
            <w:tcW w:w="0" w:type="dxa"/>
            <w:vAlign w:val="bottom"/>
          </w:tcPr>
          <w:p>
            <w:pPr>
              <w:spacing w:after="0"/>
              <w:rPr>
                <w:sz w:val="1"/>
                <w:szCs w:val="1"/>
                <w:color w:val="auto"/>
              </w:rPr>
            </w:pPr>
          </w:p>
        </w:tc>
      </w:tr>
      <w:tr>
        <w:trPr>
          <w:trHeight w:val="176"/>
        </w:trPr>
        <w:tc>
          <w:tcPr>
            <w:tcW w:w="2080" w:type="dxa"/>
            <w:vAlign w:val="bottom"/>
            <w:vMerge w:val="restart"/>
          </w:tcPr>
          <w:p>
            <w:pPr>
              <w:ind w:left="820"/>
              <w:spacing w:after="0"/>
              <w:rPr>
                <w:sz w:val="20"/>
                <w:szCs w:val="20"/>
                <w:color w:val="auto"/>
              </w:rPr>
            </w:pPr>
            <w:r>
              <w:rPr>
                <w:rFonts w:ascii="Arial" w:cs="Arial" w:eastAsia="Arial" w:hAnsi="Arial"/>
                <w:sz w:val="18"/>
                <w:szCs w:val="18"/>
                <w:color w:val="auto"/>
              </w:rPr>
              <w:t>Period</w:t>
            </w:r>
          </w:p>
        </w:tc>
        <w:tc>
          <w:tcPr>
            <w:tcW w:w="21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Arial" w:cs="Arial" w:eastAsia="Arial" w:hAnsi="Arial"/>
                <w:sz w:val="18"/>
                <w:szCs w:val="18"/>
                <w:color w:val="auto"/>
                <w:w w:val="90"/>
              </w:rPr>
              <w:t>Announced Plans or</w:t>
            </w:r>
          </w:p>
        </w:tc>
        <w:tc>
          <w:tcPr>
            <w:tcW w:w="220" w:type="dxa"/>
            <w:vAlign w:val="bottom"/>
          </w:tcPr>
          <w:p>
            <w:pPr>
              <w:spacing w:after="0"/>
              <w:rPr>
                <w:sz w:val="15"/>
                <w:szCs w:val="15"/>
                <w:color w:val="auto"/>
              </w:rPr>
            </w:pPr>
          </w:p>
        </w:tc>
        <w:tc>
          <w:tcPr>
            <w:tcW w:w="220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Under the Plans or Programs</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 Purchased</w:t>
            </w:r>
            <w:r>
              <w:rPr>
                <w:rFonts w:ascii="Arial" w:cs="Arial" w:eastAsia="Arial" w:hAnsi="Arial"/>
                <w:sz w:val="18"/>
                <w:szCs w:val="18"/>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Paid per Share</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Programs</w:t>
            </w:r>
            <w:r>
              <w:rPr>
                <w:rFonts w:ascii="Arial" w:cs="Arial" w:eastAsia="Arial" w:hAnsi="Arial"/>
                <w:sz w:val="18"/>
                <w:szCs w:val="18"/>
                <w:color w:val="auto"/>
                <w:w w:val="86"/>
                <w:vertAlign w:val="superscript"/>
              </w:rPr>
              <w:t>(2)</w:t>
            </w: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(in US$)</w:t>
            </w:r>
            <w:r>
              <w:rPr>
                <w:rFonts w:ascii="Arial" w:cs="Arial" w:eastAsia="Arial" w:hAnsi="Arial"/>
                <w:sz w:val="18"/>
                <w:szCs w:val="18"/>
                <w:color w:val="auto"/>
                <w:w w:val="91"/>
                <w:vertAlign w:val="superscript"/>
              </w:rPr>
              <w:t>(2)</w:t>
            </w:r>
          </w:p>
        </w:tc>
        <w:tc>
          <w:tcPr>
            <w:tcW w:w="0" w:type="dxa"/>
            <w:vAlign w:val="bottom"/>
          </w:tcPr>
          <w:p>
            <w:pPr>
              <w:spacing w:after="0"/>
              <w:rPr>
                <w:sz w:val="1"/>
                <w:szCs w:val="1"/>
                <w:color w:val="auto"/>
              </w:rPr>
            </w:pPr>
          </w:p>
        </w:tc>
      </w:tr>
      <w:tr>
        <w:trPr>
          <w:trHeight w:val="243"/>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2020</w:t>
            </w:r>
          </w:p>
        </w:tc>
        <w:tc>
          <w:tcPr>
            <w:tcW w:w="2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7,922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261.28</w:t>
            </w:r>
          </w:p>
        </w:tc>
        <w:tc>
          <w:tcPr>
            <w:tcW w:w="2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299,256</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April 2020</w:t>
            </w:r>
          </w:p>
        </w:tc>
        <w:tc>
          <w:tcPr>
            <w:tcW w:w="2120" w:type="dxa"/>
            <w:vAlign w:val="bottom"/>
          </w:tcPr>
          <w:p>
            <w:pPr>
              <w:jc w:val="right"/>
              <w:ind w:right="70"/>
              <w:spacing w:after="0"/>
              <w:rPr>
                <w:sz w:val="20"/>
                <w:szCs w:val="20"/>
                <w:color w:val="auto"/>
              </w:rPr>
            </w:pPr>
            <w:r>
              <w:rPr>
                <w:rFonts w:ascii="Arial" w:cs="Arial" w:eastAsia="Arial" w:hAnsi="Arial"/>
                <w:sz w:val="18"/>
                <w:szCs w:val="18"/>
                <w:color w:val="auto"/>
              </w:rPr>
              <w:t>29,126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265.82</w:t>
            </w: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29,121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70"/>
              <w:spacing w:after="0"/>
              <w:rPr>
                <w:sz w:val="20"/>
                <w:szCs w:val="20"/>
                <w:color w:val="auto"/>
              </w:rPr>
            </w:pPr>
            <w:r>
              <w:rPr>
                <w:rFonts w:ascii="Arial" w:cs="Arial" w:eastAsia="Arial" w:hAnsi="Arial"/>
                <w:sz w:val="18"/>
                <w:szCs w:val="18"/>
                <w:color w:val="auto"/>
              </w:rPr>
              <w:t>290,329</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2020</w:t>
            </w:r>
          </w:p>
        </w:tc>
        <w:tc>
          <w:tcPr>
            <w:tcW w:w="2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9,641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270.85</w:t>
            </w:r>
          </w:p>
        </w:tc>
        <w:tc>
          <w:tcPr>
            <w:tcW w:w="2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287,616</w:t>
            </w:r>
          </w:p>
        </w:tc>
        <w:tc>
          <w:tcPr>
            <w:tcW w:w="0" w:type="dxa"/>
            <w:vAlign w:val="bottom"/>
          </w:tcPr>
          <w:p>
            <w:pPr>
              <w:spacing w:after="0"/>
              <w:rPr>
                <w:sz w:val="1"/>
                <w:szCs w:val="1"/>
                <w:color w:val="auto"/>
              </w:rPr>
            </w:pPr>
          </w:p>
        </w:tc>
      </w:tr>
      <w:tr>
        <w:trPr>
          <w:trHeight w:val="237"/>
        </w:trPr>
        <w:tc>
          <w:tcPr>
            <w:tcW w:w="2080" w:type="dxa"/>
            <w:vAlign w:val="bottom"/>
          </w:tcPr>
          <w:p>
            <w:pPr>
              <w:ind w:left="340"/>
              <w:spacing w:after="0"/>
              <w:rPr>
                <w:sz w:val="20"/>
                <w:szCs w:val="20"/>
                <w:color w:val="auto"/>
              </w:rPr>
            </w:pPr>
            <w:r>
              <w:rPr>
                <w:rFonts w:ascii="Arial" w:cs="Arial" w:eastAsia="Arial" w:hAnsi="Arial"/>
                <w:sz w:val="18"/>
                <w:szCs w:val="18"/>
                <w:color w:val="auto"/>
              </w:rPr>
              <w:t>Total</w:t>
            </w:r>
          </w:p>
        </w:tc>
        <w:tc>
          <w:tcPr>
            <w:tcW w:w="2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46,689</w:t>
            </w:r>
          </w:p>
        </w:tc>
        <w:tc>
          <w:tcPr>
            <w:tcW w:w="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46,636</w:t>
            </w:r>
          </w:p>
        </w:tc>
        <w:tc>
          <w:tcPr>
            <w:tcW w:w="2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0" w:hanging="332"/>
        <w:spacing w:after="0" w:line="277" w:lineRule="auto"/>
        <w:tabs>
          <w:tab w:leader="none" w:pos="334"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46,636 shares purchased under the existing stock repurchase program, as well as 53 shares repurchased from employees to cover their cost of taxes upon vesting of restricted stock and exercise of stock options.</w:t>
      </w:r>
    </w:p>
    <w:p>
      <w:pPr>
        <w:spacing w:after="0" w:line="129" w:lineRule="exact"/>
        <w:rPr>
          <w:rFonts w:ascii="Arial" w:cs="Arial" w:eastAsia="Arial" w:hAnsi="Arial"/>
          <w:sz w:val="18"/>
          <w:szCs w:val="18"/>
          <w:i w:val="1"/>
          <w:iCs w:val="1"/>
          <w:color w:val="auto"/>
        </w:rPr>
      </w:pPr>
    </w:p>
    <w:p>
      <w:pPr>
        <w:ind w:left="340" w:right="460" w:hanging="332"/>
        <w:spacing w:after="0" w:line="263" w:lineRule="auto"/>
        <w:tabs>
          <w:tab w:leader="none" w:pos="334"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Repurchases may be made from time to time in the open market and privately negotiated transactions, subject to market conditions. No minimum number of shares to be repurchased has been fixed. There is no timeframe to complete the repurchase program and it is expected that share repurchases will be paid using existing and future cash generated by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EXHIBITS</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set forth below.</w:t>
      </w:r>
    </w:p>
    <w:p>
      <w:pPr>
        <w:spacing w:after="0" w:line="6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20" w:type="dxa"/>
            <w:vAlign w:val="bottom"/>
            <w:gridSpan w:val="3"/>
          </w:tcPr>
          <w:p>
            <w:pPr>
              <w:jc w:val="right"/>
              <w:ind w:right="550"/>
              <w:spacing w:after="0"/>
              <w:rPr>
                <w:sz w:val="20"/>
                <w:szCs w:val="20"/>
                <w:color w:val="auto"/>
              </w:rPr>
            </w:pPr>
            <w:r>
              <w:rPr>
                <w:rFonts w:ascii="Arial" w:cs="Arial" w:eastAsia="Arial" w:hAnsi="Arial"/>
                <w:sz w:val="18"/>
                <w:szCs w:val="18"/>
                <w:color w:val="auto"/>
              </w:rPr>
              <w:t>Incorporated by Reference</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80" w:type="dxa"/>
            <w:vAlign w:val="bottom"/>
          </w:tcPr>
          <w:p>
            <w:pPr>
              <w:ind w:left="80"/>
              <w:spacing w:after="0"/>
              <w:rPr>
                <w:sz w:val="20"/>
                <w:szCs w:val="20"/>
                <w:color w:val="auto"/>
              </w:rPr>
            </w:pPr>
            <w:r>
              <w:rPr>
                <w:rFonts w:ascii="Arial" w:cs="Arial" w:eastAsia="Arial" w:hAnsi="Arial"/>
                <w:sz w:val="18"/>
                <w:szCs w:val="18"/>
                <w:color w:val="auto"/>
                <w:w w:val="95"/>
              </w:rPr>
              <w:t>Exhibit Number</w:t>
            </w:r>
          </w:p>
        </w:tc>
        <w:tc>
          <w:tcPr>
            <w:tcW w:w="5140" w:type="dxa"/>
            <w:vAlign w:val="bottom"/>
          </w:tcPr>
          <w:p>
            <w:pPr>
              <w:ind w:left="2280"/>
              <w:spacing w:after="0"/>
              <w:rPr>
                <w:sz w:val="20"/>
                <w:szCs w:val="20"/>
                <w:color w:val="auto"/>
              </w:rPr>
            </w:pPr>
            <w:r>
              <w:rPr>
                <w:rFonts w:ascii="Arial" w:cs="Arial" w:eastAsia="Arial" w:hAnsi="Arial"/>
                <w:sz w:val="18"/>
                <w:szCs w:val="18"/>
                <w:color w:val="auto"/>
              </w:rPr>
              <w:t>Exhibit</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Form</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File No.</w:t>
            </w:r>
          </w:p>
        </w:tc>
        <w:tc>
          <w:tcPr>
            <w:tcW w:w="1060" w:type="dxa"/>
            <w:vAlign w:val="bottom"/>
          </w:tcPr>
          <w:p>
            <w:pPr>
              <w:jc w:val="center"/>
              <w:spacing w:after="0"/>
              <w:rPr>
                <w:sz w:val="20"/>
                <w:szCs w:val="20"/>
                <w:color w:val="auto"/>
              </w:rPr>
            </w:pPr>
            <w:r>
              <w:rPr>
                <w:rFonts w:ascii="Arial" w:cs="Arial" w:eastAsia="Arial" w:hAnsi="Arial"/>
                <w:sz w:val="18"/>
                <w:szCs w:val="18"/>
                <w:color w:val="auto"/>
                <w:w w:val="96"/>
              </w:rPr>
              <w:t>Exhibit No.</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Filing Date</w:t>
            </w: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92"/>
              </w:rPr>
              <w:t>Filed</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5140" w:type="dxa"/>
            <w:vAlign w:val="bottom"/>
          </w:tcPr>
          <w:p>
            <w:pPr>
              <w:ind w:left="2120"/>
              <w:spacing w:after="0"/>
              <w:rPr>
                <w:sz w:val="20"/>
                <w:szCs w:val="20"/>
                <w:color w:val="auto"/>
              </w:rPr>
            </w:pPr>
            <w:r>
              <w:rPr>
                <w:rFonts w:ascii="Arial" w:cs="Arial" w:eastAsia="Arial" w:hAnsi="Arial"/>
                <w:sz w:val="18"/>
                <w:szCs w:val="18"/>
                <w:color w:val="auto"/>
              </w:rPr>
              <w:t>Description</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95"/>
              </w:rPr>
              <w:t>Herewith</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left w:val="single" w:sz="8" w:color="auto"/>
            </w:tcBorders>
            <w:vMerge w:val="restart"/>
          </w:tcPr>
          <w:p>
            <w:pPr>
              <w:ind w:left="40"/>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10.1</w:t>
              </w:r>
            </w:hyperlink>
          </w:p>
        </w:tc>
        <w:tc>
          <w:tcPr>
            <w:tcW w:w="5140" w:type="dxa"/>
            <w:vAlign w:val="bottom"/>
          </w:tcPr>
          <w:p>
            <w:pPr>
              <w:ind w:left="40"/>
              <w:spacing w:after="0"/>
              <w:rPr>
                <w:sz w:val="20"/>
                <w:szCs w:val="20"/>
                <w:color w:val="auto"/>
              </w:rPr>
            </w:pPr>
            <w:r>
              <w:rPr>
                <w:rFonts w:ascii="Arial" w:cs="Arial" w:eastAsia="Arial" w:hAnsi="Arial"/>
                <w:sz w:val="18"/>
                <w:szCs w:val="18"/>
                <w:color w:val="auto"/>
                <w:w w:val="95"/>
              </w:rPr>
              <w:t>Separation Agreement and General Release of Claims with Franck</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color w:val="auto"/>
              </w:rPr>
              <w:t>001-11869</w:t>
            </w:r>
          </w:p>
        </w:tc>
        <w:tc>
          <w:tcPr>
            <w:tcW w:w="1060" w:type="dxa"/>
            <w:vAlign w:val="bottom"/>
            <w:vMerge w:val="restart"/>
          </w:tcPr>
          <w:p>
            <w:pPr>
              <w:jc w:val="right"/>
              <w:ind w:right="250"/>
              <w:spacing w:after="0"/>
              <w:rPr>
                <w:sz w:val="20"/>
                <w:szCs w:val="20"/>
                <w:color w:val="auto"/>
              </w:rPr>
            </w:pPr>
            <w:r>
              <w:rPr>
                <w:rFonts w:ascii="Arial" w:cs="Arial" w:eastAsia="Arial" w:hAnsi="Arial"/>
                <w:sz w:val="18"/>
                <w:szCs w:val="18"/>
                <w:color w:val="auto"/>
              </w:rPr>
              <w:t>10.1</w:t>
            </w: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6/9/2020</w:t>
            </w: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280" w:type="dxa"/>
            <w:vAlign w:val="bottom"/>
            <w:tcBorders>
              <w:left w:val="single" w:sz="8" w:color="auto"/>
            </w:tcBorders>
            <w:vMerge w:val="continue"/>
          </w:tcPr>
          <w:p>
            <w:pPr>
              <w:spacing w:after="0"/>
              <w:rPr>
                <w:sz w:val="10"/>
                <w:szCs w:val="10"/>
                <w:color w:val="auto"/>
              </w:rPr>
            </w:pPr>
          </w:p>
        </w:tc>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A.R. Gossieaux</w:t>
            </w:r>
          </w:p>
        </w:tc>
        <w:tc>
          <w:tcPr>
            <w:tcW w:w="6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tcBorders>
          </w:tcPr>
          <w:p>
            <w:pPr>
              <w:spacing w:after="0"/>
              <w:rPr>
                <w:sz w:val="9"/>
                <w:szCs w:val="9"/>
                <w:color w:val="auto"/>
              </w:rPr>
            </w:pPr>
          </w:p>
        </w:tc>
        <w:tc>
          <w:tcPr>
            <w:tcW w:w="51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left w:val="single" w:sz="8" w:color="auto"/>
            </w:tcBorders>
          </w:tcPr>
          <w:p>
            <w:pPr>
              <w:spacing w:after="0"/>
              <w:rPr>
                <w:sz w:val="19"/>
                <w:szCs w:val="19"/>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9"/>
              </w:rPr>
              <w:t>Certification of the Chief Executive Officer pursuant to Rule 13a-</w:t>
            </w: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ind w:left="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31.1</w:t>
              </w:r>
            </w:hyperlink>
          </w:p>
        </w:tc>
        <w:tc>
          <w:tcPr>
            <w:tcW w:w="5140" w:type="dxa"/>
            <w:vAlign w:val="bottom"/>
          </w:tcPr>
          <w:p>
            <w:pPr>
              <w:ind w:left="40"/>
              <w:spacing w:after="0"/>
              <w:rPr>
                <w:sz w:val="20"/>
                <w:szCs w:val="20"/>
                <w:color w:val="auto"/>
              </w:rPr>
            </w:pPr>
            <w:r>
              <w:rPr>
                <w:rFonts w:ascii="Arial" w:cs="Arial" w:eastAsia="Arial" w:hAnsi="Arial"/>
                <w:sz w:val="18"/>
                <w:szCs w:val="18"/>
                <w:color w:val="auto"/>
              </w:rPr>
              <w:t>14(a) and Rule 15d-14(a) of the Securities Exchange Act, as</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amended</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left w:val="single" w:sz="8" w:color="auto"/>
            </w:tcBorders>
          </w:tcPr>
          <w:p>
            <w:pPr>
              <w:spacing w:after="0"/>
              <w:rPr>
                <w:sz w:val="19"/>
                <w:szCs w:val="19"/>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Certification of the Chief Financial Officer pursuant to Rule 13a-</w:t>
            </w: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ind w:left="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31.2</w:t>
              </w:r>
            </w:hyperlink>
          </w:p>
        </w:tc>
        <w:tc>
          <w:tcPr>
            <w:tcW w:w="5140" w:type="dxa"/>
            <w:vAlign w:val="bottom"/>
          </w:tcPr>
          <w:p>
            <w:pPr>
              <w:ind w:left="40"/>
              <w:spacing w:after="0"/>
              <w:rPr>
                <w:sz w:val="20"/>
                <w:szCs w:val="20"/>
                <w:color w:val="auto"/>
              </w:rPr>
            </w:pPr>
            <w:r>
              <w:rPr>
                <w:rFonts w:ascii="Arial" w:cs="Arial" w:eastAsia="Arial" w:hAnsi="Arial"/>
                <w:sz w:val="18"/>
                <w:szCs w:val="18"/>
                <w:color w:val="auto"/>
              </w:rPr>
              <w:t>14(a) and Rule 15d-14(a) of the Securities Exchange Act, as</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amended</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left w:val="single" w:sz="8" w:color="auto"/>
            </w:tcBorders>
          </w:tcPr>
          <w:p>
            <w:pPr>
              <w:spacing w:after="0"/>
              <w:rPr>
                <w:sz w:val="19"/>
                <w:szCs w:val="19"/>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9"/>
              </w:rPr>
              <w:t>Certification of the Chief Executive Officer pursuant to 18 U.S.C.</w:t>
            </w: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ind w:left="4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32.1</w:t>
              </w:r>
            </w:hyperlink>
          </w:p>
        </w:tc>
        <w:tc>
          <w:tcPr>
            <w:tcW w:w="5140" w:type="dxa"/>
            <w:vAlign w:val="bottom"/>
          </w:tcPr>
          <w:p>
            <w:pPr>
              <w:ind w:left="40"/>
              <w:spacing w:after="0"/>
              <w:rPr>
                <w:sz w:val="20"/>
                <w:szCs w:val="20"/>
                <w:color w:val="auto"/>
              </w:rPr>
            </w:pPr>
            <w:r>
              <w:rPr>
                <w:rFonts w:ascii="Arial" w:cs="Arial" w:eastAsia="Arial" w:hAnsi="Arial"/>
                <w:sz w:val="18"/>
                <w:szCs w:val="18"/>
                <w:color w:val="auto"/>
                <w:w w:val="92"/>
              </w:rPr>
              <w:t>1350, as adopted pursuant to Section 906 of the Sarbanes-Oxley Act</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of 2002</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left w:val="single" w:sz="8" w:color="auto"/>
            </w:tcBorders>
          </w:tcPr>
          <w:p>
            <w:pPr>
              <w:spacing w:after="0"/>
              <w:rPr>
                <w:sz w:val="19"/>
                <w:szCs w:val="19"/>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Certification of the Chief Financial Officer pursuant to 18 U.S.C.</w:t>
            </w: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ind w:left="4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32.2</w:t>
              </w:r>
            </w:hyperlink>
          </w:p>
        </w:tc>
        <w:tc>
          <w:tcPr>
            <w:tcW w:w="5140" w:type="dxa"/>
            <w:vAlign w:val="bottom"/>
          </w:tcPr>
          <w:p>
            <w:pPr>
              <w:ind w:left="40"/>
              <w:spacing w:after="0"/>
              <w:rPr>
                <w:sz w:val="20"/>
                <w:szCs w:val="20"/>
                <w:color w:val="auto"/>
              </w:rPr>
            </w:pPr>
            <w:r>
              <w:rPr>
                <w:rFonts w:ascii="Arial" w:cs="Arial" w:eastAsia="Arial" w:hAnsi="Arial"/>
                <w:sz w:val="18"/>
                <w:szCs w:val="18"/>
                <w:color w:val="auto"/>
                <w:w w:val="92"/>
              </w:rPr>
              <w:t>1350, as adopted pursuant to Section 906 of the Sarbanes-Oxley Act</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of 2002</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left w:val="single" w:sz="8" w:color="auto"/>
            </w:tcBorders>
          </w:tcPr>
          <w:p>
            <w:pPr>
              <w:spacing w:after="0"/>
              <w:rPr>
                <w:sz w:val="19"/>
                <w:szCs w:val="19"/>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212529"/>
                <w:w w:val="93"/>
              </w:rPr>
              <w:t>XBRL Instance Document - The instance document does not appear</w:t>
            </w: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101.INS</w:t>
            </w:r>
          </w:p>
        </w:tc>
        <w:tc>
          <w:tcPr>
            <w:tcW w:w="5140" w:type="dxa"/>
            <w:vAlign w:val="bottom"/>
          </w:tcPr>
          <w:p>
            <w:pPr>
              <w:ind w:left="40"/>
              <w:spacing w:after="0"/>
              <w:rPr>
                <w:sz w:val="20"/>
                <w:szCs w:val="20"/>
                <w:color w:val="auto"/>
              </w:rPr>
            </w:pPr>
            <w:r>
              <w:rPr>
                <w:rFonts w:ascii="Arial" w:cs="Arial" w:eastAsia="Arial" w:hAnsi="Arial"/>
                <w:sz w:val="18"/>
                <w:szCs w:val="18"/>
                <w:color w:val="212529"/>
              </w:rPr>
              <w:t>in the interactive data file because its XBRL tags are embedded</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tcBorders>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212529"/>
              </w:rPr>
              <w:t>within the Inline XBRL document</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101.SCH</w:t>
            </w:r>
          </w:p>
        </w:tc>
        <w:tc>
          <w:tcPr>
            <w:tcW w:w="514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101.CAL</w:t>
            </w:r>
          </w:p>
        </w:tc>
        <w:tc>
          <w:tcPr>
            <w:tcW w:w="51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101.DEF</w:t>
            </w:r>
          </w:p>
        </w:tc>
        <w:tc>
          <w:tcPr>
            <w:tcW w:w="51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101.LAB</w:t>
            </w:r>
          </w:p>
        </w:tc>
        <w:tc>
          <w:tcPr>
            <w:tcW w:w="514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101.PRE</w:t>
            </w:r>
          </w:p>
        </w:tc>
        <w:tc>
          <w:tcPr>
            <w:tcW w:w="51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104</w:t>
            </w:r>
          </w:p>
        </w:tc>
        <w:tc>
          <w:tcPr>
            <w:tcW w:w="5140" w:type="dxa"/>
            <w:vAlign w:val="bottom"/>
          </w:tcPr>
          <w:p>
            <w:pPr>
              <w:ind w:left="40"/>
              <w:spacing w:after="0"/>
              <w:rPr>
                <w:sz w:val="20"/>
                <w:szCs w:val="20"/>
                <w:color w:val="auto"/>
              </w:rPr>
            </w:pPr>
            <w:r>
              <w:rPr>
                <w:rFonts w:ascii="Arial" w:cs="Arial" w:eastAsia="Arial" w:hAnsi="Arial"/>
                <w:sz w:val="18"/>
                <w:szCs w:val="18"/>
                <w:color w:val="auto"/>
              </w:rPr>
              <w:t>Cover page Interactive Data File (formatted as Inline XBRL and</w:t>
            </w: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22"/>
        </w:trPr>
        <w:tc>
          <w:tcPr>
            <w:tcW w:w="1280" w:type="dxa"/>
            <w:vAlign w:val="bottom"/>
            <w:tcBorders>
              <w:left w:val="single" w:sz="8" w:color="auto"/>
            </w:tcBorders>
            <w:vMerge w:val="continue"/>
          </w:tcPr>
          <w:p>
            <w:pPr>
              <w:spacing w:after="0"/>
              <w:rPr>
                <w:sz w:val="10"/>
                <w:szCs w:val="10"/>
                <w:color w:val="auto"/>
              </w:rPr>
            </w:pPr>
          </w:p>
        </w:tc>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contained in Exhibit 101)</w:t>
            </w:r>
          </w:p>
        </w:tc>
        <w:tc>
          <w:tcPr>
            <w:tcW w:w="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tcBorders>
          </w:tcPr>
          <w:p>
            <w:pPr>
              <w:spacing w:after="0"/>
              <w:rPr>
                <w:sz w:val="9"/>
                <w:szCs w:val="9"/>
                <w:color w:val="auto"/>
              </w:rPr>
            </w:pPr>
          </w:p>
        </w:tc>
        <w:tc>
          <w:tcPr>
            <w:tcW w:w="51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420" w:type="dxa"/>
            <w:vAlign w:val="bottom"/>
            <w:tcBorders>
              <w:left w:val="single" w:sz="8" w:color="auto"/>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6420" w:type="dxa"/>
            <w:vAlign w:val="bottom"/>
            <w:gridSpan w:val="2"/>
          </w:tcPr>
          <w:p>
            <w:pPr>
              <w:spacing w:after="0"/>
              <w:rPr>
                <w:sz w:val="20"/>
                <w:szCs w:val="20"/>
                <w:color w:val="auto"/>
              </w:rPr>
            </w:pPr>
            <w:r>
              <w:rPr>
                <w:rFonts w:ascii="Arial" w:cs="Arial" w:eastAsia="Arial" w:hAnsi="Arial"/>
                <w:sz w:val="18"/>
                <w:szCs w:val="18"/>
                <w:i w:val="1"/>
                <w:iCs w:val="1"/>
                <w:color w:val="auto"/>
              </w:rPr>
              <w:t>(1) Indicates a management contract or compensatory plan or arrangement</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1280" w:type="dxa"/>
            <w:vAlign w:val="bottom"/>
          </w:tcPr>
          <w:p>
            <w:pPr>
              <w:spacing w:after="0"/>
              <w:rPr>
                <w:sz w:val="24"/>
                <w:szCs w:val="24"/>
                <w:color w:val="auto"/>
              </w:rPr>
            </w:pPr>
          </w:p>
        </w:tc>
        <w:tc>
          <w:tcPr>
            <w:tcW w:w="5140" w:type="dxa"/>
            <w:vAlign w:val="bottom"/>
          </w:tcPr>
          <w:p>
            <w:pPr>
              <w:ind w:left="4260"/>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FACTSET RESEARCH SYSTEMS INC.</w:t>
            </w:r>
          </w:p>
        </w:tc>
      </w:tr>
      <w:tr>
        <w:trPr>
          <w:trHeight w:val="230"/>
        </w:trPr>
        <w:tc>
          <w:tcPr>
            <w:tcW w:w="5240" w:type="dxa"/>
            <w:vAlign w:val="bottom"/>
          </w:tcPr>
          <w:p>
            <w:pPr>
              <w:spacing w:after="0"/>
              <w:rPr>
                <w:sz w:val="20"/>
                <w:szCs w:val="20"/>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40"/>
        </w:trPr>
        <w:tc>
          <w:tcPr>
            <w:tcW w:w="5240" w:type="dxa"/>
            <w:vAlign w:val="bottom"/>
          </w:tcPr>
          <w:p>
            <w:pPr>
              <w:spacing w:after="0"/>
              <w:rPr>
                <w:sz w:val="20"/>
                <w:szCs w:val="20"/>
                <w:color w:val="auto"/>
              </w:rPr>
            </w:pPr>
            <w:r>
              <w:rPr>
                <w:rFonts w:ascii="Arial" w:cs="Arial" w:eastAsia="Arial" w:hAnsi="Arial"/>
                <w:sz w:val="18"/>
                <w:szCs w:val="18"/>
                <w:color w:val="auto"/>
              </w:rPr>
              <w:t>Date: July 9, 2020</w:t>
            </w:r>
          </w:p>
        </w:tc>
        <w:tc>
          <w:tcPr>
            <w:tcW w:w="5980" w:type="dxa"/>
            <w:vAlign w:val="bottom"/>
          </w:tcPr>
          <w:p>
            <w:pPr>
              <w:ind w:left="20"/>
              <w:spacing w:after="0"/>
              <w:rPr>
                <w:sz w:val="20"/>
                <w:szCs w:val="20"/>
                <w:color w:val="auto"/>
              </w:rPr>
            </w:pPr>
            <w:r>
              <w:rPr>
                <w:rFonts w:ascii="Arial" w:cs="Arial" w:eastAsia="Arial" w:hAnsi="Arial"/>
                <w:sz w:val="18"/>
                <w:szCs w:val="18"/>
                <w:color w:val="auto"/>
              </w:rPr>
              <w:t>/s/ HELEN L. SHAN</w:t>
            </w:r>
          </w:p>
        </w:tc>
      </w:tr>
      <w:tr>
        <w:trPr>
          <w:trHeight w:val="27"/>
        </w:trPr>
        <w:tc>
          <w:tcPr>
            <w:tcW w:w="5240" w:type="dxa"/>
            <w:vAlign w:val="bottom"/>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Helen L. Shan</w:t>
            </w:r>
          </w:p>
        </w:tc>
      </w:tr>
      <w:tr>
        <w:trPr>
          <w:trHeight w:val="270"/>
        </w:trPr>
        <w:tc>
          <w:tcPr>
            <w:tcW w:w="5240" w:type="dxa"/>
            <w:vAlign w:val="bottom"/>
          </w:tcPr>
          <w:p>
            <w:pPr>
              <w:spacing w:after="0"/>
              <w:rPr>
                <w:sz w:val="23"/>
                <w:szCs w:val="23"/>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5240" w:type="dxa"/>
            <w:vAlign w:val="bottom"/>
          </w:tcPr>
          <w:p>
            <w:pPr>
              <w:spacing w:after="0"/>
              <w:rPr>
                <w:sz w:val="23"/>
                <w:szCs w:val="23"/>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27"/>
        </w:trPr>
        <w:tc>
          <w:tcPr>
            <w:tcW w:w="5240" w:type="dxa"/>
            <w:vAlign w:val="bottom"/>
          </w:tcPr>
          <w:p>
            <w:pPr>
              <w:spacing w:after="0"/>
              <w:rPr>
                <w:sz w:val="24"/>
                <w:szCs w:val="24"/>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/s/ GREGORY T. MOSKOFF</w:t>
            </w:r>
          </w:p>
        </w:tc>
      </w:tr>
      <w:tr>
        <w:trPr>
          <w:trHeight w:val="27"/>
        </w:trPr>
        <w:tc>
          <w:tcPr>
            <w:tcW w:w="5240" w:type="dxa"/>
            <w:vAlign w:val="bottom"/>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Gregory T. Moskoff</w:t>
            </w:r>
          </w:p>
        </w:tc>
      </w:tr>
      <w:tr>
        <w:trPr>
          <w:trHeight w:val="270"/>
        </w:trPr>
        <w:tc>
          <w:tcPr>
            <w:tcW w:w="5240" w:type="dxa"/>
            <w:vAlign w:val="bottom"/>
          </w:tcPr>
          <w:p>
            <w:pPr>
              <w:spacing w:after="0"/>
              <w:rPr>
                <w:sz w:val="23"/>
                <w:szCs w:val="23"/>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Senior Vice President, Controller and Chief Accounting Officer</w:t>
            </w:r>
          </w:p>
        </w:tc>
      </w:tr>
      <w:tr>
        <w:trPr>
          <w:trHeight w:val="270"/>
        </w:trPr>
        <w:tc>
          <w:tcPr>
            <w:tcW w:w="5240" w:type="dxa"/>
            <w:vAlign w:val="bottom"/>
          </w:tcPr>
          <w:p>
            <w:pPr>
              <w:spacing w:after="0"/>
              <w:rPr>
                <w:sz w:val="23"/>
                <w:szCs w:val="23"/>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184" w:lineRule="exact"/>
        <w:rPr>
          <w:rFonts w:ascii="Arial" w:cs="Arial" w:eastAsia="Arial" w:hAnsi="Arial"/>
          <w:sz w:val="18"/>
          <w:szCs w:val="18"/>
          <w:color w:val="auto"/>
        </w:rPr>
      </w:pPr>
    </w:p>
    <w:p>
      <w:pPr>
        <w:ind w:left="500" w:right="14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980" w:right="100" w:hanging="486"/>
        <w:spacing w:after="0" w:line="263" w:lineRule="auto"/>
        <w:tabs>
          <w:tab w:leader="none" w:pos="9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980" w:right="360" w:hanging="486"/>
        <w:spacing w:after="0" w:line="263"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right="600" w:hanging="486"/>
        <w:spacing w:after="0" w:line="342" w:lineRule="auto"/>
        <w:tabs>
          <w:tab w:leader="none" w:pos="97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980" w:right="100" w:hanging="486"/>
        <w:spacing w:after="0" w:line="342" w:lineRule="auto"/>
        <w:tabs>
          <w:tab w:leader="none" w:pos="968"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96" w:lineRule="exact"/>
        <w:rPr>
          <w:rFonts w:ascii="Arial" w:cs="Arial" w:eastAsia="Arial" w:hAnsi="Arial"/>
          <w:sz w:val="16"/>
          <w:szCs w:val="16"/>
          <w:color w:val="auto"/>
        </w:rPr>
      </w:pPr>
    </w:p>
    <w:p>
      <w:pPr>
        <w:ind w:left="500" w:right="16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20" w:hanging="486"/>
        <w:spacing w:after="0" w:line="308" w:lineRule="auto"/>
        <w:tabs>
          <w:tab w:leader="none" w:pos="971"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980" w:right="340" w:hanging="486"/>
        <w:spacing w:after="0" w:line="277" w:lineRule="auto"/>
        <w:tabs>
          <w:tab w:leader="none" w:pos="9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9, 2020</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 Philip Snow</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Helen L. Shan, certify that:</w:t>
      </w:r>
    </w:p>
    <w:p>
      <w:pPr>
        <w:spacing w:after="0" w:line="185"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198" w:lineRule="exact"/>
        <w:rPr>
          <w:rFonts w:ascii="Arial" w:cs="Arial" w:eastAsia="Arial" w:hAnsi="Arial"/>
          <w:sz w:val="18"/>
          <w:szCs w:val="18"/>
          <w:color w:val="auto"/>
        </w:rPr>
      </w:pPr>
    </w:p>
    <w:p>
      <w:pPr>
        <w:ind w:left="500" w:right="14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500" w:right="28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980" w:right="100" w:hanging="486"/>
        <w:spacing w:after="0" w:line="263" w:lineRule="auto"/>
        <w:tabs>
          <w:tab w:leader="none" w:pos="97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486"/>
        <w:spacing w:after="0" w:line="263" w:lineRule="auto"/>
        <w:tabs>
          <w:tab w:leader="none" w:pos="96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980" w:right="600" w:hanging="486"/>
        <w:spacing w:after="0" w:line="342" w:lineRule="auto"/>
        <w:tabs>
          <w:tab w:leader="none" w:pos="971"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jc w:val="both"/>
        <w:ind w:left="980" w:right="100" w:hanging="486"/>
        <w:spacing w:after="0" w:line="342" w:lineRule="auto"/>
        <w:tabs>
          <w:tab w:leader="none" w:pos="96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83" w:lineRule="exact"/>
        <w:rPr>
          <w:rFonts w:ascii="Arial" w:cs="Arial" w:eastAsia="Arial" w:hAnsi="Arial"/>
          <w:sz w:val="16"/>
          <w:szCs w:val="16"/>
          <w:color w:val="auto"/>
        </w:rPr>
      </w:pPr>
    </w:p>
    <w:p>
      <w:pPr>
        <w:ind w:left="500" w:right="160" w:hanging="492"/>
        <w:spacing w:after="0" w:line="308"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20" w:hanging="486"/>
        <w:spacing w:after="0" w:line="308" w:lineRule="auto"/>
        <w:tabs>
          <w:tab w:leader="none" w:pos="971"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980" w:right="340" w:hanging="486"/>
        <w:spacing w:after="0" w:line="277" w:lineRule="auto"/>
        <w:tabs>
          <w:tab w:leader="none" w:pos="96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9, 2020</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566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Helen L. Shan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66"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53"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May 31, 2020, as filed with the Securities and Exchange Commission on the date hereof (the “Report”), I, F. Philip Snow, do hereby certify, pursuant to 18 U.S.C. §1350, as adopted pursuant to §906 of the Sarbanes-Oxley Act of 2002, that:</w:t>
      </w:r>
    </w:p>
    <w:p>
      <w:pPr>
        <w:spacing w:after="0" w:line="143"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600" w:hanging="324"/>
        <w:spacing w:after="0" w:line="277" w:lineRule="auto"/>
        <w:tabs>
          <w:tab w:leader="none" w:pos="9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566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F.Philip Snow</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9, 2020</w:t>
      </w:r>
    </w:p>
    <w:p>
      <w:pPr>
        <w:sectPr>
          <w:pgSz w:w="11900" w:h="16838" w:orient="portrait"/>
          <w:cols w:equalWidth="0" w:num="1">
            <w:col w:w="11240"/>
          </w:cols>
          <w:pgMar w:left="320" w:top="89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May 31, 2020, as filed with the Securities and Exchange Commission on the date hereof (the “Report”), I, Helen L. Shan, do hereby certify, pursuant to 18 U.S.C. §1350, as adopted pursuant to §906 of the Sarbanes-Oxley Act of 2002, that:</w:t>
      </w:r>
    </w:p>
    <w:p>
      <w:pPr>
        <w:spacing w:after="0" w:line="143"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600" w:hanging="324"/>
        <w:spacing w:after="0" w:line="277" w:lineRule="auto"/>
        <w:tabs>
          <w:tab w:leader="none" w:pos="97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Helen L. Shan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9,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emdash "/>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6"/>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endash "/>
      <w:numFmt w:val="bullet"/>
      <w:start w:val="1"/>
    </w:lvl>
  </w:abstractNum>
  <w:abstractNum w:abstractNumId="13">
    <w:nsid w:val="519B500D"/>
    <w:multiLevelType w:val="hybridMultilevel"/>
    <w:lvl w:ilvl="0">
      <w:lvlJc w:val="left"/>
      <w:lvlText w:val="\endash "/>
      <w:numFmt w:val="bullet"/>
      <w:start w:val="1"/>
    </w:lvl>
  </w:abstractNum>
  <w:abstractNum w:abstractNumId="14">
    <w:nsid w:val="431BD7B7"/>
    <w:multiLevelType w:val="hybridMultilevel"/>
    <w:lvl w:ilvl="0">
      <w:lvlJc w:val="left"/>
      <w:lvlText w:val="(%1)"/>
      <w:numFmt w:val="lowerRoman"/>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87" Type="http://schemas.openxmlformats.org/officeDocument/2006/relationships/hyperlink" Target="https://www.sec.gov/Archives/edgar/data/1013237/000101323720000079/a101separation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2020-07-09T07:00:51Z</dcterms:created>
  <dcterms:modified xsi:type="dcterms:W3CDTF">2020-07-09T07:00:51Z</dcterms:modified>
</cp:coreProperties>
</file>