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3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February 29, 2020</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900" w:right="1600" w:hanging="3874"/>
        <w:spacing w:after="0" w:line="438" w:lineRule="auto"/>
        <w:tabs>
          <w:tab w:leader="none" w:pos="48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-452755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FACTSET RESEARCH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68580</wp:posOffset>
            </wp:positionV>
            <wp:extent cx="141414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64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w:t>
            </w:r>
          </w:p>
        </w:tc>
        <w:tc>
          <w:tcPr>
            <w:tcW w:w="1420" w:type="dxa"/>
            <w:vAlign w:val="bottom"/>
          </w:tcPr>
          <w:p>
            <w:pPr>
              <w:spacing w:after="0"/>
              <w:rPr>
                <w:sz w:val="17"/>
                <w:szCs w:val="17"/>
                <w:color w:val="auto"/>
              </w:rPr>
            </w:pPr>
          </w:p>
        </w:tc>
      </w:tr>
      <w:tr>
        <w:trPr>
          <w:trHeight w:val="263"/>
        </w:trPr>
        <w:tc>
          <w:tcPr>
            <w:tcW w:w="6440" w:type="dxa"/>
            <w:vAlign w:val="bottom"/>
          </w:tcPr>
          <w:p>
            <w:pPr>
              <w:jc w:val="center"/>
              <w:ind w:right="3192"/>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13-3362547</w:t>
            </w:r>
          </w:p>
        </w:tc>
      </w:tr>
      <w:tr>
        <w:trPr>
          <w:trHeight w:val="256"/>
        </w:trPr>
        <w:tc>
          <w:tcPr>
            <w:tcW w:w="6440" w:type="dxa"/>
            <w:vAlign w:val="bottom"/>
          </w:tcPr>
          <w:p>
            <w:pPr>
              <w:jc w:val="center"/>
              <w:ind w:right="3192"/>
              <w:spacing w:after="0"/>
              <w:rPr>
                <w:sz w:val="20"/>
                <w:szCs w:val="20"/>
                <w:color w:val="auto"/>
              </w:rPr>
            </w:pPr>
            <w:r>
              <w:rPr>
                <w:rFonts w:ascii="Arial" w:cs="Arial" w:eastAsia="Arial" w:hAnsi="Arial"/>
                <w:sz w:val="18"/>
                <w:szCs w:val="18"/>
                <w:color w:val="auto"/>
                <w:w w:val="92"/>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440" w:type="dxa"/>
            <w:vAlign w:val="bottom"/>
          </w:tcPr>
          <w:p>
            <w:pPr>
              <w:jc w:val="center"/>
              <w:ind w:right="3192"/>
              <w:spacing w:after="0"/>
              <w:rPr>
                <w:sz w:val="20"/>
                <w:szCs w:val="20"/>
                <w:color w:val="auto"/>
              </w:rPr>
            </w:pPr>
            <w:r>
              <w:rPr>
                <w:rFonts w:ascii="Arial" w:cs="Arial" w:eastAsia="Arial" w:hAnsi="Arial"/>
                <w:sz w:val="18"/>
                <w:szCs w:val="18"/>
                <w:color w:val="auto"/>
                <w:w w:val="94"/>
              </w:rPr>
              <w:t>incorporation)</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48"/>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06850</w:t>
            </w:r>
          </w:p>
        </w:tc>
      </w:tr>
      <w:tr>
        <w:trPr>
          <w:trHeight w:val="270"/>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2"/>
              </w:rPr>
              <w:t>(Address of principal executive office)</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7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2039620</wp:posOffset>
            </wp:positionH>
            <wp:positionV relativeFrom="paragraph">
              <wp:posOffset>-133350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992505</wp:posOffset>
            </wp:positionH>
            <wp:positionV relativeFrom="paragraph">
              <wp:posOffset>-133350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2118995</wp:posOffset>
            </wp:positionH>
            <wp:positionV relativeFrom="paragraph">
              <wp:posOffset>-86360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-86360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-86360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wp:posOffset>
            </wp:positionH>
            <wp:positionV relativeFrom="paragraph">
              <wp:posOffset>-86360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March 31, 2020 was 37,871,737.</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440" w:type="dxa"/>
            <w:vAlign w:val="bottom"/>
            <w:tcBorders>
              <w:right w:val="single" w:sz="8" w:color="auto"/>
            </w:tcBorders>
          </w:tcPr>
          <w:p>
            <w:pPr>
              <w:spacing w:after="0"/>
              <w:rPr>
                <w:sz w:val="22"/>
                <w:szCs w:val="22"/>
                <w:color w:val="auto"/>
              </w:rPr>
            </w:pPr>
          </w:p>
        </w:tc>
        <w:tc>
          <w:tcPr>
            <w:tcW w:w="3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Symbols(s)</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FDS</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 Stock Exchange LLC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vMerge w:val="restart"/>
          </w:tcPr>
          <w:p>
            <w:pPr>
              <w:spacing w:after="0"/>
              <w:rPr>
                <w:sz w:val="2"/>
                <w:szCs w:val="2"/>
                <w:color w:val="auto"/>
              </w:rPr>
            </w:pPr>
          </w:p>
        </w:tc>
        <w:tc>
          <w:tcPr>
            <w:tcW w:w="3260" w:type="dxa"/>
            <w:vAlign w:val="bottom"/>
            <w:tcBorders>
              <w:right w:val="single" w:sz="8" w:color="auto"/>
            </w:tcBorders>
            <w:vMerge w:val="continue"/>
          </w:tcPr>
          <w:p>
            <w:pPr>
              <w:spacing w:after="0"/>
              <w:rPr>
                <w:sz w:val="2"/>
                <w:szCs w:val="2"/>
                <w:color w:val="auto"/>
              </w:rPr>
            </w:pPr>
          </w:p>
        </w:tc>
        <w:tc>
          <w:tcPr>
            <w:tcW w:w="2960" w:type="dxa"/>
            <w:vAlign w:val="bottom"/>
            <w:tcBorders>
              <w:right w:val="single" w:sz="8" w:color="auto"/>
            </w:tcBorders>
            <w:vMerge w:val="continue"/>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Nasdaq Stock Market</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4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062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w w:val="99"/>
              </w:rPr>
              <w:t>Form 10-Q</w:t>
            </w:r>
          </w:p>
        </w:tc>
        <w:tc>
          <w:tcPr>
            <w:tcW w:w="36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spacing w:after="0"/>
              <w:rPr>
                <w:sz w:val="20"/>
                <w:szCs w:val="20"/>
                <w:color w:val="auto"/>
              </w:rPr>
            </w:pPr>
            <w:r>
              <w:rPr>
                <w:rFonts w:ascii="Arial" w:cs="Arial" w:eastAsia="Arial" w:hAnsi="Arial"/>
                <w:sz w:val="18"/>
                <w:szCs w:val="18"/>
                <w:b w:val="1"/>
                <w:bCs w:val="1"/>
                <w:color w:val="auto"/>
              </w:rPr>
              <w:t>For the Quarter Ended February 29, 2020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34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970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700" w:type="dxa"/>
            <w:vAlign w:val="bottom"/>
            <w:gridSpan w:val="2"/>
            <w:shd w:val="clear" w:color="auto" w:fill="CCEEFF"/>
          </w:tcPr>
          <w:p>
            <w:pPr>
              <w:ind w:left="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700" w:type="dxa"/>
            <w:vAlign w:val="bottom"/>
            <w:gridSpan w:val="2"/>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Income for the </w:t>
              </w:r>
            </w:hyperlink>
            <w:r>
              <w:rPr>
                <w:rFonts w:ascii="Arial" w:cs="Arial" w:eastAsia="Arial" w:hAnsi="Arial"/>
                <w:sz w:val="18"/>
                <w:szCs w:val="18"/>
                <w:color w:val="auto"/>
              </w:rPr>
              <w:t xml:space="preserve">three and six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February 29, 2020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February 28, 2019</w:t>
            </w:r>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w w:val="92"/>
              </w:rPr>
            </w:pPr>
            <w:hyperlink w:anchor="page4">
              <w:r>
                <w:rPr>
                  <w:rFonts w:ascii="Arial" w:cs="Arial" w:eastAsia="Arial" w:hAnsi="Arial"/>
                  <w:sz w:val="18"/>
                  <w:szCs w:val="18"/>
                  <w:color w:val="auto"/>
                  <w:w w:val="92"/>
                </w:rPr>
                <w:t xml:space="preserve">Consolidated Statements of Comprehensive Income for the </w:t>
              </w:r>
            </w:hyperlink>
            <w:r>
              <w:rPr>
                <w:rFonts w:ascii="Arial" w:cs="Arial" w:eastAsia="Arial" w:hAnsi="Arial"/>
                <w:sz w:val="18"/>
                <w:szCs w:val="18"/>
                <w:color w:val="auto"/>
                <w:w w:val="92"/>
              </w:rPr>
              <w:t>three and six months ended February 29, 2020 and February 28, 2019</w:t>
            </w:r>
          </w:p>
        </w:tc>
        <w:tc>
          <w:tcPr>
            <w:tcW w:w="6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at </w:t>
              </w:r>
            </w:hyperlink>
            <w:r>
              <w:rPr>
                <w:rFonts w:ascii="Arial" w:cs="Arial" w:eastAsia="Arial" w:hAnsi="Arial"/>
                <w:sz w:val="18"/>
                <w:szCs w:val="18"/>
                <w:color w:val="auto"/>
              </w:rPr>
              <w:t xml:space="preserve">February 29, 2020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August 31, 2019</w:t>
            </w:r>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w:t>
              </w:r>
            </w:hyperlink>
            <w:r>
              <w:rPr>
                <w:rFonts w:ascii="Arial" w:cs="Arial" w:eastAsia="Arial" w:hAnsi="Arial"/>
                <w:sz w:val="18"/>
                <w:szCs w:val="18"/>
                <w:color w:val="auto"/>
              </w:rPr>
              <w:t xml:space="preserve">six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February 29, 2020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February 28, 2019</w:t>
            </w:r>
          </w:p>
        </w:tc>
        <w:tc>
          <w:tcPr>
            <w:tcW w:w="6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700" w:type="dxa"/>
            <w:vAlign w:val="bottom"/>
            <w:gridSpan w:val="2"/>
            <w:shd w:val="clear" w:color="auto" w:fill="CCEEFF"/>
          </w:tcPr>
          <w:p>
            <w:pPr>
              <w:ind w:left="60"/>
              <w:spacing w:after="0" w:line="176" w:lineRule="exact"/>
              <w:rPr>
                <w:rFonts w:ascii="Arial" w:cs="Arial" w:eastAsia="Arial" w:hAnsi="Arial"/>
                <w:sz w:val="18"/>
                <w:szCs w:val="18"/>
                <w:color w:val="auto"/>
                <w:w w:val="90"/>
              </w:rPr>
            </w:pPr>
            <w:hyperlink w:anchor="page7">
              <w:r>
                <w:rPr>
                  <w:rFonts w:ascii="Arial" w:cs="Arial" w:eastAsia="Arial" w:hAnsi="Arial"/>
                  <w:sz w:val="18"/>
                  <w:szCs w:val="18"/>
                  <w:color w:val="auto"/>
                  <w:w w:val="90"/>
                </w:rPr>
                <w:t xml:space="preserve">Consolidated Statements of Changes in Stockholders’ Equity for the </w:t>
              </w:r>
            </w:hyperlink>
            <w:r>
              <w:rPr>
                <w:rFonts w:ascii="Arial" w:cs="Arial" w:eastAsia="Arial" w:hAnsi="Arial"/>
                <w:sz w:val="18"/>
                <w:szCs w:val="18"/>
                <w:color w:val="auto"/>
                <w:w w:val="90"/>
              </w:rPr>
              <w:t xml:space="preserve">three and six </w:t>
            </w:r>
            <w:hyperlink w:anchor="page7">
              <w:r>
                <w:rPr>
                  <w:rFonts w:ascii="Arial" w:cs="Arial" w:eastAsia="Arial" w:hAnsi="Arial"/>
                  <w:sz w:val="18"/>
                  <w:szCs w:val="18"/>
                  <w:color w:val="auto"/>
                  <w:w w:val="90"/>
                </w:rPr>
                <w:t xml:space="preserve">months ended </w:t>
              </w:r>
            </w:hyperlink>
            <w:r>
              <w:rPr>
                <w:rFonts w:ascii="Arial" w:cs="Arial" w:eastAsia="Arial" w:hAnsi="Arial"/>
                <w:sz w:val="18"/>
                <w:szCs w:val="18"/>
                <w:color w:val="auto"/>
                <w:w w:val="90"/>
              </w:rPr>
              <w:t xml:space="preserve">February 29, 2020 </w:t>
            </w:r>
            <w:hyperlink w:anchor="page3">
              <w:r>
                <w:rPr>
                  <w:rFonts w:ascii="Arial" w:cs="Arial" w:eastAsia="Arial" w:hAnsi="Arial"/>
                  <w:sz w:val="18"/>
                  <w:szCs w:val="18"/>
                  <w:color w:val="auto"/>
                  <w:w w:val="90"/>
                </w:rPr>
                <w:t xml:space="preserve">and </w:t>
              </w:r>
            </w:hyperlink>
            <w:r>
              <w:rPr>
                <w:rFonts w:ascii="Arial" w:cs="Arial" w:eastAsia="Arial" w:hAnsi="Arial"/>
                <w:sz w:val="18"/>
                <w:szCs w:val="18"/>
                <w:color w:val="auto"/>
                <w:w w:val="90"/>
              </w:rPr>
              <w:t>February 28,</w:t>
            </w:r>
          </w:p>
        </w:tc>
        <w:tc>
          <w:tcPr>
            <w:tcW w:w="620" w:type="dxa"/>
            <w:vAlign w:val="bottom"/>
            <w:vMerge w:val="restart"/>
            <w:shd w:val="clear" w:color="auto" w:fill="CCEEFF"/>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7</w:t>
              </w:r>
            </w:hyperlink>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9700" w:type="dxa"/>
            <w:vAlign w:val="bottom"/>
            <w:gridSpan w:val="2"/>
          </w:tcPr>
          <w:p>
            <w:pPr>
              <w:ind w:left="60"/>
              <w:spacing w:after="0" w:line="176" w:lineRule="exact"/>
              <w:rPr>
                <w:rFonts w:ascii="Arial" w:cs="Arial" w:eastAsia="Arial" w:hAnsi="Arial"/>
                <w:sz w:val="18"/>
                <w:szCs w:val="18"/>
                <w:color w:val="auto"/>
                <w:w w:val="90"/>
              </w:rPr>
            </w:pPr>
            <w:hyperlink w:anchor="page8">
              <w:r>
                <w:rPr>
                  <w:rFonts w:ascii="Arial" w:cs="Arial" w:eastAsia="Arial" w:hAnsi="Arial"/>
                  <w:sz w:val="18"/>
                  <w:szCs w:val="18"/>
                  <w:color w:val="auto"/>
                  <w:w w:val="90"/>
                </w:rPr>
                <w:t xml:space="preserve">Consolidated Statements of Changes in Stockholders’ Equity for the </w:t>
              </w:r>
            </w:hyperlink>
            <w:r>
              <w:rPr>
                <w:rFonts w:ascii="Arial" w:cs="Arial" w:eastAsia="Arial" w:hAnsi="Arial"/>
                <w:sz w:val="18"/>
                <w:szCs w:val="18"/>
                <w:color w:val="auto"/>
                <w:w w:val="90"/>
              </w:rPr>
              <w:t xml:space="preserve">three and six </w:t>
            </w:r>
            <w:hyperlink w:anchor="page8">
              <w:r>
                <w:rPr>
                  <w:rFonts w:ascii="Arial" w:cs="Arial" w:eastAsia="Arial" w:hAnsi="Arial"/>
                  <w:sz w:val="18"/>
                  <w:szCs w:val="18"/>
                  <w:color w:val="auto"/>
                  <w:w w:val="90"/>
                </w:rPr>
                <w:t xml:space="preserve">months ended </w:t>
              </w:r>
            </w:hyperlink>
            <w:r>
              <w:rPr>
                <w:rFonts w:ascii="Arial" w:cs="Arial" w:eastAsia="Arial" w:hAnsi="Arial"/>
                <w:sz w:val="18"/>
                <w:szCs w:val="18"/>
                <w:color w:val="auto"/>
                <w:w w:val="90"/>
              </w:rPr>
              <w:t xml:space="preserve">February 29, 2020 </w:t>
            </w:r>
            <w:hyperlink w:anchor="page3">
              <w:r>
                <w:rPr>
                  <w:rFonts w:ascii="Arial" w:cs="Arial" w:eastAsia="Arial" w:hAnsi="Arial"/>
                  <w:sz w:val="18"/>
                  <w:szCs w:val="18"/>
                  <w:color w:val="auto"/>
                  <w:w w:val="90"/>
                </w:rPr>
                <w:t xml:space="preserve">and </w:t>
              </w:r>
            </w:hyperlink>
            <w:r>
              <w:rPr>
                <w:rFonts w:ascii="Arial" w:cs="Arial" w:eastAsia="Arial" w:hAnsi="Arial"/>
                <w:sz w:val="18"/>
                <w:szCs w:val="18"/>
                <w:color w:val="auto"/>
                <w:w w:val="90"/>
              </w:rPr>
              <w:t>February 28,</w:t>
            </w:r>
          </w:p>
        </w:tc>
        <w:tc>
          <w:tcPr>
            <w:tcW w:w="620" w:type="dxa"/>
            <w:vAlign w:val="bottom"/>
            <w:vMerge w:val="restart"/>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7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9">
              <w:r>
                <w:rPr>
                  <w:rFonts w:ascii="Arial" w:cs="Arial" w:eastAsia="Arial" w:hAnsi="Arial"/>
                  <w:sz w:val="18"/>
                  <w:szCs w:val="18"/>
                  <w:color w:val="auto"/>
                </w:rPr>
                <w:t>Notes to the Consolidated Financial Statements</w:t>
              </w:r>
            </w:hyperlink>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9">
              <w:r>
                <w:rPr>
                  <w:rFonts w:ascii="Arial" w:cs="Arial" w:eastAsia="Arial" w:hAnsi="Arial"/>
                  <w:sz w:val="18"/>
                  <w:szCs w:val="18"/>
                  <w:color w:val="auto"/>
                  <w:w w:val="99"/>
                </w:rPr>
                <w:t>9</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62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28</w:t>
              </w:r>
            </w:hyperlink>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6">
              <w:r>
                <w:rPr>
                  <w:rFonts w:ascii="Arial" w:cs="Arial" w:eastAsia="Arial" w:hAnsi="Arial"/>
                  <w:sz w:val="18"/>
                  <w:szCs w:val="18"/>
                  <w:color w:val="auto"/>
                </w:rPr>
                <w:t>Quantitative and Qualitative Disclosures About Market Risk</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48">
              <w:r>
                <w:rPr>
                  <w:rFonts w:ascii="Arial" w:cs="Arial" w:eastAsia="Arial" w:hAnsi="Arial"/>
                  <w:sz w:val="18"/>
                  <w:szCs w:val="18"/>
                  <w:color w:val="auto"/>
                </w:rPr>
                <w:t>Controls and Procedures</w:t>
              </w:r>
            </w:hyperlink>
          </w:p>
        </w:tc>
        <w:tc>
          <w:tcPr>
            <w:tcW w:w="620" w:type="dxa"/>
            <w:vAlign w:val="bottom"/>
          </w:tcPr>
          <w:p>
            <w:pPr>
              <w:jc w:val="center"/>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ind w:left="20"/>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Part II</w:t>
              </w:r>
            </w:hyperlink>
          </w:p>
        </w:tc>
        <w:tc>
          <w:tcPr>
            <w:tcW w:w="9700" w:type="dxa"/>
            <w:vAlign w:val="bottom"/>
            <w:gridSpan w:val="2"/>
            <w:shd w:val="clear" w:color="auto" w:fill="CCEEFF"/>
          </w:tcPr>
          <w:p>
            <w:pPr>
              <w:ind w:left="60"/>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OTHER INFORMATION</w:t>
              </w:r>
            </w:hyperlink>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1.</w:t>
              </w:r>
            </w:hyperlink>
          </w:p>
        </w:tc>
        <w:tc>
          <w:tcPr>
            <w:tcW w:w="9700" w:type="dxa"/>
            <w:vAlign w:val="bottom"/>
            <w:gridSpan w:val="2"/>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Legal Proceedings</w:t>
              </w:r>
            </w:hyperlink>
          </w:p>
        </w:tc>
        <w:tc>
          <w:tcPr>
            <w:tcW w:w="62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Item 1A.</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0">
              <w:r>
                <w:rPr>
                  <w:rFonts w:ascii="Arial" w:cs="Arial" w:eastAsia="Arial" w:hAnsi="Arial"/>
                  <w:sz w:val="18"/>
                  <w:szCs w:val="18"/>
                  <w:color w:val="auto"/>
                </w:rPr>
                <w:t>Risk Factors</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Unregistered Sales of Equity Securities and Use of Proceeds</w:t>
              </w:r>
            </w:hyperlink>
          </w:p>
        </w:tc>
        <w:tc>
          <w:tcPr>
            <w:tcW w:w="62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Defaults Upon Senior Securities</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Mine Safety Disclosures</w:t>
              </w:r>
            </w:hyperlink>
          </w:p>
        </w:tc>
        <w:tc>
          <w:tcPr>
            <w:tcW w:w="62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Item 5.</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Other Information</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Item 6.</w:t>
              </w:r>
            </w:hyperlink>
          </w:p>
        </w:tc>
        <w:tc>
          <w:tcPr>
            <w:tcW w:w="9700" w:type="dxa"/>
            <w:vAlign w:val="bottom"/>
            <w:gridSpan w:val="2"/>
          </w:tcPr>
          <w:p>
            <w:pPr>
              <w:ind w:left="60"/>
              <w:spacing w:after="0"/>
              <w:rPr>
                <w:rFonts w:ascii="Arial" w:cs="Arial" w:eastAsia="Arial" w:hAnsi="Arial"/>
                <w:sz w:val="18"/>
                <w:szCs w:val="18"/>
                <w:color w:val="auto"/>
              </w:rPr>
            </w:pPr>
            <w:hyperlink w:anchor="page52">
              <w:r>
                <w:rPr>
                  <w:rFonts w:ascii="Arial" w:cs="Arial" w:eastAsia="Arial" w:hAnsi="Arial"/>
                  <w:sz w:val="18"/>
                  <w:szCs w:val="18"/>
                  <w:color w:val="auto"/>
                </w:rPr>
                <w:t>Exhibits</w:t>
              </w:r>
            </w:hyperlink>
          </w:p>
        </w:tc>
        <w:tc>
          <w:tcPr>
            <w:tcW w:w="62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52</w:t>
              </w:r>
            </w:hyperlink>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3">
              <w:r>
                <w:rPr>
                  <w:rFonts w:ascii="Arial" w:cs="Arial" w:eastAsia="Arial" w:hAnsi="Arial"/>
                  <w:sz w:val="18"/>
                  <w:szCs w:val="18"/>
                  <w:color w:val="auto"/>
                </w:rPr>
                <w:t>Signatures</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430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4820" w:type="dxa"/>
            <w:vAlign w:val="bottom"/>
            <w:gridSpan w:val="4"/>
          </w:tcPr>
          <w:p>
            <w:pPr>
              <w:spacing w:after="0"/>
              <w:rPr>
                <w:sz w:val="20"/>
                <w:szCs w:val="20"/>
                <w:color w:val="auto"/>
              </w:rPr>
            </w:pPr>
            <w:r>
              <w:rPr>
                <w:rFonts w:ascii="Arial" w:cs="Arial" w:eastAsia="Arial" w:hAnsi="Arial"/>
                <w:sz w:val="18"/>
                <w:szCs w:val="18"/>
                <w:b w:val="1"/>
                <w:bCs w:val="1"/>
                <w:color w:val="auto"/>
                <w:w w:val="98"/>
              </w:rPr>
              <w:t>CONSOLIDATED STATEMENTS OF INCOME – Unaudited</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20" w:type="dxa"/>
            <w:vAlign w:val="bottom"/>
            <w:gridSpan w:val="3"/>
          </w:tcPr>
          <w:p>
            <w:pPr>
              <w:jc w:val="right"/>
              <w:ind w:right="83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3"/>
                <w:szCs w:val="23"/>
                <w:color w:val="auto"/>
              </w:rPr>
            </w:pPr>
          </w:p>
        </w:tc>
        <w:tc>
          <w:tcPr>
            <w:tcW w:w="3080" w:type="dxa"/>
            <w:vAlign w:val="bottom"/>
            <w:gridSpan w:val="3"/>
          </w:tcPr>
          <w:p>
            <w:pPr>
              <w:jc w:val="right"/>
              <w:ind w:right="890"/>
              <w:spacing w:after="0"/>
              <w:rPr>
                <w:sz w:val="20"/>
                <w:szCs w:val="20"/>
                <w:color w:val="auto"/>
              </w:rPr>
            </w:pPr>
            <w:r>
              <w:rPr>
                <w:rFonts w:ascii="Arial" w:cs="Arial" w:eastAsia="Arial" w:hAnsi="Arial"/>
                <w:sz w:val="18"/>
                <w:szCs w:val="18"/>
                <w:color w:val="auto"/>
              </w:rPr>
              <w:t>Six Months Ended</w:t>
            </w:r>
          </w:p>
        </w:tc>
      </w:tr>
      <w:tr>
        <w:trPr>
          <w:trHeight w:val="270"/>
        </w:trPr>
        <w:tc>
          <w:tcPr>
            <w:tcW w:w="12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w w:val="90"/>
              </w:rPr>
              <w:t>February 29,</w:t>
            </w:r>
          </w:p>
        </w:tc>
        <w:tc>
          <w:tcPr>
            <w:tcW w:w="3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w w:val="97"/>
              </w:rPr>
              <w:t>February 28,</w:t>
            </w:r>
          </w:p>
        </w:tc>
        <w:tc>
          <w:tcPr>
            <w:tcW w:w="320" w:type="dxa"/>
            <w:vAlign w:val="bottom"/>
          </w:tcPr>
          <w:p>
            <w:pPr>
              <w:spacing w:after="0"/>
              <w:rPr>
                <w:sz w:val="23"/>
                <w:szCs w:val="23"/>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w w:val="99"/>
              </w:rPr>
              <w:t>February 29,</w:t>
            </w:r>
          </w:p>
        </w:tc>
        <w:tc>
          <w:tcPr>
            <w:tcW w:w="34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9"/>
              </w:rPr>
              <w:t>February 28,</w:t>
            </w:r>
          </w:p>
        </w:tc>
      </w:tr>
      <w:tr>
        <w:trPr>
          <w:trHeight w:val="270"/>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35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369,780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354,895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736,438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706,535</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176,218</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165,108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341,175</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331,884</w:t>
            </w:r>
          </w:p>
        </w:tc>
      </w:tr>
      <w:tr>
        <w:trPr>
          <w:trHeight w:val="243"/>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87,305</w:t>
            </w:r>
          </w:p>
        </w:tc>
        <w:tc>
          <w:tcPr>
            <w:tcW w:w="3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81,099</w:t>
            </w:r>
          </w:p>
        </w:tc>
        <w:tc>
          <w:tcPr>
            <w:tcW w:w="3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175,820</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165,424</w:t>
            </w:r>
          </w:p>
        </w:tc>
      </w:tr>
      <w:tr>
        <w:trPr>
          <w:trHeight w:val="27"/>
        </w:trPr>
        <w:tc>
          <w:tcPr>
            <w:tcW w:w="35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263,523</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246,207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516,995</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497,308</w:t>
            </w:r>
          </w:p>
        </w:tc>
      </w:tr>
      <w:tr>
        <w:trPr>
          <w:trHeight w:val="257"/>
        </w:trPr>
        <w:tc>
          <w:tcPr>
            <w:tcW w:w="354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35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106,257</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108,688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219,443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209,227</w:t>
            </w:r>
          </w:p>
        </w:tc>
      </w:tr>
      <w:tr>
        <w:trPr>
          <w:trHeight w:val="257"/>
        </w:trPr>
        <w:tc>
          <w:tcPr>
            <w:tcW w:w="354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(2,661)</w:t>
            </w:r>
          </w:p>
        </w:tc>
        <w:tc>
          <w:tcPr>
            <w:tcW w:w="3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(4,211)</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(5,792)</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(8,670)</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37"/>
        </w:trPr>
        <w:tc>
          <w:tcPr>
            <w:tcW w:w="3540" w:type="dxa"/>
            <w:vAlign w:val="bottom"/>
            <w:gridSpan w:val="2"/>
          </w:tcPr>
          <w:p>
            <w:pPr>
              <w:ind w:left="66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103,109</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104,349</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211,850</w:t>
            </w: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200,292</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3540" w:type="dxa"/>
            <w:vAlign w:val="bottom"/>
            <w:gridSpan w:val="2"/>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14,423</w:t>
            </w:r>
          </w:p>
        </w:tc>
        <w:tc>
          <w:tcPr>
            <w:tcW w:w="3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19,647</w:t>
            </w:r>
          </w:p>
        </w:tc>
        <w:tc>
          <w:tcPr>
            <w:tcW w:w="3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29,207</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31,294</w:t>
            </w:r>
          </w:p>
        </w:tc>
      </w:tr>
      <w:tr>
        <w:trPr>
          <w:trHeight w:val="27"/>
        </w:trPr>
        <w:tc>
          <w:tcPr>
            <w:tcW w:w="35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3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88,686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84,702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182,643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168,998</w:t>
            </w:r>
          </w:p>
        </w:tc>
      </w:tr>
      <w:tr>
        <w:trPr>
          <w:trHeight w:val="20"/>
        </w:trPr>
        <w:tc>
          <w:tcPr>
            <w:tcW w:w="35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4.73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4.37</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3540" w:type="dxa"/>
            <w:vAlign w:val="bottom"/>
            <w:gridSpan w:val="2"/>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37,875</w:t>
            </w:r>
          </w:p>
        </w:tc>
        <w:tc>
          <w:tcPr>
            <w:tcW w:w="3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38,055</w:t>
            </w:r>
          </w:p>
        </w:tc>
        <w:tc>
          <w:tcPr>
            <w:tcW w:w="3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37,927</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38,081</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38,576</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38,619</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38,582</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38,714</w:t>
            </w:r>
          </w:p>
        </w:tc>
      </w:tr>
      <w:tr>
        <w:trPr>
          <w:trHeight w:val="27"/>
        </w:trPr>
        <w:tc>
          <w:tcPr>
            <w:tcW w:w="12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77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6460" w:type="dxa"/>
            <w:vAlign w:val="bottom"/>
            <w:gridSpan w:val="4"/>
          </w:tcPr>
          <w:p>
            <w:pPr>
              <w:spacing w:after="0"/>
              <w:rPr>
                <w:sz w:val="20"/>
                <w:szCs w:val="20"/>
                <w:color w:val="auto"/>
              </w:rPr>
            </w:pPr>
            <w:r>
              <w:rPr>
                <w:rFonts w:ascii="Arial" w:cs="Arial" w:eastAsia="Arial" w:hAnsi="Arial"/>
                <w:sz w:val="18"/>
                <w:szCs w:val="18"/>
                <w:b w:val="1"/>
                <w:bCs w:val="1"/>
                <w:color w:val="auto"/>
                <w:w w:val="99"/>
              </w:rPr>
              <w:t>CONSOLIDATED STATEMENTS OF COMPREHENSIVE INCOME – 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6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3"/>
                <w:szCs w:val="23"/>
                <w:color w:val="auto"/>
              </w:rPr>
            </w:pPr>
          </w:p>
        </w:tc>
        <w:tc>
          <w:tcPr>
            <w:tcW w:w="2960" w:type="dxa"/>
            <w:vAlign w:val="bottom"/>
            <w:gridSpan w:val="3"/>
          </w:tcPr>
          <w:p>
            <w:pPr>
              <w:jc w:val="right"/>
              <w:ind w:right="810"/>
              <w:spacing w:after="0"/>
              <w:rPr>
                <w:sz w:val="20"/>
                <w:szCs w:val="20"/>
                <w:color w:val="auto"/>
              </w:rPr>
            </w:pPr>
            <w:r>
              <w:rPr>
                <w:rFonts w:ascii="Arial" w:cs="Arial" w:eastAsia="Arial" w:hAnsi="Arial"/>
                <w:sz w:val="18"/>
                <w:szCs w:val="18"/>
                <w:color w:val="auto"/>
              </w:rPr>
              <w:t>Six Months Ended</w:t>
            </w:r>
          </w:p>
        </w:tc>
      </w:tr>
      <w:tr>
        <w:trPr>
          <w:trHeight w:val="270"/>
        </w:trPr>
        <w:tc>
          <w:tcPr>
            <w:tcW w:w="12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w w:val="97"/>
              </w:rPr>
              <w:t>February 29,</w:t>
            </w:r>
          </w:p>
        </w:tc>
        <w:tc>
          <w:tcPr>
            <w:tcW w:w="20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7"/>
              </w:rPr>
              <w:t>February 28,</w:t>
            </w:r>
          </w:p>
        </w:tc>
        <w:tc>
          <w:tcPr>
            <w:tcW w:w="32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w w:val="97"/>
              </w:rPr>
              <w:t>February 29,</w:t>
            </w:r>
          </w:p>
        </w:tc>
        <w:tc>
          <w:tcPr>
            <w:tcW w:w="32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w w:val="97"/>
              </w:rPr>
              <w:t>February 28,</w:t>
            </w: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3"/>
                <w:szCs w:val="23"/>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3"/>
                <w:szCs w:val="23"/>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3"/>
                <w:szCs w:val="23"/>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2019</w:t>
            </w:r>
          </w:p>
        </w:tc>
      </w:tr>
      <w:tr>
        <w:trPr>
          <w:trHeight w:val="27"/>
        </w:trPr>
        <w:tc>
          <w:tcPr>
            <w:tcW w:w="4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88,686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84,702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182,643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168,998</w:t>
            </w:r>
          </w:p>
        </w:tc>
      </w:tr>
      <w:tr>
        <w:trPr>
          <w:trHeight w:val="256"/>
        </w:trPr>
        <w:tc>
          <w:tcPr>
            <w:tcW w:w="47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Net unrealized (loss) gain on cash flow hedges*</w:t>
            </w:r>
          </w:p>
        </w:tc>
        <w:tc>
          <w:tcPr>
            <w:tcW w:w="22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1,843</w:t>
            </w:r>
          </w:p>
        </w:tc>
        <w:tc>
          <w:tcPr>
            <w:tcW w:w="3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1,565</w:t>
            </w:r>
          </w:p>
        </w:tc>
      </w:tr>
      <w:tr>
        <w:trPr>
          <w:trHeight w:val="27"/>
        </w:trPr>
        <w:tc>
          <w:tcPr>
            <w:tcW w:w="4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(1,565)</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5,026</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6,222</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(4,478)</w:t>
            </w:r>
          </w:p>
        </w:tc>
      </w:tr>
      <w:tr>
        <w:trPr>
          <w:trHeight w:val="237"/>
        </w:trPr>
        <w:tc>
          <w:tcPr>
            <w:tcW w:w="4780" w:type="dxa"/>
            <w:vAlign w:val="bottom"/>
            <w:gridSpan w:val="2"/>
          </w:tcPr>
          <w:p>
            <w:pPr>
              <w:ind w:left="78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(1,773)</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5,553</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8,065</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7"/>
        </w:trPr>
        <w:tc>
          <w:tcPr>
            <w:tcW w:w="47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86,913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90,255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190,708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166,085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8"/>
        <w:spacing w:after="0" w:line="263"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and six months ended February 29, 2020, the unrealized (loss) gain on cash flow hedges were net of a tax benefit of $73 thousand and a tax expense of $641 thousand, respectively. For the three and six months ended February 28, 2019, the unrealized gain on cash flow hedges was net of a tax expense of $179 thousand and $767 thousand,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color w:val="auto"/>
                <w:w w:val="99"/>
              </w:rPr>
              <w:t>February 29,</w:t>
            </w:r>
          </w:p>
        </w:tc>
        <w:tc>
          <w:tcPr>
            <w:tcW w:w="28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7"/>
              </w:rPr>
              <w:t>August 31,</w:t>
            </w:r>
          </w:p>
        </w:tc>
        <w:tc>
          <w:tcPr>
            <w:tcW w:w="0" w:type="dxa"/>
            <w:vAlign w:val="bottom"/>
          </w:tcPr>
          <w:p>
            <w:pPr>
              <w:spacing w:after="0"/>
              <w:rPr>
                <w:sz w:val="1"/>
                <w:szCs w:val="1"/>
                <w:color w:val="auto"/>
              </w:rPr>
            </w:pPr>
          </w:p>
        </w:tc>
      </w:tr>
      <w:tr>
        <w:trPr>
          <w:trHeight w:val="230"/>
        </w:trPr>
        <w:tc>
          <w:tcPr>
            <w:tcW w:w="82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343,488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359,799</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23,885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25,813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 of $7,939 at February 29, 2020 and $10,511 at August 31, 2019</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168,139</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146,309</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25,917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39,676</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601,105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583,812</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135,016</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119,384</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690,637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685,729</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128,243</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133,691</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7,172</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20"/>
              <w:spacing w:after="0"/>
              <w:rPr>
                <w:sz w:val="20"/>
                <w:szCs w:val="20"/>
                <w:color w:val="auto"/>
              </w:rPr>
            </w:pPr>
            <w:r>
              <w:rPr>
                <w:rFonts w:ascii="Arial" w:cs="Arial" w:eastAsia="Arial" w:hAnsi="Arial"/>
                <w:sz w:val="18"/>
                <w:szCs w:val="18"/>
                <w:color w:val="auto"/>
              </w:rPr>
              <w:t>Lease right-of-use assets, net</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235,930</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30,469</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29,943</w:t>
            </w:r>
          </w:p>
        </w:tc>
        <w:tc>
          <w:tcPr>
            <w:tcW w:w="0" w:type="dxa"/>
            <w:vAlign w:val="bottom"/>
          </w:tcPr>
          <w:p>
            <w:pPr>
              <w:spacing w:after="0"/>
              <w:rPr>
                <w:sz w:val="1"/>
                <w:szCs w:val="1"/>
                <w:color w:val="auto"/>
              </w:rPr>
            </w:pPr>
          </w:p>
        </w:tc>
      </w:tr>
      <w:tr>
        <w:trPr>
          <w:trHeight w:val="263"/>
        </w:trPr>
        <w:tc>
          <w:tcPr>
            <w:tcW w:w="8200" w:type="dxa"/>
            <w:vAlign w:val="bottom"/>
            <w:gridSpan w:val="2"/>
          </w:tcPr>
          <w:p>
            <w:pPr>
              <w:ind w:left="9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1,828,572</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73,454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79,620</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27,830</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40,810</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64,202</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fees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59,184</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47,656</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27,251</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228,529</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218,923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574,264</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574,174</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13,562</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16,391</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Deferred fees</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9,344</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25,958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257,235</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2,920</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42,006</w:t>
            </w:r>
          </w:p>
        </w:tc>
        <w:tc>
          <w:tcPr>
            <w:tcW w:w="0" w:type="dxa"/>
            <w:vAlign w:val="bottom"/>
          </w:tcPr>
          <w:p>
            <w:pPr>
              <w:spacing w:after="0"/>
              <w:rPr>
                <w:sz w:val="1"/>
                <w:szCs w:val="1"/>
                <w:color w:val="auto"/>
              </w:rPr>
            </w:pPr>
          </w:p>
        </w:tc>
      </w:tr>
      <w:tr>
        <w:trPr>
          <w:trHeight w:val="264"/>
        </w:trPr>
        <w:tc>
          <w:tcPr>
            <w:tcW w:w="82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1,111,812</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887,874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color w:val="auto"/>
                <w:highlight w:val="white"/>
              </w:rPr>
              <w:t>(see Note 16)</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0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Common stock, $0.01 par value, 150,000,000 shares authorized, 40,452,351 and 40,104,192 shares issued,</w:t>
            </w:r>
          </w:p>
        </w:tc>
        <w:tc>
          <w:tcPr>
            <w:tcW w:w="240" w:type="dxa"/>
            <w:vAlign w:val="bottom"/>
          </w:tcPr>
          <w:p>
            <w:pPr>
              <w:spacing w:after="0"/>
              <w:rPr>
                <w:sz w:val="15"/>
                <w:szCs w:val="15"/>
                <w:color w:val="auto"/>
              </w:rPr>
            </w:pPr>
          </w:p>
        </w:tc>
        <w:tc>
          <w:tcPr>
            <w:tcW w:w="1400" w:type="dxa"/>
            <w:vAlign w:val="bottom"/>
            <w:vMerge w:val="restart"/>
          </w:tcPr>
          <w:p>
            <w:pPr>
              <w:jc w:val="right"/>
              <w:ind w:right="9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5"/>
                <w:szCs w:val="15"/>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200" w:type="dxa"/>
            <w:vAlign w:val="bottom"/>
            <w:gridSpan w:val="2"/>
          </w:tcPr>
          <w:p>
            <w:pPr>
              <w:ind w:left="140"/>
              <w:spacing w:after="0"/>
              <w:rPr>
                <w:sz w:val="20"/>
                <w:szCs w:val="20"/>
                <w:color w:val="auto"/>
              </w:rPr>
            </w:pPr>
            <w:r>
              <w:rPr>
                <w:rFonts w:ascii="Arial" w:cs="Arial" w:eastAsia="Arial" w:hAnsi="Arial"/>
                <w:sz w:val="18"/>
                <w:szCs w:val="18"/>
                <w:color w:val="auto"/>
                <w:w w:val="97"/>
              </w:rPr>
              <w:t>37,849,247 and 38,117,840 shares outstanding at February 29, 2020 and August 31, 2019, respectively</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875,488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806,973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w w:val="89"/>
              </w:rPr>
              <w:t>Treasury stock, at cost: 2,603,104 and 1,986,352 shares at February 29, 2020 and August 31, 2019, respectively</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(593,980)</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(433,799)</w:t>
            </w:r>
          </w:p>
        </w:tc>
        <w:tc>
          <w:tcPr>
            <w:tcW w:w="0" w:type="dxa"/>
            <w:vAlign w:val="bottom"/>
          </w:tcPr>
          <w:p>
            <w:pPr>
              <w:spacing w:after="0"/>
              <w:rPr>
                <w:sz w:val="1"/>
                <w:szCs w:val="1"/>
                <w:color w:val="auto"/>
              </w:rPr>
            </w:pPr>
          </w:p>
        </w:tc>
      </w:tr>
      <w:tr>
        <w:trPr>
          <w:trHeight w:val="27"/>
        </w:trPr>
        <w:tc>
          <w:tcPr>
            <w:tcW w:w="8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501,326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373,225</w:t>
            </w:r>
          </w:p>
        </w:tc>
        <w:tc>
          <w:tcPr>
            <w:tcW w:w="0" w:type="dxa"/>
            <w:vAlign w:val="bottom"/>
          </w:tcPr>
          <w:p>
            <w:pPr>
              <w:spacing w:after="0"/>
              <w:rPr>
                <w:sz w:val="1"/>
                <w:szCs w:val="1"/>
                <w:color w:val="auto"/>
              </w:rPr>
            </w:pPr>
          </w:p>
        </w:tc>
      </w:tr>
      <w:tr>
        <w:trPr>
          <w:trHeight w:val="243"/>
        </w:trPr>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(66,479)</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716,760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672,256</w:t>
            </w:r>
          </w:p>
        </w:tc>
        <w:tc>
          <w:tcPr>
            <w:tcW w:w="0" w:type="dxa"/>
            <w:vAlign w:val="bottom"/>
          </w:tcPr>
          <w:p>
            <w:pPr>
              <w:spacing w:after="0"/>
              <w:rPr>
                <w:sz w:val="1"/>
                <w:szCs w:val="1"/>
                <w:color w:val="auto"/>
              </w:rPr>
            </w:pPr>
          </w:p>
        </w:tc>
      </w:tr>
      <w:tr>
        <w:trPr>
          <w:trHeight w:val="270"/>
        </w:trPr>
        <w:tc>
          <w:tcPr>
            <w:tcW w:w="8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1,828,572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77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8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70"/>
        </w:trPr>
        <w:tc>
          <w:tcPr>
            <w:tcW w:w="128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February 29,</w:t>
            </w:r>
          </w:p>
        </w:tc>
        <w:tc>
          <w:tcPr>
            <w:tcW w:w="240" w:type="dxa"/>
            <w:vAlign w:val="bottom"/>
          </w:tcPr>
          <w:p>
            <w:pPr>
              <w:spacing w:after="0"/>
              <w:rPr>
                <w:sz w:val="23"/>
                <w:szCs w:val="23"/>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w w:val="92"/>
              </w:rPr>
              <w:t>February 28,</w:t>
            </w: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2019</w:t>
            </w:r>
          </w:p>
        </w:tc>
      </w:tr>
      <w:tr>
        <w:trPr>
          <w:trHeight w:val="27"/>
        </w:trPr>
        <w:tc>
          <w:tcPr>
            <w:tcW w:w="8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182,643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168,998</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28,296</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29,052</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18,028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16,140</w:t>
            </w: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(3,091)</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1,088</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sale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reserves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(19,676)</w:t>
            </w:r>
          </w:p>
        </w:tc>
      </w:tr>
      <w:tr>
        <w:trPr>
          <w:trHeight w:val="243"/>
        </w:trPr>
        <w:tc>
          <w:tcPr>
            <w:tcW w:w="84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10,356</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(5,423)</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(26,266)</w:t>
            </w:r>
          </w:p>
        </w:tc>
      </w:tr>
      <w:tr>
        <w:trPr>
          <w:trHeight w:val="243"/>
        </w:trPr>
        <w:tc>
          <w:tcPr>
            <w:tcW w:w="8480" w:type="dxa"/>
            <w:vAlign w:val="bottom"/>
            <w:gridSpan w:val="2"/>
          </w:tcPr>
          <w:p>
            <w:pPr>
              <w:ind w:left="340"/>
              <w:spacing w:after="0"/>
              <w:rPr>
                <w:sz w:val="20"/>
                <w:szCs w:val="20"/>
                <w:color w:val="auto"/>
              </w:rPr>
            </w:pPr>
            <w:r>
              <w:rPr>
                <w:rFonts w:ascii="Arial" w:cs="Arial" w:eastAsia="Arial" w:hAnsi="Arial"/>
                <w:sz w:val="18"/>
                <w:szCs w:val="18"/>
                <w:color w:val="auto"/>
              </w:rPr>
              <w:t>Deferred fees</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10,775</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9,729</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Taxes payable, net of prepaid taxes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(12,182)</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(17,385)</w:t>
            </w: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5,843</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(10,899)</w:t>
            </w:r>
          </w:p>
        </w:tc>
      </w:tr>
      <w:tr>
        <w:trPr>
          <w:trHeight w:val="27"/>
        </w:trPr>
        <w:tc>
          <w:tcPr>
            <w:tcW w:w="84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195,460</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145,554</w:t>
            </w:r>
          </w:p>
        </w:tc>
      </w:tr>
      <w:tr>
        <w:trPr>
          <w:trHeight w:val="196"/>
        </w:trPr>
        <w:tc>
          <w:tcPr>
            <w:tcW w:w="128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Purchases of property, equipment and leasehold improvements, net of proceeds from dispositions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(51,899)</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(21,482)</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Proceeds from maturity or sale of investments</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4,199</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10,041</w:t>
            </w:r>
          </w:p>
        </w:tc>
      </w:tr>
      <w:tr>
        <w:trPr>
          <w:trHeight w:val="27"/>
        </w:trPr>
        <w:tc>
          <w:tcPr>
            <w:tcW w:w="84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(49,936)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(19,368)</w:t>
            </w:r>
          </w:p>
        </w:tc>
      </w:tr>
      <w:tr>
        <w:trPr>
          <w:trHeight w:val="216"/>
        </w:trPr>
        <w:tc>
          <w:tcPr>
            <w:tcW w:w="8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(158,595)</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(110,739)</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(54,363)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(48,442)</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plans</w:t>
            </w:r>
          </w:p>
        </w:tc>
        <w:tc>
          <w:tcPr>
            <w:tcW w:w="1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50,487</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43,362</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financing, net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(1,586)</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480" w:type="dxa"/>
            <w:vAlign w:val="bottom"/>
            <w:gridSpan w:val="2"/>
          </w:tcPr>
          <w:p>
            <w:pPr>
              <w:ind w:left="680"/>
              <w:spacing w:after="0"/>
              <w:rPr>
                <w:sz w:val="20"/>
                <w:szCs w:val="20"/>
                <w:color w:val="auto"/>
              </w:rPr>
            </w:pPr>
            <w:r>
              <w:rPr>
                <w:rFonts w:ascii="Arial" w:cs="Arial" w:eastAsia="Arial" w:hAnsi="Arial"/>
                <w:sz w:val="18"/>
                <w:szCs w:val="18"/>
                <w:b w:val="1"/>
                <w:bCs w:val="1"/>
                <w:color w:val="auto"/>
              </w:rPr>
              <w:t>Net cash used by financing activities</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(164,057)</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(115,819)</w:t>
            </w:r>
          </w:p>
        </w:tc>
      </w:tr>
      <w:tr>
        <w:trPr>
          <w:trHeight w:val="27"/>
        </w:trPr>
        <w:tc>
          <w:tcPr>
            <w:tcW w:w="12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12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sectPr>
          <w:pgSz w:w="11900" w:h="16838" w:orient="portrait"/>
          <w:cols w:equalWidth="0" w:num="1">
            <w:col w:w="11200"/>
          </w:cols>
          <w:pgMar w:left="320" w:top="108" w:right="379" w:bottom="1440" w:gutter="0" w:footer="0" w:header="0"/>
        </w:sectPr>
      </w:pPr>
    </w:p>
    <w:p>
      <w:pPr>
        <w:ind w:left="20" w:right="3340"/>
        <w:spacing w:after="0" w:line="385" w:lineRule="auto"/>
        <w:rPr>
          <w:sz w:val="20"/>
          <w:szCs w:val="20"/>
          <w:color w:val="auto"/>
        </w:rPr>
      </w:pPr>
      <w:r>
        <w:rPr>
          <w:rFonts w:ascii="Arial" w:cs="Arial" w:eastAsia="Arial" w:hAnsi="Arial"/>
          <w:sz w:val="15"/>
          <w:szCs w:val="15"/>
          <w:color w:val="auto"/>
        </w:rPr>
        <w:t>Effect of exchange rate changes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0628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720"/>
        <w:spacing w:after="0"/>
        <w:tabs>
          <w:tab w:leader="none" w:pos="218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8"/>
          <w:szCs w:val="18"/>
          <w:color w:val="auto"/>
        </w:rPr>
        <w:t>(655)</w:t>
      </w:r>
    </w:p>
    <w:p>
      <w:pPr>
        <w:spacing w:after="0" w:line="77"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8"/>
          <w:szCs w:val="18"/>
          <w:color w:val="auto"/>
        </w:rPr>
        <w:t>(16,311)</w:t>
      </w:r>
      <w:r>
        <w:rPr>
          <w:sz w:val="20"/>
          <w:szCs w:val="20"/>
          <w:color w:val="auto"/>
        </w:rPr>
        <w:tab/>
      </w:r>
      <w:r>
        <w:rPr>
          <w:rFonts w:ascii="Arial" w:cs="Arial" w:eastAsia="Arial" w:hAnsi="Arial"/>
          <w:sz w:val="18"/>
          <w:szCs w:val="18"/>
          <w:color w:val="auto"/>
        </w:rPr>
        <w:t>9,712</w:t>
      </w:r>
    </w:p>
    <w:p>
      <w:pPr>
        <w:spacing w:after="0" w:line="63" w:lineRule="exact"/>
        <w:rPr>
          <w:sz w:val="20"/>
          <w:szCs w:val="20"/>
          <w:color w:val="auto"/>
        </w:rPr>
      </w:pPr>
    </w:p>
    <w:p>
      <w:pPr>
        <w:ind w:left="540"/>
        <w:spacing w:after="0"/>
        <w:tabs>
          <w:tab w:leader="none" w:pos="1940" w:val="left"/>
        </w:tabs>
        <w:rPr>
          <w:sz w:val="20"/>
          <w:szCs w:val="20"/>
          <w:color w:val="auto"/>
        </w:rPr>
      </w:pPr>
      <w:r>
        <w:rPr>
          <w:rFonts w:ascii="Arial" w:cs="Arial" w:eastAsia="Arial" w:hAnsi="Arial"/>
          <w:sz w:val="17"/>
          <w:szCs w:val="17"/>
          <w:color w:val="auto"/>
        </w:rPr>
        <w:t>359,799</w:t>
      </w:r>
      <w:r>
        <w:rPr>
          <w:sz w:val="20"/>
          <w:szCs w:val="20"/>
          <w:color w:val="auto"/>
        </w:rPr>
        <w:tab/>
      </w:r>
      <w:r>
        <w:rPr>
          <w:rFonts w:ascii="Arial" w:cs="Arial" w:eastAsia="Arial" w:hAnsi="Arial"/>
          <w:sz w:val="17"/>
          <w:szCs w:val="17"/>
          <w:color w:val="auto"/>
        </w:rPr>
        <w:t>208,623</w:t>
      </w:r>
    </w:p>
    <w:p>
      <w:pPr>
        <w:spacing w:after="0" w:line="88" w:lineRule="exact"/>
        <w:rPr>
          <w:sz w:val="20"/>
          <w:szCs w:val="20"/>
          <w:color w:val="auto"/>
        </w:rPr>
      </w:pPr>
    </w:p>
    <w:p>
      <w:pPr>
        <w:spacing w:after="0"/>
        <w:tabs>
          <w:tab w:leader="none" w:pos="520" w:val="left"/>
          <w:tab w:leader="none" w:pos="1380" w:val="left"/>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343,488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218,335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wp:posOffset>
            </wp:positionV>
            <wp:extent cx="1731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80" w:space="720"/>
            <w:col w:w="2700"/>
          </w:cols>
          <w:pgMar w:left="320" w:top="108" w:right="379" w:bottom="1440" w:gutter="0" w:footer="0" w:header="0"/>
          <w:type w:val="continuous"/>
        </w:sectPr>
      </w:pP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February 29,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14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21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Additional</w:t>
            </w:r>
          </w:p>
        </w:tc>
        <w:tc>
          <w:tcPr>
            <w:tcW w:w="1520" w:type="dxa"/>
            <w:vAlign w:val="bottom"/>
            <w:tcBorders>
              <w:bottom w:val="single" w:sz="8" w:color="auto"/>
            </w:tcBorders>
            <w:gridSpan w:val="2"/>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11"/>
                <w:szCs w:val="11"/>
                <w:color w:val="auto"/>
              </w:rPr>
            </w:pPr>
          </w:p>
        </w:tc>
        <w:tc>
          <w:tcPr>
            <w:tcW w:w="96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14"/>
        </w:trPr>
        <w:tc>
          <w:tcPr>
            <w:tcW w:w="2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37"/>
              <w:spacing w:after="0" w:line="114" w:lineRule="exact"/>
              <w:rPr>
                <w:sz w:val="20"/>
                <w:szCs w:val="20"/>
                <w:color w:val="auto"/>
              </w:rPr>
            </w:pPr>
            <w:r>
              <w:rPr>
                <w:rFonts w:ascii="Arial" w:cs="Arial" w:eastAsia="Arial" w:hAnsi="Arial"/>
                <w:sz w:val="13"/>
                <w:szCs w:val="13"/>
                <w:color w:val="auto"/>
              </w:rPr>
              <w:t>Paid-in</w:t>
            </w: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ind w:right="197"/>
              <w:spacing w:after="0" w:line="114"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9"/>
                <w:szCs w:val="9"/>
                <w:color w:val="auto"/>
              </w:rPr>
            </w:pPr>
          </w:p>
        </w:tc>
        <w:tc>
          <w:tcPr>
            <w:tcW w:w="980" w:type="dxa"/>
            <w:vAlign w:val="bottom"/>
          </w:tcPr>
          <w:p>
            <w:pPr>
              <w:jc w:val="center"/>
              <w:ind w:right="57"/>
              <w:spacing w:after="0" w:line="114"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9"/>
                <w:szCs w:val="9"/>
                <w:color w:val="auto"/>
              </w:rPr>
            </w:pPr>
          </w:p>
        </w:tc>
        <w:tc>
          <w:tcPr>
            <w:tcW w:w="960" w:type="dxa"/>
            <w:vAlign w:val="bottom"/>
          </w:tcPr>
          <w:p>
            <w:pPr>
              <w:jc w:val="center"/>
              <w:ind w:right="77"/>
              <w:spacing w:after="0" w:line="11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November 30, 2019</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40,239,308</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402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835,968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2,335,130</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6"/>
              </w:rPr>
              <w:t>(519,678)</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439,891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(64,706)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691,877</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88,686</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88,686</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(1,773)</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148"/>
        </w:trPr>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w w:val="99"/>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211,943</w:t>
            </w:r>
          </w:p>
        </w:tc>
        <w:tc>
          <w:tcPr>
            <w:tcW w:w="280" w:type="dxa"/>
            <w:vAlign w:val="bottom"/>
          </w:tcPr>
          <w:p>
            <w:pPr>
              <w:spacing w:after="0"/>
              <w:rPr>
                <w:sz w:val="12"/>
                <w:szCs w:val="12"/>
                <w:color w:val="auto"/>
              </w:rPr>
            </w:pP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31,306</w:t>
            </w:r>
          </w:p>
        </w:tc>
        <w:tc>
          <w:tcPr>
            <w:tcW w:w="1060" w:type="dxa"/>
            <w:vAlign w:val="bottom"/>
            <w:vMerge w:val="restart"/>
          </w:tcPr>
          <w:p>
            <w:pPr>
              <w:jc w:val="right"/>
              <w:ind w:right="77"/>
              <w:spacing w:after="0"/>
              <w:rPr>
                <w:sz w:val="20"/>
                <w:szCs w:val="20"/>
                <w:color w:val="auto"/>
              </w:rPr>
            </w:pPr>
            <w:r>
              <w:rPr>
                <w:rFonts w:ascii="Arial" w:cs="Arial" w:eastAsia="Arial" w:hAnsi="Arial"/>
                <w:sz w:val="13"/>
                <w:szCs w:val="13"/>
                <w:color w:val="auto"/>
              </w:rPr>
              <w:t>43</w:t>
            </w:r>
          </w:p>
        </w:tc>
        <w:tc>
          <w:tcPr>
            <w:tcW w:w="46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31,298</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1,100</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431</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267,500</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99"/>
              </w:rPr>
              <w:t>(74,172)</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(74,172)</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8,214</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8,214</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(27,251)</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(27,251)</w:t>
            </w:r>
          </w:p>
        </w:tc>
        <w:tc>
          <w:tcPr>
            <w:tcW w:w="0" w:type="dxa"/>
            <w:vAlign w:val="bottom"/>
          </w:tcPr>
          <w:p>
            <w:pPr>
              <w:spacing w:after="0"/>
              <w:rPr>
                <w:sz w:val="1"/>
                <w:szCs w:val="1"/>
                <w:color w:val="auto"/>
              </w:rPr>
            </w:pPr>
          </w:p>
        </w:tc>
      </w:tr>
      <w:tr>
        <w:trPr>
          <w:trHeight w:val="20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February 29, 2020</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40,452,351</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875,488</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2,603,104</w:t>
            </w:r>
          </w:p>
        </w:tc>
        <w:tc>
          <w:tcPr>
            <w:tcW w:w="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(593,980)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501,326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(66,479)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716,760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six months ended February 29,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14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21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Additional</w:t>
            </w:r>
          </w:p>
        </w:tc>
        <w:tc>
          <w:tcPr>
            <w:tcW w:w="1520" w:type="dxa"/>
            <w:vAlign w:val="bottom"/>
            <w:tcBorders>
              <w:bottom w:val="single" w:sz="8" w:color="auto"/>
            </w:tcBorders>
            <w:gridSpan w:val="2"/>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11"/>
                <w:szCs w:val="11"/>
                <w:color w:val="auto"/>
              </w:rPr>
            </w:pPr>
          </w:p>
        </w:tc>
        <w:tc>
          <w:tcPr>
            <w:tcW w:w="96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14"/>
        </w:trPr>
        <w:tc>
          <w:tcPr>
            <w:tcW w:w="2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37"/>
              <w:spacing w:after="0" w:line="114" w:lineRule="exact"/>
              <w:rPr>
                <w:sz w:val="20"/>
                <w:szCs w:val="20"/>
                <w:color w:val="auto"/>
              </w:rPr>
            </w:pPr>
            <w:r>
              <w:rPr>
                <w:rFonts w:ascii="Arial" w:cs="Arial" w:eastAsia="Arial" w:hAnsi="Arial"/>
                <w:sz w:val="13"/>
                <w:szCs w:val="13"/>
                <w:color w:val="auto"/>
              </w:rPr>
              <w:t>Paid-in</w:t>
            </w: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ind w:left="100"/>
              <w:spacing w:after="0" w:line="114" w:lineRule="exact"/>
              <w:rPr>
                <w:sz w:val="20"/>
                <w:szCs w:val="20"/>
                <w:color w:val="auto"/>
              </w:rPr>
            </w:pPr>
            <w:r>
              <w:rPr>
                <w:rFonts w:ascii="Arial" w:cs="Arial" w:eastAsia="Arial" w:hAnsi="Arial"/>
                <w:sz w:val="13"/>
                <w:szCs w:val="13"/>
                <w:color w:val="auto"/>
              </w:rPr>
              <w:t>Retained</w:t>
            </w:r>
          </w:p>
        </w:tc>
        <w:tc>
          <w:tcPr>
            <w:tcW w:w="220" w:type="dxa"/>
            <w:vAlign w:val="bottom"/>
          </w:tcPr>
          <w:p>
            <w:pPr>
              <w:spacing w:after="0"/>
              <w:rPr>
                <w:sz w:val="9"/>
                <w:szCs w:val="9"/>
                <w:color w:val="auto"/>
              </w:rPr>
            </w:pPr>
          </w:p>
        </w:tc>
        <w:tc>
          <w:tcPr>
            <w:tcW w:w="980" w:type="dxa"/>
            <w:vAlign w:val="bottom"/>
          </w:tcPr>
          <w:p>
            <w:pPr>
              <w:jc w:val="center"/>
              <w:ind w:right="57"/>
              <w:spacing w:after="0" w:line="114"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9"/>
                <w:szCs w:val="9"/>
                <w:color w:val="auto"/>
              </w:rPr>
            </w:pPr>
          </w:p>
        </w:tc>
        <w:tc>
          <w:tcPr>
            <w:tcW w:w="960" w:type="dxa"/>
            <w:vAlign w:val="bottom"/>
          </w:tcPr>
          <w:p>
            <w:pPr>
              <w:jc w:val="center"/>
              <w:ind w:right="77"/>
              <w:spacing w:after="0" w:line="11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August 31, 2019</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40,104,192</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401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806,973</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1,986,352</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6"/>
              </w:rPr>
              <w:t>(433,799)</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373,225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(74,544)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672,256</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3"/>
                <w:szCs w:val="13"/>
                <w:color w:val="auto"/>
              </w:rPr>
              <w:t>182,643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182,643</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8,065</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8,065</w:t>
            </w:r>
          </w:p>
        </w:tc>
        <w:tc>
          <w:tcPr>
            <w:tcW w:w="0" w:type="dxa"/>
            <w:vAlign w:val="bottom"/>
          </w:tcPr>
          <w:p>
            <w:pPr>
              <w:spacing w:after="0"/>
              <w:rPr>
                <w:sz w:val="1"/>
                <w:szCs w:val="1"/>
                <w:color w:val="auto"/>
              </w:rPr>
            </w:pPr>
          </w:p>
        </w:tc>
      </w:tr>
      <w:tr>
        <w:trPr>
          <w:trHeight w:val="148"/>
        </w:trPr>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w w:val="99"/>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331,683</w:t>
            </w:r>
          </w:p>
        </w:tc>
        <w:tc>
          <w:tcPr>
            <w:tcW w:w="280" w:type="dxa"/>
            <w:vAlign w:val="bottom"/>
          </w:tcPr>
          <w:p>
            <w:pPr>
              <w:spacing w:after="0"/>
              <w:rPr>
                <w:sz w:val="12"/>
                <w:szCs w:val="12"/>
                <w:color w:val="auto"/>
              </w:rPr>
            </w:pP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50,487</w:t>
            </w:r>
          </w:p>
        </w:tc>
        <w:tc>
          <w:tcPr>
            <w:tcW w:w="1060" w:type="dxa"/>
            <w:vAlign w:val="bottom"/>
            <w:vMerge w:val="restart"/>
          </w:tcPr>
          <w:p>
            <w:pPr>
              <w:jc w:val="right"/>
              <w:ind w:right="77"/>
              <w:spacing w:after="0"/>
              <w:rPr>
                <w:sz w:val="20"/>
                <w:szCs w:val="20"/>
                <w:color w:val="auto"/>
              </w:rPr>
            </w:pPr>
            <w:r>
              <w:rPr>
                <w:rFonts w:ascii="Arial" w:cs="Arial" w:eastAsia="Arial" w:hAnsi="Arial"/>
                <w:sz w:val="13"/>
                <w:szCs w:val="13"/>
                <w:color w:val="auto"/>
              </w:rPr>
              <w:t>43</w:t>
            </w:r>
          </w:p>
        </w:tc>
        <w:tc>
          <w:tcPr>
            <w:tcW w:w="46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50,480</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16,476</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6,209</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(1,575)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(1,575)</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610,500</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86"/>
              </w:rPr>
              <w:t>(158,595)</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(158,595)</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18,028</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18,028</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(54,542)</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(54,542)</w:t>
            </w:r>
          </w:p>
        </w:tc>
        <w:tc>
          <w:tcPr>
            <w:tcW w:w="0" w:type="dxa"/>
            <w:vAlign w:val="bottom"/>
          </w:tcPr>
          <w:p>
            <w:pPr>
              <w:spacing w:after="0"/>
              <w:rPr>
                <w:sz w:val="1"/>
                <w:szCs w:val="1"/>
                <w:color w:val="auto"/>
              </w:rPr>
            </w:pPr>
          </w:p>
        </w:tc>
      </w:tr>
      <w:tr>
        <w:trPr>
          <w:trHeight w:val="20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February 29, 2020</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40,452,351</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875,488</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2,603,104</w:t>
            </w:r>
          </w:p>
        </w:tc>
        <w:tc>
          <w:tcPr>
            <w:tcW w:w="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(593,980)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501,326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(66,479)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716,760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February 28,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right"/>
              <w:ind w:right="137"/>
              <w:spacing w:after="0" w:line="135" w:lineRule="exact"/>
              <w:rPr>
                <w:sz w:val="20"/>
                <w:szCs w:val="20"/>
                <w:color w:val="auto"/>
              </w:rPr>
            </w:pPr>
            <w:r>
              <w:rPr>
                <w:rFonts w:ascii="Arial" w:cs="Arial" w:eastAsia="Arial" w:hAnsi="Arial"/>
                <w:sz w:val="13"/>
                <w:szCs w:val="13"/>
                <w:color w:val="auto"/>
              </w:rPr>
              <w:t>Additional</w:t>
            </w:r>
          </w:p>
        </w:tc>
        <w:tc>
          <w:tcPr>
            <w:tcW w:w="154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3"/>
                <w:szCs w:val="3"/>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2140" w:type="dxa"/>
            <w:vAlign w:val="bottom"/>
            <w:gridSpan w:val="3"/>
            <w:vMerge w:val="restart"/>
          </w:tcPr>
          <w:p>
            <w:pPr>
              <w:jc w:val="right"/>
              <w:ind w:right="677"/>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3"/>
                <w:szCs w:val="13"/>
                <w:color w:val="auto"/>
              </w:rPr>
              <w:t>Shares Amount</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2140" w:type="dxa"/>
            <w:vAlign w:val="bottom"/>
            <w:tcBorders>
              <w:bottom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237"/>
              <w:spacing w:after="0" w:line="135" w:lineRule="exact"/>
              <w:rPr>
                <w:sz w:val="20"/>
                <w:szCs w:val="20"/>
                <w:color w:val="auto"/>
              </w:rPr>
            </w:pPr>
            <w:r>
              <w:rPr>
                <w:rFonts w:ascii="Arial" w:cs="Arial" w:eastAsia="Arial" w:hAnsi="Arial"/>
                <w:sz w:val="13"/>
                <w:szCs w:val="13"/>
                <w:color w:val="auto"/>
              </w:rPr>
              <w:t>Paid-in</w:t>
            </w:r>
          </w:p>
        </w:tc>
        <w:tc>
          <w:tcPr>
            <w:tcW w:w="154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197"/>
              <w:spacing w:after="0" w:line="135"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6"/>
                <w:szCs w:val="6"/>
                <w:color w:val="auto"/>
              </w:rPr>
            </w:pPr>
          </w:p>
        </w:tc>
        <w:tc>
          <w:tcPr>
            <w:tcW w:w="980" w:type="dxa"/>
            <w:vAlign w:val="bottom"/>
            <w:vMerge w:val="restart"/>
          </w:tcPr>
          <w:p>
            <w:pPr>
              <w:jc w:val="center"/>
              <w:ind w:right="57"/>
              <w:spacing w:after="0" w:line="135"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6"/>
                <w:szCs w:val="6"/>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0"/>
        </w:trPr>
        <w:tc>
          <w:tcPr>
            <w:tcW w:w="2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November 30, 2018</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39,447,491</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394</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694,078</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1,366,613</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6"/>
              </w:rPr>
              <w:t>(278,146)</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184,071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(59,188)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541,209</w:t>
            </w:r>
          </w:p>
        </w:tc>
        <w:tc>
          <w:tcPr>
            <w:tcW w:w="0" w:type="dxa"/>
            <w:vAlign w:val="bottom"/>
          </w:tcPr>
          <w:p>
            <w:pPr>
              <w:spacing w:after="0"/>
              <w:rPr>
                <w:sz w:val="1"/>
                <w:szCs w:val="1"/>
                <w:color w:val="auto"/>
              </w:rPr>
            </w:pPr>
          </w:p>
        </w:tc>
      </w:tr>
      <w:tr>
        <w:trPr>
          <w:trHeight w:val="181"/>
        </w:trPr>
        <w:tc>
          <w:tcPr>
            <w:tcW w:w="252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84,702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84,702</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5,553</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5,553</w:t>
            </w:r>
          </w:p>
        </w:tc>
        <w:tc>
          <w:tcPr>
            <w:tcW w:w="0" w:type="dxa"/>
            <w:vAlign w:val="bottom"/>
          </w:tcPr>
          <w:p>
            <w:pPr>
              <w:spacing w:after="0"/>
              <w:rPr>
                <w:sz w:val="1"/>
                <w:szCs w:val="1"/>
                <w:color w:val="auto"/>
              </w:rPr>
            </w:pPr>
          </w:p>
        </w:tc>
      </w:tr>
      <w:tr>
        <w:trPr>
          <w:trHeight w:val="148"/>
        </w:trPr>
        <w:tc>
          <w:tcPr>
            <w:tcW w:w="2520" w:type="dxa"/>
            <w:vAlign w:val="bottom"/>
          </w:tcPr>
          <w:p>
            <w:pPr>
              <w:ind w:left="120"/>
              <w:spacing w:after="0" w:line="148" w:lineRule="exact"/>
              <w:rPr>
                <w:sz w:val="20"/>
                <w:szCs w:val="20"/>
                <w:color w:val="auto"/>
              </w:rPr>
            </w:pPr>
            <w:r>
              <w:rPr>
                <w:rFonts w:ascii="Arial" w:cs="Arial" w:eastAsia="Arial" w:hAnsi="Arial"/>
                <w:sz w:val="13"/>
                <w:szCs w:val="13"/>
                <w:color w:val="auto"/>
                <w:w w:val="98"/>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219,815</w:t>
            </w:r>
          </w:p>
        </w:tc>
        <w:tc>
          <w:tcPr>
            <w:tcW w:w="280" w:type="dxa"/>
            <w:vAlign w:val="bottom"/>
          </w:tcPr>
          <w:p>
            <w:pPr>
              <w:spacing w:after="0"/>
              <w:rPr>
                <w:sz w:val="12"/>
                <w:szCs w:val="12"/>
                <w:color w:val="auto"/>
              </w:rPr>
            </w:pPr>
          </w:p>
        </w:tc>
        <w:tc>
          <w:tcPr>
            <w:tcW w:w="900" w:type="dxa"/>
            <w:vAlign w:val="bottom"/>
            <w:vMerge w:val="restart"/>
          </w:tcPr>
          <w:p>
            <w:pPr>
              <w:jc w:val="right"/>
              <w:ind w:right="19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30,755</w:t>
            </w: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30,758</w:t>
            </w:r>
          </w:p>
        </w:tc>
        <w:tc>
          <w:tcPr>
            <w:tcW w:w="0" w:type="dxa"/>
            <w:vAlign w:val="bottom"/>
          </w:tcPr>
          <w:p>
            <w:pPr>
              <w:spacing w:after="0"/>
              <w:rPr>
                <w:sz w:val="1"/>
                <w:szCs w:val="1"/>
                <w:color w:val="auto"/>
              </w:rPr>
            </w:pPr>
          </w:p>
        </w:tc>
      </w:tr>
      <w:tr>
        <w:trPr>
          <w:trHeight w:val="93"/>
        </w:trPr>
        <w:tc>
          <w:tcPr>
            <w:tcW w:w="252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22,919</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8,502</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(1,878)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181"/>
        </w:trPr>
        <w:tc>
          <w:tcPr>
            <w:tcW w:w="252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214,945</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99"/>
              </w:rPr>
              <w:t>(44,143)</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(44,143)</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7,705</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7,705</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(24,385)</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(24,385)</w:t>
            </w:r>
          </w:p>
        </w:tc>
        <w:tc>
          <w:tcPr>
            <w:tcW w:w="0" w:type="dxa"/>
            <w:vAlign w:val="bottom"/>
          </w:tcPr>
          <w:p>
            <w:pPr>
              <w:spacing w:after="0"/>
              <w:rPr>
                <w:sz w:val="1"/>
                <w:szCs w:val="1"/>
                <w:color w:val="auto"/>
              </w:rPr>
            </w:pPr>
          </w:p>
        </w:tc>
      </w:tr>
      <w:tr>
        <w:trPr>
          <w:trHeight w:val="20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February 28, 2019</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39,690,225</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397</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732,538</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1,590,060</w:t>
            </w:r>
          </w:p>
        </w:tc>
        <w:tc>
          <w:tcPr>
            <w:tcW w:w="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(324,167)</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244,388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(53,635)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599,521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six months ended February 28,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3"/>
                <w:szCs w:val="13"/>
                <w:color w:val="auto"/>
              </w:rPr>
              <w:t>Additional</w:t>
            </w:r>
          </w:p>
        </w:tc>
        <w:tc>
          <w:tcPr>
            <w:tcW w:w="14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3"/>
                <w:szCs w:val="3"/>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2140" w:type="dxa"/>
            <w:vAlign w:val="bottom"/>
            <w:gridSpan w:val="4"/>
            <w:vMerge w:val="restart"/>
          </w:tcPr>
          <w:p>
            <w:pPr>
              <w:ind w:left="620"/>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3"/>
                <w:szCs w:val="13"/>
                <w:color w:val="auto"/>
              </w:rPr>
              <w:t>Shares Amount</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2140" w:type="dxa"/>
            <w:vAlign w:val="bottom"/>
            <w:tcBorders>
              <w:bottom w:val="single" w:sz="8" w:color="auto"/>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237"/>
              <w:spacing w:after="0" w:line="135" w:lineRule="exact"/>
              <w:rPr>
                <w:sz w:val="20"/>
                <w:szCs w:val="20"/>
                <w:color w:val="auto"/>
              </w:rPr>
            </w:pPr>
            <w:r>
              <w:rPr>
                <w:rFonts w:ascii="Arial" w:cs="Arial" w:eastAsia="Arial" w:hAnsi="Arial"/>
                <w:sz w:val="13"/>
                <w:szCs w:val="13"/>
                <w:color w:val="auto"/>
              </w:rPr>
              <w:t>Paid-in</w:t>
            </w:r>
          </w:p>
        </w:tc>
        <w:tc>
          <w:tcPr>
            <w:tcW w:w="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197"/>
              <w:spacing w:after="0" w:line="135"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6"/>
                <w:szCs w:val="6"/>
                <w:color w:val="auto"/>
              </w:rPr>
            </w:pPr>
          </w:p>
        </w:tc>
        <w:tc>
          <w:tcPr>
            <w:tcW w:w="980" w:type="dxa"/>
            <w:vAlign w:val="bottom"/>
            <w:vMerge w:val="restart"/>
          </w:tcPr>
          <w:p>
            <w:pPr>
              <w:jc w:val="center"/>
              <w:ind w:right="57"/>
              <w:spacing w:after="0" w:line="135"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6"/>
                <w:szCs w:val="6"/>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0"/>
        </w:trPr>
        <w:tc>
          <w:tcPr>
            <w:tcW w:w="2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Shares</w:t>
            </w:r>
          </w:p>
        </w:tc>
        <w:tc>
          <w:tcPr>
            <w:tcW w:w="2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auto"/>
              </w:rPr>
              <w:t>Par Value</w:t>
            </w: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Capital</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4"/>
                <w:szCs w:val="14"/>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as of August 31, 2018</w:t>
            </w: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39,264,849</w:t>
            </w:r>
          </w:p>
        </w:tc>
        <w:tc>
          <w:tcPr>
            <w:tcW w:w="2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667,531</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1,072,263</w:t>
            </w:r>
          </w:p>
        </w:tc>
        <w:tc>
          <w:tcPr>
            <w:tcW w:w="4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(213,428)</w:t>
            </w: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122,843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(51,439)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525,900</w:t>
            </w:r>
          </w:p>
        </w:tc>
        <w:tc>
          <w:tcPr>
            <w:tcW w:w="0" w:type="dxa"/>
            <w:vAlign w:val="bottom"/>
          </w:tcPr>
          <w:p>
            <w:pPr>
              <w:spacing w:after="0"/>
              <w:rPr>
                <w:sz w:val="1"/>
                <w:szCs w:val="1"/>
                <w:color w:val="auto"/>
              </w:rPr>
            </w:pPr>
          </w:p>
        </w:tc>
      </w:tr>
      <w:tr>
        <w:trPr>
          <w:trHeight w:val="181"/>
        </w:trPr>
        <w:tc>
          <w:tcPr>
            <w:tcW w:w="252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168,998</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168,998</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(2,913)</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(2,913)</w:t>
            </w:r>
          </w:p>
        </w:tc>
        <w:tc>
          <w:tcPr>
            <w:tcW w:w="0" w:type="dxa"/>
            <w:vAlign w:val="bottom"/>
          </w:tcPr>
          <w:p>
            <w:pPr>
              <w:spacing w:after="0"/>
              <w:rPr>
                <w:sz w:val="1"/>
                <w:szCs w:val="1"/>
                <w:color w:val="auto"/>
              </w:rPr>
            </w:pPr>
          </w:p>
        </w:tc>
      </w:tr>
      <w:tr>
        <w:trPr>
          <w:trHeight w:val="148"/>
        </w:trPr>
        <w:tc>
          <w:tcPr>
            <w:tcW w:w="2520" w:type="dxa"/>
            <w:vAlign w:val="bottom"/>
          </w:tcPr>
          <w:p>
            <w:pPr>
              <w:ind w:left="120"/>
              <w:spacing w:after="0" w:line="148" w:lineRule="exact"/>
              <w:rPr>
                <w:sz w:val="20"/>
                <w:szCs w:val="20"/>
                <w:color w:val="auto"/>
              </w:rPr>
            </w:pPr>
            <w:r>
              <w:rPr>
                <w:rFonts w:ascii="Arial" w:cs="Arial" w:eastAsia="Arial" w:hAnsi="Arial"/>
                <w:sz w:val="13"/>
                <w:szCs w:val="13"/>
                <w:color w:val="auto"/>
                <w:w w:val="98"/>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349,846</w:t>
            </w:r>
          </w:p>
        </w:tc>
        <w:tc>
          <w:tcPr>
            <w:tcW w:w="280" w:type="dxa"/>
            <w:vAlign w:val="bottom"/>
          </w:tcPr>
          <w:p>
            <w:pPr>
              <w:spacing w:after="0"/>
              <w:rPr>
                <w:sz w:val="12"/>
                <w:szCs w:val="12"/>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48,867</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48,871</w:t>
            </w:r>
          </w:p>
        </w:tc>
        <w:tc>
          <w:tcPr>
            <w:tcW w:w="0" w:type="dxa"/>
            <w:vAlign w:val="bottom"/>
          </w:tcPr>
          <w:p>
            <w:pPr>
              <w:spacing w:after="0"/>
              <w:rPr>
                <w:sz w:val="1"/>
                <w:szCs w:val="1"/>
                <w:color w:val="auto"/>
              </w:rPr>
            </w:pPr>
          </w:p>
        </w:tc>
      </w:tr>
      <w:tr>
        <w:trPr>
          <w:trHeight w:val="93"/>
        </w:trPr>
        <w:tc>
          <w:tcPr>
            <w:tcW w:w="252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75,530</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27,852</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(6,155)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(6,155)</w:t>
            </w:r>
          </w:p>
        </w:tc>
        <w:tc>
          <w:tcPr>
            <w:tcW w:w="0" w:type="dxa"/>
            <w:vAlign w:val="bottom"/>
          </w:tcPr>
          <w:p>
            <w:pPr>
              <w:spacing w:after="0"/>
              <w:rPr>
                <w:sz w:val="1"/>
                <w:szCs w:val="1"/>
                <w:color w:val="auto"/>
              </w:rPr>
            </w:pPr>
          </w:p>
        </w:tc>
      </w:tr>
      <w:tr>
        <w:trPr>
          <w:trHeight w:val="181"/>
        </w:trPr>
        <w:tc>
          <w:tcPr>
            <w:tcW w:w="252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489,945</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86"/>
              </w:rPr>
              <w:t>(104,584)</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(104,584)</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16,140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16,140</w:t>
            </w:r>
          </w:p>
        </w:tc>
        <w:tc>
          <w:tcPr>
            <w:tcW w:w="0" w:type="dxa"/>
            <w:vAlign w:val="bottom"/>
          </w:tcPr>
          <w:p>
            <w:pPr>
              <w:spacing w:after="0"/>
              <w:rPr>
                <w:sz w:val="1"/>
                <w:szCs w:val="1"/>
                <w:color w:val="auto"/>
              </w:rPr>
            </w:pPr>
          </w:p>
        </w:tc>
      </w:tr>
      <w:tr>
        <w:trPr>
          <w:trHeight w:val="181"/>
        </w:trPr>
        <w:tc>
          <w:tcPr>
            <w:tcW w:w="2520" w:type="dxa"/>
            <w:vAlign w:val="bottom"/>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(48,756)</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(48,756)</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5"/>
              </w:rPr>
              <w:t>Cumulative effect of adoption of accounting</w:t>
            </w: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1,303</w:t>
            </w: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717</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93"/>
        </w:trPr>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standards*</w:t>
            </w: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520" w:type="dxa"/>
            <w:vAlign w:val="bottom"/>
            <w:vMerge w:val="continue"/>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tcPr>
          <w:p>
            <w:pPr>
              <w:ind w:left="20"/>
              <w:spacing w:after="0"/>
              <w:rPr>
                <w:sz w:val="20"/>
                <w:szCs w:val="20"/>
                <w:color w:val="auto"/>
              </w:rPr>
            </w:pPr>
            <w:r>
              <w:rPr>
                <w:rFonts w:ascii="Arial" w:cs="Arial" w:eastAsia="Arial" w:hAnsi="Arial"/>
                <w:sz w:val="13"/>
                <w:szCs w:val="13"/>
                <w:color w:val="auto"/>
              </w:rPr>
              <w:t>Balance as of February 28, 2019</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39,690,225</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397</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732,538</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1,590,060</w:t>
            </w:r>
          </w:p>
        </w:tc>
        <w:tc>
          <w:tcPr>
            <w:tcW w:w="4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6"/>
              </w:rPr>
              <w:t>(324,167)</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244,388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(53,635)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599,521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8"/>
        <w:spacing w:after="0" w:line="259" w:lineRule="auto"/>
        <w:tabs>
          <w:tab w:leader="none" w:pos="1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See Note 4 for additional revenue recognition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trade execution, performance measurement, risk management, reporting, and portfolio analysis, in which the Company serves the front, middle, and back offices to drive productivity and improved performance. FactSet's flexible, open data and technology solutions can be implemented both across the investment portfolio lifecycle or as standalone components serving different workflows in the organization. FactSet is focused on growing the business throughout each of its three segments, the Americas, EMEA (formerly known as Europe), and Asia Pacific. The Company primarily delivers insight and information through the workflow solutions of Research, Analytics and Trading, Content and Technology Solutions ("CTS") and Wealth.</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currently serves financial professionals, which include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to execute trades. The Company combines dedicated client service with open and flexible technology offerings, such as a configurable desktop and mobile platform, comprehensive data feeds, an open marketplace and digital portals and application programming interfaces ("APIs"). The Company’s revenue is primarily derived from subscriptions to products and services such as workstations, analytics, enterprise data, and research management.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conducts business globally and is managed on a geographic basis. The accompanying unaudited consolidated financial statements and notes of FactSet and its wholly-owned subsidiaries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The accompanying consolidated financial statements include the accounts of the Company and our wholly-owned subsidiaries. All intercompany activity and balances have been eliminated.</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the Company’s results of operations, financial position, cash flows and equity. Certain notes and other information have been condensed or omitted in this Quarterly Report on Form 10-Q, therefore the information in this Quarterly Report on Form 10-Q should be read in conjunction with the audited consolidated financial statements and notes thereto included in the Company’s Annual Report on Form 10-K for the fiscal year ended August 31, 2019, filed with the Securities and Exchange Commission ("SEC") on October 30,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reclassified certain prior year comparative figures from Interest expense net, to Other expense, net including non-operational foreign exchange gains and losses in the Consolidated Statement of Income to conform to the current year's presentation.</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reclassified certain capitalized software from Property, equipment and leasehold improvements, net to Intangible assets, net in the prior year comparative figures in the Consolidated Balance Sheets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February 29, 2020, the Company implemented all applicable new accounting standards and updates issued by the Financial Accounting Standards Board ("FASB") that were in effect. There were no new standards or updates adopted during the first six months of fiscal 2020 that had a material impact on the consolidated financial statements other than the new lease accounting standard discussed below. Refer to Note 15 Leases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an accounting standard update related to accounting for leases. </w:t>
      </w:r>
      <w:r>
        <w:rPr>
          <w:rFonts w:ascii="Arial" w:cs="Arial" w:eastAsia="Arial" w:hAnsi="Arial"/>
          <w:sz w:val="16"/>
          <w:szCs w:val="16"/>
          <w:color w:val="212529"/>
        </w:rPr>
        <w:t>The update requires the recognition of lease right-of use</w:t>
      </w:r>
      <w:r>
        <w:rPr>
          <w:rFonts w:ascii="Arial" w:cs="Arial" w:eastAsia="Arial" w:hAnsi="Arial"/>
          <w:sz w:val="16"/>
          <w:szCs w:val="16"/>
          <w:color w:val="auto"/>
        </w:rPr>
        <w:t xml:space="preserve"> </w:t>
      </w:r>
      <w:r>
        <w:rPr>
          <w:rFonts w:ascii="Arial" w:cs="Arial" w:eastAsia="Arial" w:hAnsi="Arial"/>
          <w:sz w:val="16"/>
          <w:szCs w:val="16"/>
          <w:color w:val="212529"/>
        </w:rPr>
        <w:t>(“ROU”) assets and liabilities on the balance sheet and the disclosure of qualitative and quantitative information about leasing arrangements</w:t>
      </w:r>
      <w:r>
        <w:rPr>
          <w:rFonts w:ascii="Arial" w:cs="Arial" w:eastAsia="Arial" w:hAnsi="Arial"/>
          <w:sz w:val="16"/>
          <w:szCs w:val="16"/>
          <w:color w:val="000000"/>
        </w:rPr>
        <w:t>. The guidance</w:t>
      </w:r>
      <w:r>
        <w:rPr>
          <w:rFonts w:ascii="Arial" w:cs="Arial" w:eastAsia="Arial" w:hAnsi="Arial"/>
          <w:sz w:val="16"/>
          <w:szCs w:val="16"/>
          <w:color w:val="212529"/>
        </w:rPr>
        <w:t xml:space="preserve"> </w:t>
      </w:r>
      <w:r>
        <w:rPr>
          <w:rFonts w:ascii="Arial" w:cs="Arial" w:eastAsia="Arial" w:hAnsi="Arial"/>
          <w:sz w:val="16"/>
          <w:szCs w:val="16"/>
          <w:color w:val="000000"/>
        </w:rPr>
        <w:t>also eliminates the requirement for an entity to use bright-line tests in determining lease classification. FactSet adopted the new accounting standard effective September 1, 2019, using a modified retrospective approach to record the required cumulative effect adjustments to the opening balance sheet in the period of adoption, rather than in the earliest comparative period presented. As such, the Company's historical consolidated financial statements were not restated and follow the Company's previous policy under ASC 840, Leases. Refer to FactSet’s Annual Report on Form 10-K for the fiscal year ended August 31, 2019, filed with the SEC on October 30, 2019, for further details of the Company’s policy prior to adoption of ASC 842.</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elected the package of practical expedients permitted under the transition guidance, which permits the Company not to reassess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not to recognize lease liabilities and right-of-use assets for leases with a term of 12 months or less. FactSet will recognize lease payments on a straight-line basis over the lease term.</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November 30, 2019, the Company recognized ROU assets, net of amortization of $217.0 million and corresponding current and non-current lease liabilities of $266.4 million, related primarily to the Company’s real estate leases. There was no material impact to the Company’s Consolidated Statements of Income, Consolidated Statements of Comprehensive Income, Consolidated Statements of Cash Flows and Consolidated Statement of Changes in Stockholders' Equity. Refer to Note 15 Leases for more information regarding the Company's lease accounting.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2020, FactSet adopted the accounting standard updated issued by the FASB in August 2017, which focused on reducing the complexity of and simplifying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The adoption of this standard had no impact on the Company's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an accounting standard that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The guidance will be effective for the Company beginning in the first quarter of fiscal 2021. The Company is currently evaluating the impact of this accounting standard update, but it is not expected to have a material impact on the Company's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The accounting standard update will be effective for the Company beginning in the first quarter of fiscal 2021, with early adoption permitted for any impairment tests performed after January 1, 2017. The adoption of this accounting standard update is not expected to have a material impact on the Company's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the FASB issued an accounting standard update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the Company in the first quarter of fiscal 2022, with early adoption permitted. Most amendments are required to be applied on a prospective basis, while certain amendments must be applied on a retrospective or modified retrospective basis. The Company is currently evaluating the potential impact of adopting the guidance on its consolidated financial statements.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other new accounting pronouncements issued or effective as of February 29, 2020 have had or are expected to have a material impact on the Company’s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and research management. The Company determined that the subscription-based service represents a single performance obligation covering a series of distinct products and services that are substantially the same and that have the same pattern of transfer to the client. The Company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FactSet does not consider payment terms a performance obligation for customers with contractual terms that are one year or less and has elected the practical expedient.</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geographic region, which includes the Americas, EMEA and Asia Pacific. FactSet believes these regions are reflective of how the Company manages the business and the markets in which it serves. These regions best depict the nature, amount, timing and uncertainty of revenue and cash flows related to contracts with clients. Refer to Note 8 Segment Information for further information on revenue by geographic region.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this disaggregation of revenue by geography: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3"/>
          </w:tcPr>
          <w:p>
            <w:pPr>
              <w:jc w:val="right"/>
              <w:ind w:right="9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c>
          <w:tcPr>
            <w:tcW w:w="3360" w:type="dxa"/>
            <w:vAlign w:val="bottom"/>
            <w:gridSpan w:val="3"/>
          </w:tcPr>
          <w:p>
            <w:pPr>
              <w:jc w:val="right"/>
              <w:ind w:right="1050"/>
              <w:spacing w:after="0"/>
              <w:rPr>
                <w:sz w:val="20"/>
                <w:szCs w:val="20"/>
                <w:color w:val="auto"/>
              </w:rPr>
            </w:pPr>
            <w:r>
              <w:rPr>
                <w:rFonts w:ascii="Arial" w:cs="Arial" w:eastAsia="Arial" w:hAnsi="Arial"/>
                <w:sz w:val="18"/>
                <w:szCs w:val="18"/>
                <w:color w:val="auto"/>
              </w:rPr>
              <w:t>Six Months Ended</w:t>
            </w:r>
          </w:p>
        </w:tc>
      </w:tr>
      <w:tr>
        <w:trPr>
          <w:trHeight w:val="270"/>
        </w:trPr>
        <w:tc>
          <w:tcPr>
            <w:tcW w:w="3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February 29,</w:t>
            </w:r>
          </w:p>
        </w:tc>
        <w:tc>
          <w:tcPr>
            <w:tcW w:w="380" w:type="dxa"/>
            <w:vAlign w:val="bottom"/>
          </w:tcPr>
          <w:p>
            <w:pPr>
              <w:spacing w:after="0"/>
              <w:rPr>
                <w:sz w:val="23"/>
                <w:szCs w:val="23"/>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February 28,</w:t>
            </w:r>
          </w:p>
        </w:tc>
        <w:tc>
          <w:tcPr>
            <w:tcW w:w="380" w:type="dxa"/>
            <w:vAlign w:val="bottom"/>
          </w:tcPr>
          <w:p>
            <w:pPr>
              <w:spacing w:after="0"/>
              <w:rPr>
                <w:sz w:val="23"/>
                <w:szCs w:val="23"/>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February 29,</w:t>
            </w:r>
          </w:p>
        </w:tc>
        <w:tc>
          <w:tcPr>
            <w:tcW w:w="380" w:type="dxa"/>
            <w:vAlign w:val="bottom"/>
          </w:tcPr>
          <w:p>
            <w:pPr>
              <w:spacing w:after="0"/>
              <w:rPr>
                <w:sz w:val="23"/>
                <w:szCs w:val="23"/>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February 28,</w:t>
            </w: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3"/>
                <w:szCs w:val="23"/>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3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232,731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223,315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464,061</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445,518</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102,105</w:t>
            </w:r>
          </w:p>
        </w:tc>
        <w:tc>
          <w:tcPr>
            <w:tcW w:w="3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98,933</w:t>
            </w:r>
          </w:p>
        </w:tc>
        <w:tc>
          <w:tcPr>
            <w:tcW w:w="3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202,935</w:t>
            </w:r>
          </w:p>
        </w:tc>
        <w:tc>
          <w:tcPr>
            <w:tcW w:w="38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196,698</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34,944</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32,647</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69,442</w:t>
            </w:r>
          </w:p>
        </w:tc>
        <w:tc>
          <w:tcPr>
            <w:tcW w:w="3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64,319</w:t>
            </w: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369,780</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354,895</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736,438</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706,535</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its placement within the fair value hierarchy levels. FactSet has categorized its cash equivalents, investments and derivatives within the fair value hierarchy as follows: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the Company’s corporate money market funds that are classified as cash equivalents.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u w:val="single" w:color="auto"/>
          <w:color w:val="auto"/>
        </w:rPr>
        <w:t>Level 3</w:t>
      </w:r>
      <w:r>
        <w:rPr>
          <w:rFonts w:ascii="Arial" w:cs="Arial" w:eastAsia="Arial" w:hAnsi="Arial"/>
          <w:sz w:val="16"/>
          <w:szCs w:val="16"/>
          <w:i w:val="1"/>
          <w:iCs w:val="1"/>
          <w:color w:val="auto"/>
        </w:rPr>
        <w:t xml:space="preserve"> </w:t>
      </w:r>
      <w:r>
        <w:rPr>
          <w:rFonts w:ascii="Arial" w:cs="Arial" w:eastAsia="Arial" w:hAnsi="Arial"/>
          <w:sz w:val="16"/>
          <w:szCs w:val="16"/>
          <w:color w:val="auto"/>
        </w:rPr>
        <w:t>– applies to assets or liabilities for which there are unobservable inputs to the valuation methodology that are significant to the measurement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assets or liabilities. There were no Level 3 assets or liabilities held by the Company as of February 29, 2020 or August 31, 2019.</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shows by level within the fair value hierarchy the Company’s assets and liabilities that are measured at fair value on a recurring basis at February 29, 2020 and August 31, 2019. The Company did not have any transfers between Level 1 and Level 2 fair value measurements during the periods presented.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6"/>
          </w:tcPr>
          <w:p>
            <w:pPr>
              <w:jc w:val="right"/>
              <w:ind w:right="50"/>
              <w:spacing w:after="0"/>
              <w:rPr>
                <w:sz w:val="20"/>
                <w:szCs w:val="20"/>
                <w:color w:val="auto"/>
              </w:rPr>
            </w:pPr>
            <w:r>
              <w:rPr>
                <w:rFonts w:ascii="Arial" w:cs="Arial" w:eastAsia="Arial" w:hAnsi="Arial"/>
                <w:sz w:val="18"/>
                <w:szCs w:val="18"/>
                <w:color w:val="auto"/>
              </w:rPr>
              <w:t>Fair Value Measurements at February 29, 2020</w:t>
            </w:r>
          </w:p>
        </w:tc>
        <w:tc>
          <w:tcPr>
            <w:tcW w:w="9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5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3"/>
                <w:szCs w:val="23"/>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Level 3</w:t>
            </w:r>
          </w:p>
        </w:tc>
        <w:tc>
          <w:tcPr>
            <w:tcW w:w="4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51,537</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51,537</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18,532</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18,532</w:t>
            </w: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5,352</w:t>
            </w:r>
          </w:p>
        </w:tc>
        <w:tc>
          <w:tcPr>
            <w:tcW w:w="36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5,352</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610</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610</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51,537</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24,494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76,031</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1,181</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1,181</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1,181</w:t>
            </w:r>
          </w:p>
        </w:tc>
      </w:tr>
      <w:tr>
        <w:trPr>
          <w:trHeight w:val="6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gridSpan w:val="5"/>
          </w:tcPr>
          <w:p>
            <w:pPr>
              <w:jc w:val="right"/>
              <w:ind w:right="110"/>
              <w:spacing w:after="0"/>
              <w:rPr>
                <w:sz w:val="20"/>
                <w:szCs w:val="20"/>
                <w:color w:val="auto"/>
              </w:rPr>
            </w:pPr>
            <w:r>
              <w:rPr>
                <w:rFonts w:ascii="Arial" w:cs="Arial" w:eastAsia="Arial" w:hAnsi="Arial"/>
                <w:sz w:val="18"/>
                <w:szCs w:val="18"/>
                <w:color w:val="auto"/>
                <w:w w:val="88"/>
              </w:rPr>
              <w:t>Fair Value Measurements at August 31, 2019</w:t>
            </w:r>
          </w:p>
        </w:tc>
        <w:tc>
          <w:tcPr>
            <w:tcW w:w="9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5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3"/>
                <w:szCs w:val="23"/>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Level 3</w:t>
            </w:r>
          </w:p>
        </w:tc>
        <w:tc>
          <w:tcPr>
            <w:tcW w:w="4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75,849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75,849</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18,583</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18,583</w:t>
            </w: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7,090</w:t>
            </w:r>
          </w:p>
        </w:tc>
        <w:tc>
          <w:tcPr>
            <w:tcW w:w="36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7,090</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75,849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26,193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102,042</w:t>
            </w:r>
          </w:p>
        </w:tc>
      </w:tr>
      <w:tr>
        <w:trPr>
          <w:trHeight w:val="27"/>
        </w:trPr>
        <w:tc>
          <w:tcPr>
            <w:tcW w:w="20" w:type="dxa"/>
            <w:vAlign w:val="bottom"/>
          </w:tcPr>
          <w:p>
            <w:pPr>
              <w:spacing w:after="0"/>
              <w:rPr>
                <w:sz w:val="2"/>
                <w:szCs w:val="2"/>
                <w:color w:val="auto"/>
              </w:rPr>
            </w:pPr>
          </w:p>
        </w:tc>
        <w:tc>
          <w:tcPr>
            <w:tcW w:w="56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3,575</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3,575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3,575</w:t>
            </w:r>
          </w:p>
        </w:tc>
      </w:tr>
    </w:tbl>
    <w:p>
      <w:pPr>
        <w:spacing w:after="0" w:line="364" w:lineRule="exact"/>
        <w:rPr>
          <w:sz w:val="20"/>
          <w:szCs w:val="20"/>
          <w:color w:val="auto"/>
        </w:rPr>
      </w:pPr>
    </w:p>
    <w:p>
      <w:pPr>
        <w:jc w:val="both"/>
        <w:ind w:left="500" w:hanging="330"/>
        <w:spacing w:after="0" w:line="263" w:lineRule="auto"/>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Company’s corporate money market funds are readily convertible into cash and the net asset value of each fund on the last day of the quarter is used to determine its fair value. As such, the Company’s corporate money market funds are classified as Level 1 assets and included in Cash and cash equivalents within the </w:t>
      </w:r>
      <w:r>
        <w:rPr>
          <w:rFonts w:ascii="Arial" w:cs="Arial" w:eastAsia="Arial" w:hAnsi="Arial"/>
          <w:sz w:val="18"/>
          <w:szCs w:val="18"/>
          <w:color w:val="auto"/>
        </w:rPr>
        <w:t>C</w:t>
      </w:r>
      <w:r>
        <w:rPr>
          <w:rFonts w:ascii="Arial" w:cs="Arial" w:eastAsia="Arial" w:hAnsi="Arial"/>
          <w:sz w:val="18"/>
          <w:szCs w:val="18"/>
          <w:i w:val="1"/>
          <w:iCs w:val="1"/>
          <w:color w:val="auto"/>
        </w:rPr>
        <w:t>onsolidated Balance Sheets.</w:t>
      </w:r>
    </w:p>
    <w:p>
      <w:pPr>
        <w:spacing w:after="0" w:line="48" w:lineRule="exact"/>
        <w:rPr>
          <w:rFonts w:ascii="Arial" w:cs="Arial" w:eastAsia="Arial" w:hAnsi="Arial"/>
          <w:sz w:val="18"/>
          <w:szCs w:val="18"/>
          <w:i w:val="1"/>
          <w:iCs w:val="1"/>
          <w:color w:val="auto"/>
        </w:rPr>
      </w:pPr>
    </w:p>
    <w:p>
      <w:pPr>
        <w:jc w:val="both"/>
        <w:ind w:left="500" w:hanging="330"/>
        <w:spacing w:after="0" w:line="311" w:lineRule="auto"/>
        <w:tabs>
          <w:tab w:leader="none" w:pos="5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27" w:lineRule="exact"/>
        <w:rPr>
          <w:rFonts w:ascii="Arial" w:cs="Arial" w:eastAsia="Arial" w:hAnsi="Arial"/>
          <w:sz w:val="16"/>
          <w:szCs w:val="16"/>
          <w:i w:val="1"/>
          <w:iCs w:val="1"/>
          <w:color w:val="auto"/>
        </w:rPr>
      </w:pPr>
    </w:p>
    <w:p>
      <w:pPr>
        <w:jc w:val="both"/>
        <w:ind w:left="500" w:hanging="330"/>
        <w:spacing w:after="0" w:line="263" w:lineRule="auto"/>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certificates of deposit held for investment are not debt securities and are classified as Level 2 assets. These certificates of deposit have original maturities greater than three months, but less than one year and, as such, are classified as Investments (short-term) within the Consolidated Balance Sheets.</w:t>
      </w:r>
    </w:p>
    <w:p>
      <w:pPr>
        <w:spacing w:after="0" w:line="62" w:lineRule="exact"/>
        <w:rPr>
          <w:rFonts w:ascii="Arial" w:cs="Arial" w:eastAsia="Arial" w:hAnsi="Arial"/>
          <w:sz w:val="18"/>
          <w:szCs w:val="18"/>
          <w:i w:val="1"/>
          <w:iCs w:val="1"/>
          <w:color w:val="auto"/>
        </w:rPr>
      </w:pPr>
    </w:p>
    <w:p>
      <w:pPr>
        <w:jc w:val="both"/>
        <w:ind w:left="500" w:hanging="330"/>
        <w:spacing w:after="0" w:line="263" w:lineRule="auto"/>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are classified as Level 2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relate primarily to our tangible fixed assets, operating lease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and liabilities are remeasured in the event of an other-than temporary impairment. The Company reviews goodwill and intangible assets for impairment annually, during the fourth quarter of each fiscal year, or as circumstances indicate the possibility for impairment. The Company monitors the carrying value of long-lived assets for impairment whenever events or changes in circumstances indicate its carrying amount may not be recoverable. During the six months ended February 29, 2020, no fair value adjustments or material fair value measurements were required for the Company’s non-financial assets or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Assets and Liabilities Measured at Fair Value for Disclosure Purposes </w:t>
      </w:r>
      <w:r>
        <w:rPr>
          <w:rFonts w:ascii="Arial" w:cs="Arial" w:eastAsia="Arial" w:hAnsi="Arial"/>
          <w:sz w:val="18"/>
          <w:szCs w:val="18"/>
          <w:color w:val="auto"/>
        </w:rPr>
        <w:t>O</w:t>
      </w:r>
      <w:r>
        <w:rPr>
          <w:rFonts w:ascii="Arial" w:cs="Arial" w:eastAsia="Arial" w:hAnsi="Arial"/>
          <w:sz w:val="18"/>
          <w:szCs w:val="18"/>
          <w:b w:val="1"/>
          <w:bCs w:val="1"/>
          <w:i w:val="1"/>
          <w:iCs w:val="1"/>
          <w:color w:val="auto"/>
        </w:rPr>
        <w:t>nly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February 29, 2020, and August 31, 2019, the fair value of the Company’s Long-term debt was $575.0 million, which approximated its carrying amount given the application of a floating interest rate equal to the daily LIBOR rate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75" w:lineRule="exact"/>
        <w:rPr>
          <w:sz w:val="20"/>
          <w:szCs w:val="20"/>
          <w:color w:val="auto"/>
        </w:rPr>
      </w:pPr>
    </w:p>
    <w:p>
      <w:pPr>
        <w:ind w:right="8580" w:firstLine="8"/>
        <w:spacing w:after="0" w:line="464"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jc w:val="both"/>
        <w:spacing w:after="0" w:line="296" w:lineRule="auto"/>
        <w:rPr>
          <w:sz w:val="20"/>
          <w:szCs w:val="20"/>
          <w:color w:val="auto"/>
        </w:rPr>
      </w:pPr>
      <w:r>
        <w:rPr>
          <w:rFonts w:ascii="Arial" w:cs="Arial" w:eastAsia="Arial" w:hAnsi="Arial"/>
          <w:sz w:val="16"/>
          <w:szCs w:val="16"/>
          <w:color w:val="auto"/>
        </w:rPr>
        <w:t>FactSet conducts business outside the U.S. in several currencies including British Pound Sterling, Euro, Indian Rupee, and Philippine Peso.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Refer to Note 16, Commitments and Contingencies – Concentrations of Credit Risk, for further discussion on counterparty credit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first six months of fiscal 2020 or 2019, and as such, no corresponding gains or losses related to changes in the value of the Company’s contracts were reclassified into earnings prior to settlement.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29, 2020, FactSet maintained foreign currency forward contracts to hedge a portion of its British Pound Sterling, Euro, Indian Rupee, and Philippine Peso exposures. FactSet entered into a series of forward contracts to mitigate its currency exposure ranging from 25% to 63% over their respective hedged periods. The current foreign currency forward contracts are set to mature at various points between the fourth quarter of fiscal 2020 through the first quarter of fiscal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5"/>
        </w:trPr>
        <w:tc>
          <w:tcPr>
            <w:tcW w:w="7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3"/>
          </w:tcPr>
          <w:p>
            <w:pPr>
              <w:jc w:val="right"/>
              <w:ind w:right="950"/>
              <w:spacing w:after="0"/>
              <w:rPr>
                <w:sz w:val="20"/>
                <w:szCs w:val="20"/>
                <w:color w:val="auto"/>
              </w:rPr>
            </w:pPr>
            <w:r>
              <w:rPr>
                <w:rFonts w:ascii="Arial" w:cs="Arial" w:eastAsia="Arial" w:hAnsi="Arial"/>
                <w:sz w:val="18"/>
                <w:szCs w:val="18"/>
                <w:color w:val="auto"/>
              </w:rPr>
              <w:t>Gross Notional Value</w:t>
            </w:r>
          </w:p>
        </w:tc>
      </w:tr>
      <w:tr>
        <w:trPr>
          <w:trHeight w:val="27"/>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February 29, 2020</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2019</w:t>
            </w:r>
          </w:p>
        </w:tc>
      </w:tr>
      <w:tr>
        <w:trPr>
          <w:trHeight w:val="23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80,277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113,700</w:t>
            </w:r>
          </w:p>
        </w:tc>
      </w:tr>
      <w:tr>
        <w:trPr>
          <w:trHeight w:val="27"/>
        </w:trPr>
        <w:tc>
          <w:tcPr>
            <w:tcW w:w="7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29, 2020, the gross notional value of foreign currency forward contracts to purchase Philippine Pesos and Indian Rupees with U.S. dollars was ₱842.6 billion and Rs1,434.3 billion, respectively. The gross notional value of foreign currency forward contracts to purchase U.S. dollars with Euros and British Pound Sterling was €20.5 million and £16.5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fair values of the derivative instruments: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Fair Value of Derivative Instruments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3"/>
          </w:tcPr>
          <w:p>
            <w:pPr>
              <w:jc w:val="right"/>
              <w:ind w:right="650"/>
              <w:spacing w:after="0"/>
              <w:rPr>
                <w:sz w:val="20"/>
                <w:szCs w:val="20"/>
                <w:color w:val="auto"/>
              </w:rPr>
            </w:pPr>
            <w:r>
              <w:rPr>
                <w:rFonts w:ascii="Arial" w:cs="Arial" w:eastAsia="Arial" w:hAnsi="Arial"/>
                <w:sz w:val="18"/>
                <w:szCs w:val="18"/>
                <w:color w:val="auto"/>
              </w:rPr>
              <w:t>Derivative Assets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3"/>
          </w:tcPr>
          <w:p>
            <w:pPr>
              <w:jc w:val="right"/>
              <w:ind w:right="53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6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9"/>
              </w:rPr>
              <w:t>February 29, 2020</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6"/>
              </w:rPr>
              <w:t>August 31, 2019</w:t>
            </w:r>
          </w:p>
        </w:tc>
        <w:tc>
          <w:tcPr>
            <w:tcW w:w="176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9"/>
              </w:rPr>
              <w:t>February 29, 2020</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August 31, 2019</w:t>
            </w:r>
          </w:p>
        </w:tc>
        <w:tc>
          <w:tcPr>
            <w:tcW w:w="0" w:type="dxa"/>
            <w:vAlign w:val="bottom"/>
          </w:tcPr>
          <w:p>
            <w:pPr>
              <w:spacing w:after="0"/>
              <w:rPr>
                <w:sz w:val="1"/>
                <w:szCs w:val="1"/>
                <w:color w:val="auto"/>
              </w:rPr>
            </w:pPr>
          </w:p>
        </w:tc>
      </w:tr>
      <w:tr>
        <w:trPr>
          <w:trHeight w:val="27"/>
        </w:trPr>
        <w:tc>
          <w:tcPr>
            <w:tcW w:w="2120" w:type="dxa"/>
            <w:vAlign w:val="bottom"/>
            <w:vMerge w:val="restart"/>
          </w:tcPr>
          <w:p>
            <w:pPr>
              <w:ind w:left="20"/>
              <w:spacing w:after="0"/>
              <w:rPr>
                <w:sz w:val="20"/>
                <w:szCs w:val="20"/>
                <w:color w:val="auto"/>
              </w:rPr>
            </w:pPr>
            <w:r>
              <w:rPr>
                <w:rFonts w:ascii="Arial" w:cs="Arial" w:eastAsia="Arial" w:hAnsi="Arial"/>
                <w:sz w:val="18"/>
                <w:szCs w:val="18"/>
                <w:color w:val="auto"/>
              </w:rPr>
              <w:t>Derivatives designated as</w:t>
            </w:r>
          </w:p>
        </w:tc>
        <w:tc>
          <w:tcPr>
            <w:tcW w:w="1740" w:type="dxa"/>
            <w:vAlign w:val="bottom"/>
            <w:vMerge w:val="restart"/>
          </w:tcPr>
          <w:p>
            <w:pPr>
              <w:ind w:left="360"/>
              <w:spacing w:after="0"/>
              <w:rPr>
                <w:sz w:val="20"/>
                <w:szCs w:val="20"/>
                <w:color w:val="auto"/>
              </w:rPr>
            </w:pPr>
            <w:r>
              <w:rPr>
                <w:rFonts w:ascii="Arial" w:cs="Arial" w:eastAsia="Arial" w:hAnsi="Arial"/>
                <w:sz w:val="18"/>
                <w:szCs w:val="18"/>
                <w:color w:val="auto"/>
              </w:rPr>
              <w:t>Balance Sheet</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60" w:type="dxa"/>
            <w:vAlign w:val="bottom"/>
            <w:vMerge w:val="restart"/>
          </w:tcPr>
          <w:p>
            <w:pPr>
              <w:ind w:left="380"/>
              <w:spacing w:after="0"/>
              <w:rPr>
                <w:sz w:val="20"/>
                <w:szCs w:val="20"/>
                <w:color w:val="auto"/>
              </w:rPr>
            </w:pPr>
            <w:r>
              <w:rPr>
                <w:rFonts w:ascii="Arial" w:cs="Arial" w:eastAsia="Arial" w:hAnsi="Arial"/>
                <w:sz w:val="18"/>
                <w:szCs w:val="18"/>
                <w:color w:val="auto"/>
              </w:rPr>
              <w:t>Balance Sheet</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hedging instruments</w:t>
            </w:r>
          </w:p>
        </w:tc>
        <w:tc>
          <w:tcPr>
            <w:tcW w:w="1740" w:type="dxa"/>
            <w:vAlign w:val="bottom"/>
          </w:tcPr>
          <w:p>
            <w:pPr>
              <w:ind w:left="380"/>
              <w:spacing w:after="0"/>
              <w:rPr>
                <w:sz w:val="20"/>
                <w:szCs w:val="20"/>
                <w:color w:val="auto"/>
              </w:rPr>
            </w:pPr>
            <w:r>
              <w:rPr>
                <w:rFonts w:ascii="Arial" w:cs="Arial" w:eastAsia="Arial" w:hAnsi="Arial"/>
                <w:sz w:val="18"/>
                <w:szCs w:val="18"/>
                <w:color w:val="auto"/>
              </w:rPr>
              <w:t>Classification</w:t>
            </w:r>
          </w:p>
        </w:tc>
        <w:tc>
          <w:tcPr>
            <w:tcW w:w="20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Fair Value</w:t>
            </w:r>
          </w:p>
        </w:tc>
        <w:tc>
          <w:tcPr>
            <w:tcW w:w="1760" w:type="dxa"/>
            <w:vAlign w:val="bottom"/>
          </w:tcPr>
          <w:p>
            <w:pPr>
              <w:ind w:left="400"/>
              <w:spacing w:after="0"/>
              <w:rPr>
                <w:sz w:val="20"/>
                <w:szCs w:val="20"/>
                <w:color w:val="auto"/>
              </w:rPr>
            </w:pPr>
            <w:r>
              <w:rPr>
                <w:rFonts w:ascii="Arial" w:cs="Arial" w:eastAsia="Arial" w:hAnsi="Arial"/>
                <w:sz w:val="18"/>
                <w:szCs w:val="18"/>
                <w:color w:val="auto"/>
              </w:rPr>
              <w:t>Classification</w:t>
            </w:r>
          </w:p>
        </w:tc>
        <w:tc>
          <w:tcPr>
            <w:tcW w:w="22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9"/>
              </w:rPr>
              <w:t>Fair Value</w:t>
            </w:r>
          </w:p>
        </w:tc>
        <w:tc>
          <w:tcPr>
            <w:tcW w:w="220" w:type="dxa"/>
            <w:vAlign w:val="bottom"/>
          </w:tcPr>
          <w:p>
            <w:pPr>
              <w:spacing w:after="0"/>
              <w:rPr>
                <w:sz w:val="20"/>
                <w:szCs w:val="20"/>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Foreign Currency Forward</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Prepaid expenses and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Accounts payable and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February 29, 2020 and August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February 29, 2020 and February 28, 2019, respectively: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color w:val="auto"/>
                <w:w w:val="94"/>
              </w:rPr>
              <w:t>(Loss) Gain Recognized in AOCL on</w:t>
            </w:r>
          </w:p>
        </w:tc>
        <w:tc>
          <w:tcPr>
            <w:tcW w:w="2080" w:type="dxa"/>
            <w:vAlign w:val="bottom"/>
          </w:tcPr>
          <w:p>
            <w:pPr>
              <w:spacing w:after="0"/>
              <w:rPr>
                <w:sz w:val="17"/>
                <w:szCs w:val="17"/>
                <w:color w:val="auto"/>
              </w:rPr>
            </w:pPr>
          </w:p>
        </w:tc>
        <w:tc>
          <w:tcPr>
            <w:tcW w:w="2380" w:type="dxa"/>
            <w:vAlign w:val="bottom"/>
            <w:gridSpan w:val="4"/>
          </w:tcPr>
          <w:p>
            <w:pPr>
              <w:jc w:val="center"/>
              <w:spacing w:after="0"/>
              <w:rPr>
                <w:sz w:val="20"/>
                <w:szCs w:val="20"/>
                <w:color w:val="auto"/>
              </w:rPr>
            </w:pPr>
            <w:r>
              <w:rPr>
                <w:rFonts w:ascii="Arial" w:cs="Arial" w:eastAsia="Arial" w:hAnsi="Arial"/>
                <w:sz w:val="16"/>
                <w:szCs w:val="16"/>
                <w:color w:val="auto"/>
                <w:w w:val="94"/>
              </w:rPr>
              <w:t>Loss Reclassified from AOCL into</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440" w:type="dxa"/>
            <w:vAlign w:val="bottom"/>
            <w:gridSpan w:val="2"/>
          </w:tcPr>
          <w:p>
            <w:pPr>
              <w:jc w:val="center"/>
              <w:ind w:left="476"/>
              <w:spacing w:after="0"/>
              <w:rPr>
                <w:sz w:val="20"/>
                <w:szCs w:val="20"/>
                <w:color w:val="auto"/>
              </w:rPr>
            </w:pPr>
            <w:r>
              <w:rPr>
                <w:rFonts w:ascii="Arial" w:cs="Arial" w:eastAsia="Arial" w:hAnsi="Arial"/>
                <w:sz w:val="16"/>
                <w:szCs w:val="16"/>
                <w:color w:val="auto"/>
                <w:w w:val="95"/>
              </w:rPr>
              <w:t>Derivatives</w:t>
            </w:r>
          </w:p>
        </w:tc>
        <w:tc>
          <w:tcPr>
            <w:tcW w:w="86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Loss Reclassified</w:t>
            </w:r>
          </w:p>
        </w:tc>
        <w:tc>
          <w:tcPr>
            <w:tcW w:w="280" w:type="dxa"/>
            <w:vAlign w:val="bottom"/>
          </w:tcPr>
          <w:p>
            <w:pPr>
              <w:spacing w:after="0"/>
              <w:rPr>
                <w:sz w:val="17"/>
                <w:szCs w:val="17"/>
                <w:color w:val="auto"/>
              </w:rPr>
            </w:pPr>
          </w:p>
        </w:tc>
        <w:tc>
          <w:tcPr>
            <w:tcW w:w="1240" w:type="dxa"/>
            <w:vAlign w:val="bottom"/>
            <w:gridSpan w:val="2"/>
          </w:tcPr>
          <w:p>
            <w:pPr>
              <w:jc w:val="center"/>
              <w:ind w:left="496"/>
              <w:spacing w:after="0"/>
              <w:rPr>
                <w:sz w:val="20"/>
                <w:szCs w:val="20"/>
                <w:color w:val="auto"/>
              </w:rPr>
            </w:pPr>
            <w:r>
              <w:rPr>
                <w:rFonts w:ascii="Arial" w:cs="Arial" w:eastAsia="Arial" w:hAnsi="Arial"/>
                <w:sz w:val="16"/>
                <w:szCs w:val="16"/>
                <w:color w:val="auto"/>
                <w:w w:val="95"/>
              </w:rPr>
              <w:t>Income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40" w:type="dxa"/>
            <w:vAlign w:val="bottom"/>
            <w:vMerge w:val="restart"/>
          </w:tcPr>
          <w:p>
            <w:pPr>
              <w:ind w:left="20"/>
              <w:spacing w:after="0"/>
              <w:rPr>
                <w:sz w:val="20"/>
                <w:szCs w:val="20"/>
                <w:color w:val="auto"/>
              </w:rPr>
            </w:pPr>
            <w:r>
              <w:rPr>
                <w:rFonts w:ascii="Arial" w:cs="Arial" w:eastAsia="Arial" w:hAnsi="Arial"/>
                <w:sz w:val="16"/>
                <w:szCs w:val="16"/>
                <w:color w:val="auto"/>
              </w:rPr>
              <w:t>Derivatives in Cash Flow Hedging Relationships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8"/>
                <w:szCs w:val="18"/>
                <w:color w:val="auto"/>
              </w:rPr>
            </w:pPr>
          </w:p>
        </w:tc>
        <w:tc>
          <w:tcPr>
            <w:tcW w:w="860" w:type="dxa"/>
            <w:vAlign w:val="bottom"/>
          </w:tcPr>
          <w:p>
            <w:pPr>
              <w:jc w:val="right"/>
              <w:ind w:right="395"/>
              <w:spacing w:after="0"/>
              <w:rPr>
                <w:sz w:val="20"/>
                <w:szCs w:val="20"/>
                <w:color w:val="auto"/>
              </w:rPr>
            </w:pPr>
            <w:r>
              <w:rPr>
                <w:rFonts w:ascii="Arial" w:cs="Arial" w:eastAsia="Arial" w:hAnsi="Arial"/>
                <w:sz w:val="16"/>
                <w:szCs w:val="16"/>
                <w:color w:val="auto"/>
              </w:rPr>
              <w:t>2019</w:t>
            </w:r>
          </w:p>
        </w:tc>
        <w:tc>
          <w:tcPr>
            <w:tcW w:w="2080" w:type="dxa"/>
            <w:vAlign w:val="bottom"/>
          </w:tcPr>
          <w:p>
            <w:pPr>
              <w:jc w:val="center"/>
              <w:spacing w:after="0"/>
              <w:rPr>
                <w:sz w:val="20"/>
                <w:szCs w:val="20"/>
                <w:color w:val="auto"/>
              </w:rPr>
            </w:pPr>
            <w:r>
              <w:rPr>
                <w:rFonts w:ascii="Arial" w:cs="Arial" w:eastAsia="Arial" w:hAnsi="Arial"/>
                <w:sz w:val="16"/>
                <w:szCs w:val="16"/>
                <w:color w:val="auto"/>
                <w:w w:val="96"/>
              </w:rPr>
              <w:t>from AOCL into Income</w:t>
            </w:r>
          </w:p>
        </w:tc>
        <w:tc>
          <w:tcPr>
            <w:tcW w:w="28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321</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0" w:right="300"/>
        <w:spacing w:after="0" w:line="235"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six months ended February 29, 2020 and February 28, 2019,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3"/>
          </w:tcPr>
          <w:p>
            <w:pPr>
              <w:jc w:val="center"/>
              <w:ind w:right="115"/>
              <w:spacing w:after="0"/>
              <w:rPr>
                <w:sz w:val="20"/>
                <w:szCs w:val="20"/>
                <w:color w:val="auto"/>
              </w:rPr>
            </w:pPr>
            <w:r>
              <w:rPr>
                <w:rFonts w:ascii="Arial" w:cs="Arial" w:eastAsia="Arial" w:hAnsi="Arial"/>
                <w:sz w:val="16"/>
                <w:szCs w:val="16"/>
                <w:color w:val="auto"/>
                <w:w w:val="93"/>
              </w:rPr>
              <w:t>Gain Recognized in AOCL on</w:t>
            </w:r>
          </w:p>
        </w:tc>
        <w:tc>
          <w:tcPr>
            <w:tcW w:w="2080" w:type="dxa"/>
            <w:vAlign w:val="bottom"/>
          </w:tcPr>
          <w:p>
            <w:pPr>
              <w:spacing w:after="0"/>
              <w:rPr>
                <w:sz w:val="17"/>
                <w:szCs w:val="17"/>
                <w:color w:val="auto"/>
              </w:rPr>
            </w:pPr>
          </w:p>
        </w:tc>
        <w:tc>
          <w:tcPr>
            <w:tcW w:w="2380" w:type="dxa"/>
            <w:vAlign w:val="bottom"/>
            <w:gridSpan w:val="4"/>
          </w:tcPr>
          <w:p>
            <w:pPr>
              <w:jc w:val="center"/>
              <w:spacing w:after="0"/>
              <w:rPr>
                <w:sz w:val="20"/>
                <w:szCs w:val="20"/>
                <w:color w:val="auto"/>
              </w:rPr>
            </w:pPr>
            <w:r>
              <w:rPr>
                <w:rFonts w:ascii="Arial" w:cs="Arial" w:eastAsia="Arial" w:hAnsi="Arial"/>
                <w:sz w:val="16"/>
                <w:szCs w:val="16"/>
                <w:color w:val="auto"/>
                <w:w w:val="94"/>
              </w:rPr>
              <w:t>Loss Reclassified from AOCL into</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540" w:type="dxa"/>
            <w:vAlign w:val="bottom"/>
            <w:gridSpan w:val="2"/>
          </w:tcPr>
          <w:p>
            <w:pPr>
              <w:jc w:val="center"/>
              <w:ind w:left="577"/>
              <w:spacing w:after="0"/>
              <w:rPr>
                <w:sz w:val="20"/>
                <w:szCs w:val="20"/>
                <w:color w:val="auto"/>
              </w:rPr>
            </w:pPr>
            <w:r>
              <w:rPr>
                <w:rFonts w:ascii="Arial" w:cs="Arial" w:eastAsia="Arial" w:hAnsi="Arial"/>
                <w:sz w:val="16"/>
                <w:szCs w:val="16"/>
                <w:color w:val="auto"/>
                <w:w w:val="95"/>
              </w:rPr>
              <w:t>Derivatives</w:t>
            </w:r>
          </w:p>
        </w:tc>
        <w:tc>
          <w:tcPr>
            <w:tcW w:w="860" w:type="dxa"/>
            <w:vAlign w:val="bottom"/>
          </w:tcPr>
          <w:p>
            <w:pPr>
              <w:spacing w:after="0"/>
              <w:rPr>
                <w:sz w:val="17"/>
                <w:szCs w:val="17"/>
                <w:color w:val="auto"/>
              </w:rPr>
            </w:pPr>
          </w:p>
        </w:tc>
        <w:tc>
          <w:tcPr>
            <w:tcW w:w="2080" w:type="dxa"/>
            <w:vAlign w:val="bottom"/>
            <w:vMerge w:val="restart"/>
          </w:tcPr>
          <w:p>
            <w:pPr>
              <w:ind w:left="100"/>
              <w:spacing w:after="0"/>
              <w:rPr>
                <w:sz w:val="20"/>
                <w:szCs w:val="20"/>
                <w:color w:val="auto"/>
              </w:rPr>
            </w:pPr>
            <w:r>
              <w:rPr>
                <w:rFonts w:ascii="Arial" w:cs="Arial" w:eastAsia="Arial" w:hAnsi="Arial"/>
                <w:sz w:val="16"/>
                <w:szCs w:val="16"/>
                <w:color w:val="auto"/>
                <w:w w:val="94"/>
              </w:rPr>
              <w:t>Location of Loss Reclassified</w:t>
            </w:r>
          </w:p>
        </w:tc>
        <w:tc>
          <w:tcPr>
            <w:tcW w:w="280" w:type="dxa"/>
            <w:vAlign w:val="bottom"/>
          </w:tcPr>
          <w:p>
            <w:pPr>
              <w:spacing w:after="0"/>
              <w:rPr>
                <w:sz w:val="17"/>
                <w:szCs w:val="17"/>
                <w:color w:val="auto"/>
              </w:rPr>
            </w:pPr>
          </w:p>
        </w:tc>
        <w:tc>
          <w:tcPr>
            <w:tcW w:w="1240" w:type="dxa"/>
            <w:vAlign w:val="bottom"/>
            <w:gridSpan w:val="2"/>
          </w:tcPr>
          <w:p>
            <w:pPr>
              <w:jc w:val="center"/>
              <w:ind w:left="496"/>
              <w:spacing w:after="0"/>
              <w:rPr>
                <w:sz w:val="20"/>
                <w:szCs w:val="20"/>
                <w:color w:val="auto"/>
              </w:rPr>
            </w:pPr>
            <w:r>
              <w:rPr>
                <w:rFonts w:ascii="Arial" w:cs="Arial" w:eastAsia="Arial" w:hAnsi="Arial"/>
                <w:sz w:val="16"/>
                <w:szCs w:val="16"/>
                <w:color w:val="auto"/>
                <w:w w:val="95"/>
              </w:rPr>
              <w:t>Income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40" w:type="dxa"/>
            <w:vAlign w:val="bottom"/>
            <w:vMerge w:val="restart"/>
          </w:tcPr>
          <w:p>
            <w:pPr>
              <w:ind w:left="20"/>
              <w:spacing w:after="0"/>
              <w:rPr>
                <w:sz w:val="20"/>
                <w:szCs w:val="20"/>
                <w:color w:val="auto"/>
              </w:rPr>
            </w:pPr>
            <w:r>
              <w:rPr>
                <w:rFonts w:ascii="Arial" w:cs="Arial" w:eastAsia="Arial" w:hAnsi="Arial"/>
                <w:sz w:val="16"/>
                <w:szCs w:val="16"/>
                <w:color w:val="auto"/>
              </w:rPr>
              <w:t>Derivatives in Cash Flow Hedging Relationships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57"/>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18"/>
                <w:szCs w:val="18"/>
                <w:color w:val="auto"/>
              </w:rPr>
            </w:pPr>
          </w:p>
        </w:tc>
        <w:tc>
          <w:tcPr>
            <w:tcW w:w="860" w:type="dxa"/>
            <w:vAlign w:val="bottom"/>
          </w:tcPr>
          <w:p>
            <w:pPr>
              <w:jc w:val="right"/>
              <w:ind w:right="395"/>
              <w:spacing w:after="0"/>
              <w:rPr>
                <w:sz w:val="20"/>
                <w:szCs w:val="20"/>
                <w:color w:val="auto"/>
              </w:rPr>
            </w:pPr>
            <w:r>
              <w:rPr>
                <w:rFonts w:ascii="Arial" w:cs="Arial" w:eastAsia="Arial" w:hAnsi="Arial"/>
                <w:sz w:val="16"/>
                <w:szCs w:val="16"/>
                <w:color w:val="auto"/>
              </w:rPr>
              <w:t>2019</w:t>
            </w:r>
          </w:p>
        </w:tc>
        <w:tc>
          <w:tcPr>
            <w:tcW w:w="2080" w:type="dxa"/>
            <w:vAlign w:val="bottom"/>
          </w:tcPr>
          <w:p>
            <w:pPr>
              <w:jc w:val="center"/>
              <w:spacing w:after="0"/>
              <w:rPr>
                <w:sz w:val="20"/>
                <w:szCs w:val="20"/>
                <w:color w:val="auto"/>
              </w:rPr>
            </w:pPr>
            <w:r>
              <w:rPr>
                <w:rFonts w:ascii="Arial" w:cs="Arial" w:eastAsia="Arial" w:hAnsi="Arial"/>
                <w:sz w:val="16"/>
                <w:szCs w:val="16"/>
                <w:color w:val="auto"/>
                <w:w w:val="96"/>
              </w:rPr>
              <w:t>from AOCL into Income</w:t>
            </w:r>
          </w:p>
        </w:tc>
        <w:tc>
          <w:tcPr>
            <w:tcW w:w="28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8"/>
                <w:szCs w:val="18"/>
                <w:color w:val="auto"/>
              </w:rPr>
            </w:pPr>
          </w:p>
        </w:tc>
        <w:tc>
          <w:tcPr>
            <w:tcW w:w="860" w:type="dxa"/>
            <w:vAlign w:val="bottom"/>
          </w:tcPr>
          <w:p>
            <w:pPr>
              <w:jc w:val="right"/>
              <w:ind w:right="355"/>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1,402</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2,264</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February 29, 2020, the Company assessed that these cash flow hedges were effective. All components of each derivative’s gain or loss were recorded in the Consolidated Statement of Income in Selling, general, and administrative ("SG&amp;A"). As of February 29, 2020, the Company estimates that $0.6 million of net derivative losses related to its cash flow hedges included in AOCL will be reclassified into earnings within the next 12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February 29, 2020, and August 31, 2019, there were no material amounts recorded net on the Consolidated Balance Sheets.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COMPREHENSIVE (LOSS) INCOME AND ACCUMULATED OTHER COMPREHENSIVE LOSS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160" w:type="dxa"/>
            <w:vAlign w:val="bottom"/>
            <w:gridSpan w:val="8"/>
          </w:tcPr>
          <w:p>
            <w:pPr>
              <w:ind w:left="20"/>
              <w:spacing w:after="0"/>
              <w:rPr>
                <w:sz w:val="20"/>
                <w:szCs w:val="20"/>
                <w:color w:val="auto"/>
              </w:rPr>
            </w:pPr>
            <w:r>
              <w:rPr>
                <w:rFonts w:ascii="Arial" w:cs="Arial" w:eastAsia="Arial" w:hAnsi="Arial"/>
                <w:sz w:val="18"/>
                <w:szCs w:val="18"/>
                <w:color w:val="auto"/>
                <w:w w:val="90"/>
              </w:rPr>
              <w:t>The components of other comprehensive (loss) income for the three months ended February 29, 2020 and February 28, 2019 are as follows: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3"/>
          </w:tcPr>
          <w:p>
            <w:pPr>
              <w:jc w:val="right"/>
              <w:ind w:right="490"/>
              <w:spacing w:after="0"/>
              <w:rPr>
                <w:sz w:val="20"/>
                <w:szCs w:val="20"/>
                <w:color w:val="auto"/>
              </w:rPr>
            </w:pPr>
            <w:r>
              <w:rPr>
                <w:rFonts w:ascii="Arial" w:cs="Arial" w:eastAsia="Arial" w:hAnsi="Arial"/>
                <w:sz w:val="18"/>
                <w:szCs w:val="18"/>
                <w:color w:val="auto"/>
              </w:rPr>
              <w:t>February 29, 2020</w:t>
            </w:r>
          </w:p>
        </w:tc>
        <w:tc>
          <w:tcPr>
            <w:tcW w:w="320" w:type="dxa"/>
            <w:vAlign w:val="bottom"/>
          </w:tcPr>
          <w:p>
            <w:pPr>
              <w:spacing w:after="0"/>
              <w:rPr>
                <w:sz w:val="20"/>
                <w:szCs w:val="20"/>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Pre-tax</w:t>
            </w:r>
          </w:p>
        </w:tc>
        <w:tc>
          <w:tcPr>
            <w:tcW w:w="2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3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Pre-tax</w:t>
            </w:r>
          </w:p>
        </w:tc>
        <w:tc>
          <w:tcPr>
            <w:tcW w:w="2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Net unrealized (loss) gain on cash flow hedges recognized in AOCL</w:t>
            </w: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Other comprehensive (loss)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688"/>
        </w:trPr>
        <w:tc>
          <w:tcPr>
            <w:tcW w:w="9880" w:type="dxa"/>
            <w:vAlign w:val="bottom"/>
            <w:gridSpan w:val="7"/>
          </w:tcPr>
          <w:p>
            <w:pPr>
              <w:ind w:left="20"/>
              <w:spacing w:after="0"/>
              <w:rPr>
                <w:sz w:val="20"/>
                <w:szCs w:val="20"/>
                <w:color w:val="auto"/>
              </w:rPr>
            </w:pPr>
            <w:r>
              <w:rPr>
                <w:rFonts w:ascii="Arial" w:cs="Arial" w:eastAsia="Arial" w:hAnsi="Arial"/>
                <w:sz w:val="18"/>
                <w:szCs w:val="18"/>
                <w:color w:val="auto"/>
                <w:w w:val="93"/>
              </w:rPr>
              <w:t>The components of other comprehensive income for the six months ended February 29, 2020 and February 28, 2019 are as follows: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3"/>
          </w:tcPr>
          <w:p>
            <w:pPr>
              <w:jc w:val="right"/>
              <w:ind w:right="490"/>
              <w:spacing w:after="0"/>
              <w:rPr>
                <w:sz w:val="20"/>
                <w:szCs w:val="20"/>
                <w:color w:val="auto"/>
              </w:rPr>
            </w:pPr>
            <w:r>
              <w:rPr>
                <w:rFonts w:ascii="Arial" w:cs="Arial" w:eastAsia="Arial" w:hAnsi="Arial"/>
                <w:sz w:val="18"/>
                <w:szCs w:val="18"/>
                <w:color w:val="auto"/>
              </w:rPr>
              <w:t>February 29, 2020</w:t>
            </w:r>
          </w:p>
        </w:tc>
        <w:tc>
          <w:tcPr>
            <w:tcW w:w="320" w:type="dxa"/>
            <w:vAlign w:val="bottom"/>
          </w:tcPr>
          <w:p>
            <w:pPr>
              <w:spacing w:after="0"/>
              <w:rPr>
                <w:sz w:val="20"/>
                <w:szCs w:val="20"/>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Pre-tax</w:t>
            </w:r>
          </w:p>
        </w:tc>
        <w:tc>
          <w:tcPr>
            <w:tcW w:w="2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3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Pre-tax</w:t>
            </w:r>
          </w:p>
        </w:tc>
        <w:tc>
          <w:tcPr>
            <w:tcW w:w="2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6,222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Net unrealized gain on cash flow hedges recognized in AOCL</w:t>
            </w:r>
          </w:p>
        </w:tc>
        <w:tc>
          <w:tcPr>
            <w:tcW w:w="2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2,484</w:t>
            </w:r>
          </w:p>
        </w:tc>
        <w:tc>
          <w:tcPr>
            <w:tcW w:w="2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1,843</w:t>
            </w: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2,332</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Other comprehensive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702"/>
        </w:trPr>
        <w:tc>
          <w:tcPr>
            <w:tcW w:w="6100" w:type="dxa"/>
            <w:vAlign w:val="bottom"/>
          </w:tcPr>
          <w:p>
            <w:pPr>
              <w:ind w:left="20"/>
              <w:spacing w:after="0"/>
              <w:rPr>
                <w:sz w:val="20"/>
                <w:szCs w:val="20"/>
                <w:color w:val="auto"/>
              </w:rPr>
            </w:pPr>
            <w:r>
              <w:rPr>
                <w:rFonts w:ascii="Arial" w:cs="Arial" w:eastAsia="Arial" w:hAnsi="Arial"/>
                <w:sz w:val="18"/>
                <w:szCs w:val="18"/>
                <w:color w:val="auto"/>
              </w:rPr>
              <w:t>The components of AOCL are as follows: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2260" w:type="dxa"/>
            <w:vAlign w:val="bottom"/>
            <w:gridSpan w:val="3"/>
          </w:tcPr>
          <w:p>
            <w:pPr>
              <w:jc w:val="right"/>
              <w:ind w:right="490"/>
              <w:spacing w:after="0"/>
              <w:rPr>
                <w:sz w:val="20"/>
                <w:szCs w:val="20"/>
                <w:color w:val="auto"/>
              </w:rPr>
            </w:pPr>
            <w:r>
              <w:rPr>
                <w:rFonts w:ascii="Arial" w:cs="Arial" w:eastAsia="Arial" w:hAnsi="Arial"/>
                <w:sz w:val="18"/>
                <w:szCs w:val="18"/>
                <w:color w:val="auto"/>
              </w:rPr>
              <w:t>February 29, 2020</w:t>
            </w:r>
          </w:p>
        </w:tc>
        <w:tc>
          <w:tcPr>
            <w:tcW w:w="320" w:type="dxa"/>
            <w:vAlign w:val="bottom"/>
          </w:tcPr>
          <w:p>
            <w:pPr>
              <w:spacing w:after="0"/>
              <w:rPr>
                <w:sz w:val="22"/>
                <w:szCs w:val="22"/>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color w:val="auto"/>
                <w:w w:val="89"/>
              </w:rPr>
              <w:t>August 31, 2019</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 net of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(66,056)</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(72,278)</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accumulated other comprehensive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(66,479)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7"/>
        </w:trPr>
        <w:tc>
          <w:tcPr>
            <w:tcW w:w="6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it engages in business activities from which it may earn revenue and incur expense, (ii) its operating results are regularly reviewed by the company's chief operating decision maker ("CODM") for resource allocation decisions and performance assessment, and (iii) its discrete financial information is available. The Company's Chief Executive Officer functions as the CODM.</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operating segments are aligned with how the Company, including its CODM, manages the business and the geographic markets in which it serves, with a primary focus on providing integrated global financial and economic information. The Company’s internal financial reporting structure is based on three segments: the Americas, EMEA and Asia Pacific. The primary workflow solutions within the Americas, EMEA and Asia Pacific segments are Research, Analytics and Trading, Content and Technology Solutions and Wealth. These workflow solutions provide global financial and economic information to investment managers, investment banks and other financial services professionals.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countries in Europe and Africa. The Asia Pacific segment serves our clients in countries in Asia and Australia. Segment revenue reflects direct sales to clients based in these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Expenditures associated with the Company’s data centers, third-party data costs and corporate headquarters charges are recorded by the Americas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6"/>
        </w:trPr>
        <w:tc>
          <w:tcPr>
            <w:tcW w:w="5920" w:type="dxa"/>
            <w:vAlign w:val="bottom"/>
            <w:gridSpan w:val="2"/>
          </w:tcPr>
          <w:p>
            <w:pPr>
              <w:spacing w:after="0"/>
              <w:rPr>
                <w:sz w:val="20"/>
                <w:szCs w:val="20"/>
                <w:color w:val="auto"/>
              </w:rPr>
            </w:pPr>
            <w:r>
              <w:rPr>
                <w:rFonts w:ascii="Arial" w:cs="Arial" w:eastAsia="Arial" w:hAnsi="Arial"/>
                <w:sz w:val="18"/>
                <w:szCs w:val="18"/>
                <w:color w:val="auto"/>
                <w:w w:val="91"/>
              </w:rPr>
              <w:t>The following tables reflect the results of operations of the Company's segments: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97"/>
        </w:trPr>
        <w:tc>
          <w:tcPr>
            <w:tcW w:w="5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 the three months ended February 29, 2020</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3"/>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232,731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369,780</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42,664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22,283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106,257</w:t>
            </w:r>
          </w:p>
        </w:tc>
      </w:tr>
      <w:tr>
        <w:trPr>
          <w:trHeight w:val="27"/>
        </w:trPr>
        <w:tc>
          <w:tcPr>
            <w:tcW w:w="5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25,119</w:t>
            </w:r>
          </w:p>
        </w:tc>
      </w:tr>
      <w:tr>
        <w:trPr>
          <w:trHeight w:val="513"/>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5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 the three months ended February 28, 2019</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3"/>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223,315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354,895</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45,696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43,248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19,744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108,688</w:t>
            </w:r>
          </w:p>
        </w:tc>
      </w:tr>
      <w:tr>
        <w:trPr>
          <w:trHeight w:val="27"/>
        </w:trPr>
        <w:tc>
          <w:tcPr>
            <w:tcW w:w="5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11,957</w:t>
            </w:r>
          </w:p>
        </w:tc>
      </w:tr>
      <w:tr>
        <w:trPr>
          <w:trHeight w:val="540"/>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5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 the six months ended February 29, 2020</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4"/>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464,061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69,442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736,438</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90,933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83,882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44,628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219,443</w:t>
            </w:r>
          </w:p>
        </w:tc>
      </w:tr>
      <w:tr>
        <w:trPr>
          <w:trHeight w:val="27"/>
        </w:trPr>
        <w:tc>
          <w:tcPr>
            <w:tcW w:w="5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51,899</w:t>
            </w:r>
          </w:p>
        </w:tc>
      </w:tr>
      <w:tr>
        <w:trPr>
          <w:trHeight w:val="513"/>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5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 the six months ended February 28, 2019</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3"/>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706,535</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89,537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82,337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37,353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209,227</w:t>
            </w:r>
          </w:p>
        </w:tc>
      </w:tr>
      <w:tr>
        <w:trPr>
          <w:trHeight w:val="27"/>
        </w:trPr>
        <w:tc>
          <w:tcPr>
            <w:tcW w:w="5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21,482</w:t>
            </w:r>
          </w:p>
        </w:tc>
      </w:tr>
      <w:tr>
        <w:trPr>
          <w:trHeight w:val="27"/>
        </w:trPr>
        <w:tc>
          <w:tcPr>
            <w:tcW w:w="12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2"/>
              </w:rPr>
              <w:t>The following table reflects the total assets for the Company's segments: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13"/>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2"/>
          </w:tcPr>
          <w:p>
            <w:pPr>
              <w:jc w:val="right"/>
              <w:ind w:right="230"/>
              <w:spacing w:after="0"/>
              <w:rPr>
                <w:sz w:val="20"/>
                <w:szCs w:val="20"/>
                <w:color w:val="auto"/>
              </w:rPr>
            </w:pPr>
            <w:r>
              <w:rPr>
                <w:rFonts w:ascii="Arial" w:cs="Arial" w:eastAsia="Arial" w:hAnsi="Arial"/>
                <w:sz w:val="18"/>
                <w:szCs w:val="18"/>
                <w:color w:val="auto"/>
                <w:w w:val="96"/>
              </w:rPr>
              <w:t>February 29, 2020</w:t>
            </w:r>
          </w:p>
        </w:tc>
        <w:tc>
          <w:tcPr>
            <w:tcW w:w="2160" w:type="dxa"/>
            <w:vAlign w:val="bottom"/>
            <w:gridSpan w:val="4"/>
          </w:tcPr>
          <w:p>
            <w:pPr>
              <w:ind w:left="520"/>
              <w:spacing w:after="0"/>
              <w:rPr>
                <w:sz w:val="20"/>
                <w:szCs w:val="20"/>
                <w:color w:val="auto"/>
              </w:rPr>
            </w:pPr>
            <w:r>
              <w:rPr>
                <w:rFonts w:ascii="Arial" w:cs="Arial" w:eastAsia="Arial" w:hAnsi="Arial"/>
                <w:sz w:val="18"/>
                <w:szCs w:val="18"/>
                <w:color w:val="auto"/>
              </w:rPr>
              <w:t>August 31, 2019</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959,283</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851,014</w:t>
            </w:r>
          </w:p>
        </w:tc>
        <w:tc>
          <w:tcPr>
            <w:tcW w:w="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6"/>
              </w:rPr>
              <w:t>683,298</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588,911</w:t>
            </w:r>
          </w:p>
        </w:tc>
        <w:tc>
          <w:tcPr>
            <w:tcW w:w="40" w:type="dxa"/>
            <w:vAlign w:val="bottom"/>
            <w:tcBorders>
              <w:left w:val="single" w:sz="8" w:color="CCEEFF"/>
            </w:tcBorders>
          </w:tcPr>
          <w:p>
            <w:pPr>
              <w:spacing w:after="0"/>
              <w:rPr>
                <w:sz w:val="21"/>
                <w:szCs w:val="2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185,991</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120,205</w:t>
            </w:r>
          </w:p>
        </w:tc>
        <w:tc>
          <w:tcPr>
            <w:tcW w:w="4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i w:val="1"/>
                <w:iCs w:val="1"/>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1,828,572</w:t>
            </w:r>
          </w:p>
        </w:tc>
        <w:tc>
          <w:tcPr>
            <w:tcW w:w="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1,560,130</w:t>
            </w:r>
          </w:p>
        </w:tc>
        <w:tc>
          <w:tcPr>
            <w:tcW w:w="40" w:type="dxa"/>
            <w:vAlign w:val="bottom"/>
            <w:tcBorders>
              <w:left w:val="single" w:sz="8" w:color="CCEEFF"/>
            </w:tcBorders>
          </w:tcPr>
          <w:p>
            <w:pPr>
              <w:spacing w:after="0"/>
              <w:rPr>
                <w:sz w:val="21"/>
                <w:szCs w:val="21"/>
                <w:color w:val="auto"/>
              </w:rPr>
            </w:pPr>
          </w:p>
        </w:tc>
      </w:tr>
      <w:tr>
        <w:trPr>
          <w:trHeight w:val="702"/>
        </w:trPr>
        <w:tc>
          <w:tcPr>
            <w:tcW w:w="5380" w:type="dxa"/>
            <w:vAlign w:val="bottom"/>
          </w:tcPr>
          <w:p>
            <w:pPr>
              <w:spacing w:after="0"/>
              <w:rPr>
                <w:sz w:val="20"/>
                <w:szCs w:val="20"/>
                <w:color w:val="auto"/>
              </w:rPr>
            </w:pPr>
            <w:r>
              <w:rPr>
                <w:rFonts w:ascii="Arial" w:cs="Arial" w:eastAsia="Arial" w:hAnsi="Arial"/>
                <w:sz w:val="18"/>
                <w:szCs w:val="18"/>
                <w:b w:val="1"/>
                <w:bCs w:val="1"/>
                <w:color w:val="auto"/>
              </w:rPr>
              <w:t>9. GOODWILL</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8340" w:type="dxa"/>
            <w:vAlign w:val="bottom"/>
            <w:gridSpan w:val="7"/>
          </w:tcPr>
          <w:p>
            <w:pPr>
              <w:spacing w:after="0"/>
              <w:rPr>
                <w:sz w:val="20"/>
                <w:szCs w:val="20"/>
                <w:color w:val="auto"/>
              </w:rPr>
            </w:pPr>
            <w:r>
              <w:rPr>
                <w:rFonts w:ascii="Arial" w:cs="Arial" w:eastAsia="Arial" w:hAnsi="Arial"/>
                <w:sz w:val="18"/>
                <w:szCs w:val="18"/>
                <w:color w:val="auto"/>
                <w:w w:val="90"/>
              </w:rPr>
              <w:t>Changes in the carrying amount of goodwill by segment for the six months ended February 29, 2020 are as follows:</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EMEA</w:t>
            </w:r>
          </w:p>
        </w:tc>
        <w:tc>
          <w:tcPr>
            <w:tcW w:w="1460" w:type="dxa"/>
            <w:vAlign w:val="bottom"/>
            <w:gridSpan w:val="2"/>
          </w:tcPr>
          <w:p>
            <w:pPr>
              <w:ind w:left="360"/>
              <w:spacing w:after="0"/>
              <w:rPr>
                <w:sz w:val="20"/>
                <w:szCs w:val="20"/>
                <w:color w:val="auto"/>
              </w:rPr>
            </w:pPr>
            <w:r>
              <w:rPr>
                <w:rFonts w:ascii="Arial" w:cs="Arial" w:eastAsia="Arial" w:hAnsi="Arial"/>
                <w:sz w:val="18"/>
                <w:szCs w:val="18"/>
                <w:color w:val="auto"/>
              </w:rPr>
              <w:t>Asia Pacific</w:t>
            </w:r>
          </w:p>
        </w:tc>
        <w:tc>
          <w:tcPr>
            <w:tcW w:w="36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243"/>
        </w:trPr>
        <w:tc>
          <w:tcPr>
            <w:tcW w:w="5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46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386,195</w:t>
            </w:r>
          </w:p>
        </w:tc>
        <w:tc>
          <w:tcPr>
            <w:tcW w:w="3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296,459</w:t>
            </w:r>
          </w:p>
        </w:tc>
        <w:tc>
          <w:tcPr>
            <w:tcW w:w="74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3,075</w:t>
            </w:r>
          </w:p>
        </w:tc>
        <w:tc>
          <w:tcPr>
            <w:tcW w:w="3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685,729</w:t>
            </w:r>
          </w:p>
        </w:tc>
        <w:tc>
          <w:tcPr>
            <w:tcW w:w="40" w:type="dxa"/>
            <w:vAlign w:val="bottom"/>
          </w:tcPr>
          <w:p>
            <w:pPr>
              <w:spacing w:after="0"/>
              <w:rPr>
                <w:sz w:val="21"/>
                <w:szCs w:val="21"/>
                <w:color w:val="auto"/>
              </w:rPr>
            </w:pP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Foreign currency translations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4,964</w:t>
            </w:r>
          </w:p>
        </w:tc>
        <w:tc>
          <w:tcPr>
            <w:tcW w:w="74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4,908</w:t>
            </w:r>
          </w:p>
        </w:tc>
        <w:tc>
          <w:tcPr>
            <w:tcW w:w="4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29, 2020</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386,195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301,423</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3,019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690,637</w:t>
            </w:r>
          </w:p>
        </w:tc>
        <w:tc>
          <w:tcPr>
            <w:tcW w:w="40" w:type="dxa"/>
            <w:vAlign w:val="bottom"/>
          </w:tcPr>
          <w:p>
            <w:pPr>
              <w:spacing w:after="0"/>
              <w:rPr>
                <w:sz w:val="21"/>
                <w:szCs w:val="21"/>
                <w:color w:val="auto"/>
              </w:rPr>
            </w:pPr>
          </w:p>
        </w:tc>
      </w:tr>
      <w:tr>
        <w:trPr>
          <w:trHeight w:val="1093"/>
        </w:trPr>
        <w:tc>
          <w:tcPr>
            <w:tcW w:w="53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Americas, EMEA and Asia Pacific, which reflect the level of internal reporting the Company uses to manage its business and operations. The three reporting units are consistent with the reported operating segments as there is no discrete financial information available for the subsidiaries within each operating segment. The Company performed its annual goodwill impairment test during the fourth quarter of fiscal 2019,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AND EARNINGS PER SHARE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18, 2020, FactSet’s Board of Directors approved a regular quarterly dividend of $0.72 per share. The cash dividend of $27.1 million was paid on March 19, 2020 to common stockholders of record at the close of business on February 28,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1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0"/>
        </w:trPr>
        <w:tc>
          <w:tcPr>
            <w:tcW w:w="7680" w:type="dxa"/>
            <w:vAlign w:val="bottom"/>
          </w:tcPr>
          <w:p>
            <w:pPr>
              <w:spacing w:after="0"/>
              <w:rPr>
                <w:sz w:val="23"/>
                <w:szCs w:val="23"/>
                <w:color w:val="auto"/>
              </w:rPr>
            </w:pPr>
          </w:p>
        </w:tc>
        <w:tc>
          <w:tcPr>
            <w:tcW w:w="3560" w:type="dxa"/>
            <w:vAlign w:val="bottom"/>
            <w:gridSpan w:val="2"/>
          </w:tcPr>
          <w:p>
            <w:pPr>
              <w:jc w:val="right"/>
              <w:ind w:right="1030"/>
              <w:spacing w:after="0"/>
              <w:rPr>
                <w:sz w:val="20"/>
                <w:szCs w:val="20"/>
                <w:color w:val="auto"/>
              </w:rPr>
            </w:pPr>
            <w:r>
              <w:rPr>
                <w:rFonts w:ascii="Arial" w:cs="Arial" w:eastAsia="Arial" w:hAnsi="Arial"/>
                <w:sz w:val="18"/>
                <w:szCs w:val="18"/>
                <w:color w:val="auto"/>
              </w:rPr>
              <w:t>Six Months Ended</w:t>
            </w:r>
          </w:p>
        </w:tc>
      </w:tr>
      <w:tr>
        <w:trPr>
          <w:trHeight w:val="270"/>
        </w:trPr>
        <w:tc>
          <w:tcPr>
            <w:tcW w:w="7680" w:type="dxa"/>
            <w:vAlign w:val="bottom"/>
          </w:tcPr>
          <w:p>
            <w:pPr>
              <w:spacing w:after="0"/>
              <w:rPr>
                <w:sz w:val="23"/>
                <w:szCs w:val="23"/>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February 29,</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February 28,</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jc w:val="right"/>
              <w:ind w:right="730"/>
              <w:spacing w:after="0"/>
              <w:rPr>
                <w:sz w:val="20"/>
                <w:szCs w:val="20"/>
                <w:color w:val="auto"/>
              </w:rPr>
            </w:pPr>
            <w:r>
              <w:rPr>
                <w:rFonts w:ascii="Arial" w:cs="Arial" w:eastAsia="Arial" w:hAnsi="Arial"/>
                <w:sz w:val="18"/>
                <w:szCs w:val="18"/>
                <w:color w:val="auto"/>
              </w:rPr>
              <w:t>2020</w:t>
            </w: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2019</w:t>
            </w:r>
          </w:p>
        </w:tc>
      </w:tr>
      <w:tr>
        <w:trPr>
          <w:trHeight w:val="27"/>
        </w:trPr>
        <w:tc>
          <w:tcPr>
            <w:tcW w:w="7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2019 and 2018, respectively</w:t>
            </w:r>
          </w:p>
        </w:tc>
        <w:tc>
          <w:tcPr>
            <w:tcW w:w="1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38,118</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38,192</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348</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426</w:t>
            </w:r>
          </w:p>
        </w:tc>
      </w:tr>
      <w:tr>
        <w:trPr>
          <w:trHeight w:val="27"/>
        </w:trPr>
        <w:tc>
          <w:tcPr>
            <w:tcW w:w="7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18"/>
                <w:szCs w:val="18"/>
                <w:color w:val="auto"/>
                <w:vertAlign w:val="superscript"/>
              </w:rPr>
              <w:t>(1)</w:t>
            </w:r>
          </w:p>
        </w:tc>
        <w:tc>
          <w:tcPr>
            <w:tcW w:w="1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(611)</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76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February 29, 2020 and February 28 2019, respectively</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37,849</w:t>
            </w: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38,100</w:t>
            </w:r>
          </w:p>
        </w:tc>
      </w:tr>
      <w:tr>
        <w:trPr>
          <w:trHeight w:val="27"/>
        </w:trPr>
        <w:tc>
          <w:tcPr>
            <w:tcW w:w="76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right="280" w:hanging="332"/>
        <w:spacing w:after="0" w:line="263" w:lineRule="auto"/>
        <w:tabs>
          <w:tab w:leader="none" w:pos="33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For the six months ended February 29, 2020 and February 28, 2019, the Company repurchased 6,252 and 27,852 shares, or $1.6 million and $6.1 million of common stock, respectively, in settlement of employee tax withholding obligations due upon the vesting of restricted stock and exercise of stock options.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99"/>
              </w:rPr>
              <w:t>Net Income</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3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w w:val="98"/>
              </w:rPr>
              <w:t>Per Share</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02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w w:val="98"/>
              </w:rPr>
              <w:t>(Numerator)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(Denominator)</w:t>
            </w:r>
          </w:p>
        </w:tc>
        <w:tc>
          <w:tcPr>
            <w:tcW w:w="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Amount</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three months ended February 29, 2020</w:t>
            </w: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88,686</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37,875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701</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88,686</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38,576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2.30</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three months ended February 28, 2019</w:t>
            </w: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84,702</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38,055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564</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84,702</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38,619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2.19</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six months ended February 29, 2020</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182,643</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37,927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182,643</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38,582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4.73</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six months ended February 28, 2019</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168,998</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38,081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633</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168,998</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4.37</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Dilutive potential common shares consist of stock options and unvested performance-based awards. There were 18,065 stock options excluded from the calculation of diluted EPS for the six months ended February 29, 2020, because their inclusion would have been anti-dilutive. For the six months ended February 28, 2019, the number of stock options excluded from calculation of diluted EPS was 447,709.</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Performance-based awards are omitted from the calculation of diluted EPS until it is determined that the performance criteria has been met at the end of the reporting period. For the six months ended February 29, 2020, there were 36,501 performance-based awards excluded from the calculation of diluted EPS respectively. For the six months ended February 28, 2019, there were 206,417 performance-based awards excluded from the calculation of diluted EPS.</w:t>
      </w:r>
    </w:p>
    <w:p>
      <w:pPr>
        <w:spacing w:after="0" w:line="253" w:lineRule="exact"/>
        <w:rPr>
          <w:sz w:val="20"/>
          <w:szCs w:val="20"/>
          <w:color w:val="auto"/>
        </w:rPr>
      </w:pPr>
    </w:p>
    <w:p>
      <w:pPr>
        <w:ind w:right="8660" w:firstLine="8"/>
        <w:spacing w:after="0" w:line="464" w:lineRule="auto"/>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jc w:val="both"/>
        <w:spacing w:after="0" w:line="259" w:lineRule="auto"/>
        <w:rPr>
          <w:sz w:val="20"/>
          <w:szCs w:val="20"/>
          <w:color w:val="auto"/>
        </w:rPr>
      </w:pPr>
      <w:r>
        <w:rPr>
          <w:rFonts w:ascii="Arial" w:cs="Arial" w:eastAsia="Arial" w:hAnsi="Arial"/>
          <w:sz w:val="18"/>
          <w:szCs w:val="18"/>
          <w:color w:val="auto"/>
        </w:rPr>
        <w:t>Repurchases are made from time to time in the open market and privately negotiated transactions, subject to market conditions. For the three months ended February 29, 2020 and February 28, 2019, the Company repurchased 267,500 shares for $74.2 million and 214,945 shares for $44.1 million, respectively. For the six months ended February 29, 2020 and February 28, 2019, the Company repurchased 610,500 shares for $158.6 million and 489,945 shares for $104.6 million,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29, 2020, $80.0 million remained authorized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2020, the Board of Directors of FactSet approved a $220.0 million increase to the existing share repurchase program. Subsequent to this expansion, a total of $300.0 million is available for future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Restricted stock awards entitle the holders to receive shares of common stock as the awards vest over time. During the first six months of fiscal 2020, previously granted restricted stock of 16,476 shares vested and were included in common stock outstanding as of February 29, 2020 (recorded net of 6,209 shares repurchased from employees at a cost of $1.6 million to cover their cost of taxes upon vesting of the restricted stock). During the comparable period a year ago, 75,530 shares of previously granted restricted stock vested and were included in common stock outstanding as of February 28, 2019 (recorded net of 27,852 shares repurchased from employees at a cost of $6.1 million to cover their cost of taxes upon vesting of the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for the first six months of fiscal 2020 and 2019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Dividends per</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8"/>
              </w:rPr>
              <w:t>Share of</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i w:val="1"/>
                <w:iCs w:val="1"/>
                <w:color w:val="auto"/>
                <w:w w:val="93"/>
              </w:rPr>
              <w:t>Total $ Amount</w:t>
            </w:r>
          </w:p>
        </w:tc>
        <w:tc>
          <w:tcPr>
            <w:tcW w:w="2020" w:type="dxa"/>
            <w:vAlign w:val="bottom"/>
          </w:tcPr>
          <w:p>
            <w:pPr>
              <w:spacing w:after="0"/>
              <w:rPr>
                <w:sz w:val="18"/>
                <w:szCs w:val="18"/>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Year Ended</w:t>
            </w:r>
          </w:p>
        </w:tc>
        <w:tc>
          <w:tcPr>
            <w:tcW w:w="164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90"/>
              </w:rPr>
              <w:t>Common Stock</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Record Date</w:t>
            </w:r>
          </w:p>
        </w:tc>
        <w:tc>
          <w:tcPr>
            <w:tcW w:w="28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i w:val="1"/>
                <w:iCs w:val="1"/>
                <w:color w:val="auto"/>
                <w:w w:val="96"/>
              </w:rPr>
              <w:t>(in thousands)</w:t>
            </w:r>
          </w:p>
        </w:tc>
        <w:tc>
          <w:tcPr>
            <w:tcW w:w="2020" w:type="dxa"/>
            <w:vAlign w:val="bottom"/>
          </w:tcPr>
          <w:p>
            <w:pPr>
              <w:ind w:left="540"/>
              <w:spacing w:after="0"/>
              <w:rPr>
                <w:sz w:val="20"/>
                <w:szCs w:val="20"/>
                <w:color w:val="auto"/>
              </w:rPr>
            </w:pPr>
            <w:r>
              <w:rPr>
                <w:rFonts w:ascii="Arial" w:cs="Arial" w:eastAsia="Arial" w:hAnsi="Arial"/>
                <w:sz w:val="18"/>
                <w:szCs w:val="18"/>
                <w:color w:val="auto"/>
              </w:rPr>
              <w:t>Payment Date</w:t>
            </w:r>
          </w:p>
        </w:tc>
      </w:tr>
      <w:tr>
        <w:trPr>
          <w:trHeight w:val="27"/>
        </w:trPr>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0.72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November 29,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27,291</w:t>
            </w:r>
          </w:p>
        </w:tc>
        <w:tc>
          <w:tcPr>
            <w:tcW w:w="2020" w:type="dxa"/>
            <w:vAlign w:val="bottom"/>
          </w:tcPr>
          <w:p>
            <w:pPr>
              <w:ind w:left="80"/>
              <w:spacing w:after="0"/>
              <w:rPr>
                <w:sz w:val="20"/>
                <w:szCs w:val="20"/>
                <w:color w:val="auto"/>
              </w:rPr>
            </w:pPr>
            <w:r>
              <w:rPr>
                <w:rFonts w:ascii="Arial" w:cs="Arial" w:eastAsia="Arial" w:hAnsi="Arial"/>
                <w:sz w:val="18"/>
                <w:szCs w:val="18"/>
                <w:color w:val="auto"/>
              </w:rPr>
              <w:t>December 19, 2019</w:t>
            </w:r>
          </w:p>
        </w:tc>
      </w:tr>
      <w:tr>
        <w:trPr>
          <w:trHeight w:val="27"/>
        </w:trPr>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0.72</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28, 2020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27,251</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March 19, 2020</w:t>
            </w:r>
          </w:p>
        </w:tc>
      </w:tr>
      <w:tr>
        <w:trPr>
          <w:trHeight w:val="270"/>
        </w:trPr>
        <w:tc>
          <w:tcPr>
            <w:tcW w:w="2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1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0.64</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November 30,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24,372</w:t>
            </w:r>
          </w:p>
        </w:tc>
        <w:tc>
          <w:tcPr>
            <w:tcW w:w="2020" w:type="dxa"/>
            <w:vAlign w:val="bottom"/>
          </w:tcPr>
          <w:p>
            <w:pPr>
              <w:ind w:left="80"/>
              <w:spacing w:after="0"/>
              <w:rPr>
                <w:sz w:val="20"/>
                <w:szCs w:val="20"/>
                <w:color w:val="auto"/>
              </w:rPr>
            </w:pPr>
            <w:r>
              <w:rPr>
                <w:rFonts w:ascii="Arial" w:cs="Arial" w:eastAsia="Arial" w:hAnsi="Arial"/>
                <w:sz w:val="18"/>
                <w:szCs w:val="18"/>
                <w:color w:val="auto"/>
              </w:rPr>
              <w:t>December 18, 2018</w:t>
            </w:r>
          </w:p>
        </w:tc>
      </w:tr>
      <w:tr>
        <w:trPr>
          <w:trHeight w:val="27"/>
        </w:trPr>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28, 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2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19, 2019</w:t>
            </w:r>
          </w:p>
        </w:tc>
      </w:tr>
      <w:tr>
        <w:trPr>
          <w:trHeight w:val="27"/>
        </w:trPr>
        <w:tc>
          <w:tcPr>
            <w:tcW w:w="27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cash dividend payments will depend on the Company’s earnings, capital requirements, financial condition and other factors considered relevant by the Company and are subject to final determination by the Company’s Board of Directors.</w:t>
      </w:r>
    </w:p>
    <w:p>
      <w:pPr>
        <w:spacing w:after="0" w:line="220" w:lineRule="exact"/>
        <w:rPr>
          <w:sz w:val="20"/>
          <w:szCs w:val="20"/>
          <w:color w:val="auto"/>
        </w:rPr>
      </w:pPr>
    </w:p>
    <w:p>
      <w:pPr>
        <w:ind w:right="3180"/>
        <w:spacing w:after="0" w:line="461" w:lineRule="auto"/>
        <w:rPr>
          <w:sz w:val="20"/>
          <w:szCs w:val="20"/>
          <w:color w:val="auto"/>
        </w:rPr>
      </w:pPr>
      <w:r>
        <w:rPr>
          <w:rFonts w:ascii="Arial" w:cs="Arial" w:eastAsia="Arial" w:hAnsi="Arial"/>
          <w:sz w:val="18"/>
          <w:szCs w:val="18"/>
          <w:b w:val="1"/>
          <w:bCs w:val="1"/>
          <w:color w:val="auto"/>
        </w:rPr>
        <w:t xml:space="preserve">12. EMPLOYEE AND NON-EMPLOYEE DIRECTOR STOCK OPTION AND RETIREMENT PLANS </w:t>
      </w:r>
      <w:r>
        <w:rPr>
          <w:rFonts w:ascii="Arial" w:cs="Arial" w:eastAsia="Arial" w:hAnsi="Arial"/>
          <w:sz w:val="18"/>
          <w:szCs w:val="18"/>
          <w:b w:val="1"/>
          <w:bCs w:val="1"/>
          <w:i w:val="1"/>
          <w:iCs w:val="1"/>
          <w:color w:val="auto"/>
        </w:rPr>
        <w:t>Stock Compensation Activity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the six months ended February 29, 2020, FactSet granted 417,417 stock options with a weighted average exercise price of $255.95 to existing employees of the Company. The majority of the stock options granted during the first six months of fiscal 2020 related to the annual employee grant on November 1, 2019 under the FactSet Research Systems Inc. Stock Option and Award Plan, as Amended and Restated (the "LTIP"). On November 1, 2019, FactSet granted 412,098 non-performance-based employee stock options, using the lattice-binomial option-pricing model. These stock option awards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employee stock options granted on November 1, 2019 was determined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1397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1397635"/>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2019 Grant Details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- 1.79%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6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- 26%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4600" w:type="dxa"/>
            <w:vAlign w:val="bottom"/>
          </w:tcPr>
          <w:p>
            <w:pPr>
              <w:jc w:val="right"/>
              <w:spacing w:after="0"/>
              <w:rPr>
                <w:sz w:val="20"/>
                <w:szCs w:val="20"/>
                <w:color w:val="auto"/>
              </w:rPr>
            </w:pPr>
            <w:r>
              <w:rPr>
                <w:rFonts w:ascii="Arial" w:cs="Arial" w:eastAsia="Arial" w:hAnsi="Arial"/>
                <w:sz w:val="18"/>
                <w:szCs w:val="18"/>
                <w:color w:val="auto"/>
              </w:rPr>
              <w:t>$255.87</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664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Grant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Non-Employee Directors' Stock Option and Award Plan, as Amended and Restated (the "Director Plan"), provides for the grant of share-based awards, including stock options to non-employee directors of FactSet. As of February 29, 2020, shares available for future grant under the Director Plan was 247,876. The expiration date of the Director Plan is December 19, 2027.</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2020, FactSet granted 16,080 stock options to the Company's non-employee directors,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098030" cy="1405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405890"/>
                    </a:xfrm>
                    <a:prstGeom prst="rect">
                      <a:avLst/>
                    </a:prstGeom>
                    <a:noFill/>
                  </pic:spPr>
                </pic:pic>
              </a:graphicData>
            </a:graphic>
          </wp:anchor>
        </w:drawing>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15, 2020 Grant Details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86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3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86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4320" w:type="dxa"/>
            <w:vAlign w:val="bottom"/>
          </w:tcPr>
          <w:p>
            <w:pPr>
              <w:jc w:val="right"/>
              <w:spacing w:after="0"/>
              <w:rPr>
                <w:sz w:val="20"/>
                <w:szCs w:val="20"/>
                <w:color w:val="auto"/>
              </w:rPr>
            </w:pPr>
            <w:r>
              <w:rPr>
                <w:rFonts w:ascii="Arial" w:cs="Arial" w:eastAsia="Arial" w:hAnsi="Arial"/>
                <w:sz w:val="18"/>
                <w:szCs w:val="18"/>
                <w:color w:val="auto"/>
              </w:rPr>
              <w:t>$271.51</w:t>
            </w:r>
          </w:p>
        </w:tc>
      </w:tr>
      <w:tr>
        <w:trPr>
          <w:trHeight w:val="27"/>
        </w:trPr>
        <w:tc>
          <w:tcPr>
            <w:tcW w:w="686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as a percentage of exercise price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68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first six months of fiscal 2020, FactSet granted 30,379 non-performance based restricted stock units ("RSUs") and 36,501 performance-based restricted stock units ("PRSUs"). The majority of the RSUs and PRSUs granted were related to the annual employee grant on November 1, 2019. FactSet granted 29,817 RSUs and 36,501 PRSUs with a weighted average grant date fair value of $245.48 under the LTIP plan. The RSUs and PRSUs granted to employees entitle the holders to shares of common stock as the units vest over time or the performance period, but not to dividends declared on the underlying shares, while the restricted stock is unvested. The grant date fair value of restricted stock units is measured by reducing the grant date price of FactSet's common stock by the present value of the dividends expected to be paid on the underlying stock during the requisite service period, discounted at the appropriate risk-free interest rate. The RSUs vest 20% annually on the anniversary date of grant and are fully vested after five years and PRSUs cliff vest three years from the anniversary date of grant based on the achievement of certain performance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there is a $25,000 contribution limit per employee during an offering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three months ended February 29, 2020, employees purchased 11,493 shares at a weighted average price of $221.12 compared to 12,624 shares at a weighted average price of $199.36 for the three months ended February 28, 2019. During the six months ended February 29, 2020, employees purchased 22,652 shares at a weighted average price of $220.91 compared to 25,719 shares at a weighted average price of $198.33 for the six months ended February 28, 2019. At February 29, 2020, the ESPP had 197,758 shares reserved for future issuance.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recognized total stock-based compensation expense of $8.2 million and $7.7 million during the three months ended February 29, 2020 and February 28, 2019, respectively. During the six months ended February 29, 2020 and February 28, 2019, the Company recognized total stock-based compensation expense of $18.0 million and $16.1 million, respectively. As of February 29, 2020, $98.5 million of total unrecognized compensation expense related to non-vested equity awards is expected to be recognized over a weighted average period of 3.3 years. Stock-based compensation expense related to the ESPP was $0.5 million for both the three months ended February 29, 2020 and February 28, 2019. Stock-based compensation expense related to the ESPP was $1.0 million for both the six months ended February 29, 2020 and February 28, 2019. There was no stock-based compensation capitalized for the three and six months ended February 29, 2020 or February 28, 2019.</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29, 2020, FactSet had 5.6 million share-based awards available for grant under the LTIP and 0.2 million share-based awards available for grant under the Director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3"/>
          </w:tcPr>
          <w:p>
            <w:pPr>
              <w:jc w:val="right"/>
              <w:ind w:right="930"/>
              <w:spacing w:after="0"/>
              <w:rPr>
                <w:sz w:val="20"/>
                <w:szCs w:val="20"/>
                <w:color w:val="auto"/>
              </w:rPr>
            </w:pPr>
            <w:r>
              <w:rPr>
                <w:rFonts w:ascii="Arial" w:cs="Arial" w:eastAsia="Arial" w:hAnsi="Arial"/>
                <w:sz w:val="18"/>
                <w:szCs w:val="18"/>
                <w:color w:val="auto"/>
              </w:rPr>
              <w:t>Three Months Ended</w:t>
            </w:r>
          </w:p>
        </w:tc>
        <w:tc>
          <w:tcPr>
            <w:tcW w:w="620" w:type="dxa"/>
            <w:vAlign w:val="bottom"/>
          </w:tcPr>
          <w:p>
            <w:pPr>
              <w:spacing w:after="0"/>
              <w:rPr>
                <w:sz w:val="20"/>
                <w:szCs w:val="20"/>
                <w:color w:val="auto"/>
              </w:rPr>
            </w:pPr>
          </w:p>
        </w:tc>
        <w:tc>
          <w:tcPr>
            <w:tcW w:w="3460" w:type="dxa"/>
            <w:vAlign w:val="bottom"/>
            <w:gridSpan w:val="3"/>
          </w:tcPr>
          <w:p>
            <w:pPr>
              <w:jc w:val="right"/>
              <w:ind w:right="103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0"/>
                <w:szCs w:val="20"/>
                <w:color w:val="auto"/>
              </w:rPr>
            </w:pPr>
          </w:p>
        </w:tc>
      </w:tr>
      <w:tr>
        <w:trPr>
          <w:trHeight w:val="270"/>
        </w:trPr>
        <w:tc>
          <w:tcPr>
            <w:tcW w:w="3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February 29,</w:t>
            </w:r>
          </w:p>
        </w:tc>
        <w:tc>
          <w:tcPr>
            <w:tcW w:w="6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February 28,</w:t>
            </w:r>
          </w:p>
        </w:tc>
        <w:tc>
          <w:tcPr>
            <w:tcW w:w="620" w:type="dxa"/>
            <w:vAlign w:val="bottom"/>
          </w:tcPr>
          <w:p>
            <w:pPr>
              <w:spacing w:after="0"/>
              <w:rPr>
                <w:sz w:val="23"/>
                <w:szCs w:val="23"/>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February 29,</w:t>
            </w:r>
          </w:p>
        </w:tc>
        <w:tc>
          <w:tcPr>
            <w:tcW w:w="60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February 28,</w:t>
            </w:r>
          </w:p>
        </w:tc>
        <w:tc>
          <w:tcPr>
            <w:tcW w:w="200" w:type="dxa"/>
            <w:vAlign w:val="bottom"/>
          </w:tcPr>
          <w:p>
            <w:pPr>
              <w:spacing w:after="0"/>
              <w:rPr>
                <w:sz w:val="23"/>
                <w:szCs w:val="23"/>
                <w:color w:val="auto"/>
              </w:rPr>
            </w:pPr>
          </w:p>
        </w:tc>
      </w:tr>
      <w:tr>
        <w:trPr>
          <w:trHeight w:val="27"/>
        </w:trPr>
        <w:tc>
          <w:tcPr>
            <w:tcW w:w="3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103,109</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104,349</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211,850</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200,292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14,423</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19,647</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29,207</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31,294</w:t>
            </w:r>
          </w:p>
        </w:tc>
        <w:tc>
          <w:tcPr>
            <w:tcW w:w="200" w:type="dxa"/>
            <w:vAlign w:val="bottom"/>
          </w:tcPr>
          <w:p>
            <w:pPr>
              <w:spacing w:after="0"/>
              <w:rPr>
                <w:sz w:val="21"/>
                <w:szCs w:val="2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FactSet’s effective tax rate is lower than the applicable U.S. corporate income tax rate for the three and six months ended February 29, 2020 due to R&amp;D tax benefits, foreign derived intangible income deduction ("FDII"), and excess tax benefits associated with share-based payments.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February 29, 2020, the provision for income taxes was $14.4 million, a decrease of 26.6% from the same period a year ago. The provision decreased due primarily to a higher windfall tax benefit from stock-based compensation of $4.7 million for the three months ended February 29, 2020 compared to the prior year period, a $2.4 million income tax expense from the settlement with a tax authority recognized during the three months ended February 28, 2019, partially offset by a $1.1 million benefit from the revision of the one-time transition tax on accumulated earnings and profits of foreign subsidiaries permitted by the TCJA recognized during the three months ended February 28, 2019.</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six months ended February 29, 2020, the provision for income taxes was $29.2 million, a decrease of 6.7% from the same period a year ago. The provision decreased mainly due to higher net tax benefits, partially offset by higher operating income for the six months ended February 29, 2020 compared to the prior year period. The net increase in tax benefits of $10.6 million for the six months ended February 29, 2020, compared to $6.6 million for the prior year period, was primarily driven by an income tax expense from the settlement with a tax authority recorded during the six months ended February 28, 2019, coupled with benefits recognized during the six months ended February 29, 2020 from finalizing prior years' tax returns, remeasurement of a foreign net deferred tax position due to changes in the jurisdiction's tax rate and higher windfall tax benefits from stock-based compensation. The reduction in the provision was partially offset by the benefit from the revision of the one-time transition tax on accumulated earnings and profits of foreign subsidiaries permitted by the TCJA recognized during the six months ended February 28, 2019.</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 finalized the accounting for the tax effects of the TCJA with respect to the one-time transition tax; however the tax effects may be affected by changes in interpretations at the federal and state levels, and any additional regulatory guidance that may be issued.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14. DEBT</w:t>
            </w: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1"/>
        </w:trPr>
        <w:tc>
          <w:tcPr>
            <w:tcW w:w="6020" w:type="dxa"/>
            <w:vAlign w:val="bottom"/>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Pr>
          <w:p>
            <w:pPr>
              <w:spacing w:after="0"/>
              <w:rPr>
                <w:sz w:val="24"/>
                <w:szCs w:val="24"/>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color w:val="auto"/>
                <w:w w:val="96"/>
              </w:rPr>
              <w:t>February 29, 2020</w:t>
            </w:r>
          </w:p>
        </w:tc>
        <w:tc>
          <w:tcPr>
            <w:tcW w:w="320" w:type="dxa"/>
            <w:vAlign w:val="bottom"/>
          </w:tcPr>
          <w:p>
            <w:pPr>
              <w:spacing w:after="0"/>
              <w:rPr>
                <w:sz w:val="24"/>
                <w:szCs w:val="24"/>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August 31, 2019</w:t>
            </w:r>
          </w:p>
        </w:tc>
      </w:tr>
      <w:tr>
        <w:trPr>
          <w:trHeight w:val="27"/>
        </w:trPr>
        <w:tc>
          <w:tcPr>
            <w:tcW w:w="60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Revolving Credit Facility (maturity date of March 29, 2024)</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575,000</w:t>
            </w:r>
          </w:p>
        </w:tc>
      </w:tr>
      <w:tr>
        <w:trPr>
          <w:trHeight w:val="27"/>
        </w:trPr>
        <w:tc>
          <w:tcPr>
            <w:tcW w:w="6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the Company entered into the 2019 Credit Agreement between FactSet, as the borrower, and PNC Bank, National Association ("PNC"), as the administrative agent and lender (the "2019 Credit Agreement").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February 29, 2020, FactSet has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February 29, 2020 and August 31, 2019. The principal balance is payable in full on the maturity date.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long-term debt was $575.0 million as of February 29, 2020, which the Company believes approximates the carrying amount as the terms and interest rate approximate market rates given its floating interest rate basis. Borrowings under the loan bear interest on the outstanding principal amount at a rate equal to the daily LIBOR rate plus a spread using a debt leverage pricing grid, currently at 0.875%. For the three months ended February 29, 2020 and February 28, 2019 the Company recorded interest expense of $3.8 million and $5.1 million, respectively, on its outstanding debt amounts. For the six months ended February 29, 2020 and February 28, 2019 the Company recorded interest expense of $8.0 million and $9.9 million, respectively, on its outstanding debt amounts. The weighted average interest rate on amounts outstanding under the Company's credit facilities was 2.76% and 3.35% for the year to date ended February 29, 2020 and August 31, 2019, respectively. Interest on the loan outstanding is payable quarterly, in arrears, and on the maturity date.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maintains a consolidated net leverage ratio, as measured by total net funded debt/EBITDA (as defined in the 2019 Credit Agreement) below a specified level as of the end of each fiscal quarter. The Company was in compliance with all the covenants and requirements within the 2019 Credit Agreement as of February 29,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 February 2016, the FASB issued an accounting standard update related to accounting for leases. The update requires the recognition of ROU assets and liabilities on the balance sheet and the disclosure of qualitative and quantitative information about leasing arrangements. FactSet adopted the standard as of September 1, 2019, using a modified retrospective approach to record the required cumulative effect adjustments to the opening balance sheet in the period of adoption.</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FactSet reviews new arrangements at inception to evaluate whether the Company obtains substantially all the economic benefits of and has the right to control the use of an asset. If FactSet determines that an arrangement qualifies as a lease, a lease liability and a corresponding ROU asset are recognized on the lease commencement date which includes fixed lease payments and certain qualifying index-based variable payments.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In determining the amount of lease payments used in measuring ROU assets and lease liabilities, FactSet elected the package of practical expedients permitted under the transition guidance, which permits the Company not to reassess under the new standard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to not recognize lease liabilities and ROU assets for leases with a term of 12 months or less. FactSet will recognize these lease payments on a straight-line basis over the lease term in O</w:t>
      </w:r>
      <w:r>
        <w:rPr>
          <w:rFonts w:ascii="Arial" w:cs="Arial" w:eastAsia="Arial" w:hAnsi="Arial"/>
          <w:sz w:val="18"/>
          <w:szCs w:val="18"/>
          <w:color w:val="000000"/>
        </w:rPr>
        <w:t>ccupancy expense (a</w:t>
      </w:r>
      <w:r>
        <w:rPr>
          <w:rFonts w:ascii="Arial" w:cs="Arial" w:eastAsia="Arial" w:hAnsi="Arial"/>
          <w:sz w:val="18"/>
          <w:szCs w:val="18"/>
          <w:color w:val="212529"/>
        </w:rPr>
        <w:t xml:space="preserve"> </w:t>
      </w:r>
      <w:r>
        <w:rPr>
          <w:rFonts w:ascii="Arial" w:cs="Arial" w:eastAsia="Arial" w:hAnsi="Arial"/>
          <w:sz w:val="18"/>
          <w:szCs w:val="18"/>
          <w:color w:val="000000"/>
        </w:rPr>
        <w:t>component of SG&amp;A expense)</w:t>
      </w:r>
      <w:r>
        <w:rPr>
          <w:rFonts w:ascii="Arial" w:cs="Arial" w:eastAsia="Arial" w:hAnsi="Arial"/>
          <w:sz w:val="18"/>
          <w:szCs w:val="18"/>
          <w:color w:val="212529"/>
        </w:rPr>
        <w: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The adoption of the lease standard primarily related to the Company’s real estate operating leases. As a result of the adoption of the standard, the Company recognized lease liabilities (initially measured at the present value of the future minimum lease payments over the remaining lease term at the commencement date) of $266.4 million as of </w:t>
      </w:r>
      <w:r>
        <w:rPr>
          <w:rFonts w:ascii="Arial" w:cs="Arial" w:eastAsia="Arial" w:hAnsi="Arial"/>
          <w:sz w:val="18"/>
          <w:szCs w:val="18"/>
          <w:color w:val="000000"/>
        </w:rPr>
        <w:t>November 30, 2019</w:t>
      </w:r>
      <w:r>
        <w:rPr>
          <w:rFonts w:ascii="Arial" w:cs="Arial" w:eastAsia="Arial" w:hAnsi="Arial"/>
          <w:sz w:val="18"/>
          <w:szCs w:val="18"/>
          <w:color w:val="212529"/>
        </w:rPr>
        <w:t xml:space="preserve">, included in </w:t>
      </w:r>
      <w:r>
        <w:rPr>
          <w:rFonts w:ascii="Arial" w:cs="Arial" w:eastAsia="Arial" w:hAnsi="Arial"/>
          <w:sz w:val="18"/>
          <w:szCs w:val="18"/>
          <w:color w:val="000000"/>
        </w:rPr>
        <w:t>Current lease liabilities</w:t>
      </w:r>
      <w:r>
        <w:rPr>
          <w:rFonts w:ascii="Arial" w:cs="Arial" w:eastAsia="Arial" w:hAnsi="Arial"/>
          <w:sz w:val="18"/>
          <w:szCs w:val="18"/>
          <w:color w:val="212529"/>
        </w:rPr>
        <w:t xml:space="preserve"> and </w:t>
      </w:r>
      <w:r>
        <w:rPr>
          <w:rFonts w:ascii="Arial" w:cs="Arial" w:eastAsia="Arial" w:hAnsi="Arial"/>
          <w:sz w:val="18"/>
          <w:szCs w:val="18"/>
          <w:color w:val="000000"/>
        </w:rPr>
        <w:t>Lease liabilities</w:t>
      </w:r>
      <w:r>
        <w:rPr>
          <w:rFonts w:ascii="Arial" w:cs="Arial" w:eastAsia="Arial" w:hAnsi="Arial"/>
          <w:sz w:val="18"/>
          <w:szCs w:val="18"/>
          <w:color w:val="212529"/>
        </w:rPr>
        <w:t xml:space="preserve"> on the Consolidated Balance Sheet. The Company also recognized ROU assets (initially measured as the lease liabilities, adjusted for deferred rent and lease incentives) of $217.0 million as of </w:t>
      </w:r>
      <w:r>
        <w:rPr>
          <w:rFonts w:ascii="Arial" w:cs="Arial" w:eastAsia="Arial" w:hAnsi="Arial"/>
          <w:sz w:val="18"/>
          <w:szCs w:val="18"/>
          <w:color w:val="000000"/>
        </w:rPr>
        <w:t>November 30, 2019</w:t>
      </w:r>
      <w:r>
        <w:rPr>
          <w:rFonts w:ascii="Arial" w:cs="Arial" w:eastAsia="Arial" w:hAnsi="Arial"/>
          <w:sz w:val="18"/>
          <w:szCs w:val="18"/>
          <w:color w:val="212529"/>
        </w:rPr>
        <w:t xml:space="preserve">, included in Lease right-of-use assets, net on the Consolidated Balance Sheet. As of </w:t>
      </w:r>
      <w:r>
        <w:rPr>
          <w:rFonts w:ascii="Arial" w:cs="Arial" w:eastAsia="Arial" w:hAnsi="Arial"/>
          <w:sz w:val="18"/>
          <w:szCs w:val="18"/>
          <w:color w:val="000000"/>
        </w:rPr>
        <w:t>February 29, 2020, the ROU assets</w:t>
      </w:r>
      <w:r>
        <w:rPr>
          <w:rFonts w:ascii="Arial" w:cs="Arial" w:eastAsia="Arial" w:hAnsi="Arial"/>
          <w:sz w:val="18"/>
          <w:szCs w:val="18"/>
          <w:color w:val="212529"/>
        </w:rPr>
        <w:t xml:space="preserve"> </w:t>
      </w:r>
      <w:r>
        <w:rPr>
          <w:rFonts w:ascii="Arial" w:cs="Arial" w:eastAsia="Arial" w:hAnsi="Arial"/>
          <w:sz w:val="18"/>
          <w:szCs w:val="18"/>
          <w:color w:val="000000"/>
        </w:rPr>
        <w:t>balance was $235.9 million and the Lease liabilities balance was $285.1 million, classified in the same Consolidated Balance Sheet accounts used upon adoption.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Lease liabilities are measured as the present value of the future minimum lease payments over the lease term using FactSet’s incremental borrowing rate ("IBR") within the geography where the leased asset is located, as there is no rate implicit in the Company’s operating lease arrangements. As FactSet does not have any outstanding public debt, the Company estimates the IBR based on FactSet’s estimated credit rating and available market information. The IBR is determined at lease commencement, or as of September 1, 2019 for operating leases in existence upon adoption of ASC 842. The IBR is subsequently reassessed upon a modification to the lease arrangement.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February 29, 2020</w:t>
      </w:r>
      <w:r>
        <w:rPr>
          <w:rFonts w:ascii="Arial" w:cs="Arial" w:eastAsia="Arial" w:hAnsi="Arial"/>
          <w:sz w:val="18"/>
          <w:szCs w:val="18"/>
          <w:color w:val="212529"/>
        </w:rPr>
        <w:t xml:space="preserve">, the Company’s leases have remaining terms of less than one year to just over 15 years. The ROU assets and lease liabilities recognized did not include any renewal or termination options that were not yet reasonably certain to be exercised. FactSet’s operating lease net expense for the three and six months ended </w:t>
      </w:r>
      <w:r>
        <w:rPr>
          <w:rFonts w:ascii="Arial" w:cs="Arial" w:eastAsia="Arial" w:hAnsi="Arial"/>
          <w:sz w:val="18"/>
          <w:szCs w:val="18"/>
          <w:color w:val="000000"/>
        </w:rPr>
        <w:t>February 29, 2020</w:t>
      </w:r>
      <w:r>
        <w:rPr>
          <w:rFonts w:ascii="Arial" w:cs="Arial" w:eastAsia="Arial" w:hAnsi="Arial"/>
          <w:sz w:val="18"/>
          <w:szCs w:val="18"/>
          <w:color w:val="212529"/>
        </w:rPr>
        <w:t xml:space="preserve"> was $9.8 million and $20.4 million, respectively. Charges related to FactSet's operating leases that are variable, and therefore not included in the measurement of the lease liabilities for the three and six months ended </w:t>
      </w:r>
      <w:r>
        <w:rPr>
          <w:rFonts w:ascii="Arial" w:cs="Arial" w:eastAsia="Arial" w:hAnsi="Arial"/>
          <w:sz w:val="18"/>
          <w:szCs w:val="18"/>
          <w:color w:val="000000"/>
        </w:rPr>
        <w:t>February 29, 2020</w:t>
      </w:r>
      <w:r>
        <w:rPr>
          <w:rFonts w:ascii="Arial" w:cs="Arial" w:eastAsia="Arial" w:hAnsi="Arial"/>
          <w:sz w:val="18"/>
          <w:szCs w:val="18"/>
          <w:color w:val="212529"/>
        </w:rPr>
        <w:t xml:space="preserve"> were $4.4 million and $9.5 million,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212529"/>
        </w:rPr>
        <w:t xml:space="preserve">The following table reconciles FactSet’s future undiscounted cash flows related to the Company’s operating leases and the reconciliation to the operating lease liability as of </w:t>
      </w:r>
      <w:r>
        <w:rPr>
          <w:rFonts w:ascii="Arial" w:cs="Arial" w:eastAsia="Arial" w:hAnsi="Arial"/>
          <w:sz w:val="18"/>
          <w:szCs w:val="18"/>
          <w:color w:val="000000"/>
        </w:rPr>
        <w:t>February 29, 2020</w:t>
      </w:r>
      <w:r>
        <w:rPr>
          <w:rFonts w:ascii="Arial" w:cs="Arial" w:eastAsia="Arial" w:hAnsi="Arial"/>
          <w:sz w:val="18"/>
          <w:szCs w:val="18"/>
          <w:color w:val="212529"/>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1"/>
                <w:szCs w:val="21"/>
                <w:color w:val="auto"/>
              </w:rPr>
            </w:pPr>
          </w:p>
        </w:tc>
        <w:tc>
          <w:tcPr>
            <w:tcW w:w="2640" w:type="dxa"/>
            <w:vAlign w:val="bottom"/>
          </w:tcPr>
          <w:p>
            <w:pPr>
              <w:jc w:val="right"/>
              <w:ind w:right="910"/>
              <w:spacing w:after="0"/>
              <w:rPr>
                <w:sz w:val="20"/>
                <w:szCs w:val="20"/>
                <w:color w:val="auto"/>
              </w:rPr>
            </w:pPr>
            <w:r>
              <w:rPr>
                <w:rFonts w:ascii="Arial" w:cs="Arial" w:eastAsia="Arial" w:hAnsi="Arial"/>
                <w:sz w:val="18"/>
                <w:szCs w:val="18"/>
                <w:color w:val="auto"/>
              </w:rPr>
              <w:t>Minimum Lease</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Years ended August 31,</w:t>
            </w:r>
          </w:p>
        </w:tc>
        <w:tc>
          <w:tcPr>
            <w:tcW w:w="560" w:type="dxa"/>
            <w:vAlign w:val="bottom"/>
          </w:tcPr>
          <w:p>
            <w:pPr>
              <w:spacing w:after="0"/>
              <w:rPr>
                <w:sz w:val="20"/>
                <w:szCs w:val="20"/>
                <w:color w:val="auto"/>
              </w:rPr>
            </w:pPr>
          </w:p>
        </w:tc>
        <w:tc>
          <w:tcPr>
            <w:tcW w:w="2640" w:type="dxa"/>
            <w:vAlign w:val="bottom"/>
          </w:tcPr>
          <w:p>
            <w:pPr>
              <w:jc w:val="right"/>
              <w:ind w:right="1150"/>
              <w:spacing w:after="0"/>
              <w:rPr>
                <w:sz w:val="20"/>
                <w:szCs w:val="20"/>
                <w:color w:val="auto"/>
              </w:rPr>
            </w:pPr>
            <w:r>
              <w:rPr>
                <w:rFonts w:ascii="Arial" w:cs="Arial" w:eastAsia="Arial" w:hAnsi="Arial"/>
                <w:sz w:val="18"/>
                <w:szCs w:val="18"/>
                <w:color w:val="auto"/>
              </w:rPr>
              <w:t>Payments</w:t>
            </w:r>
          </w:p>
        </w:tc>
      </w:tr>
      <w:tr>
        <w:trPr>
          <w:trHeight w:val="135"/>
        </w:trPr>
        <w:tc>
          <w:tcPr>
            <w:tcW w:w="8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18,618</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38,574</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35,845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32,147</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30,222</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194,375</w:t>
            </w:r>
          </w:p>
        </w:tc>
      </w:tr>
      <w:tr>
        <w:trPr>
          <w:trHeight w:val="27"/>
        </w:trPr>
        <w:tc>
          <w:tcPr>
            <w:tcW w:w="8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349,781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64,716</w:t>
            </w:r>
          </w:p>
        </w:tc>
      </w:tr>
      <w:tr>
        <w:trPr>
          <w:trHeight w:val="27"/>
        </w:trPr>
        <w:tc>
          <w:tcPr>
            <w:tcW w:w="8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total lease payments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285,065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FactSet previously entered into a real estate lease in the Philippines, which was planned to commence in phases, providing FactSet with access to the underlying leased rental space during fiscal 2020. The rental space that FactSet has not taken possession of as of February 29, 2020 is not included in the table above nor included in the lease ROU assets and liabilities as of February 29, 2020. The lease is for approximately 10 years and the undiscounted future rent payments for those leases that have not commenced as of February 29, 2020 is approximately $45 million.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60" w:type="dxa"/>
            <w:vAlign w:val="bottom"/>
          </w:tcPr>
          <w:p>
            <w:pPr>
              <w:spacing w:after="0"/>
              <w:rPr>
                <w:sz w:val="20"/>
                <w:szCs w:val="20"/>
                <w:color w:val="auto"/>
              </w:rPr>
            </w:pPr>
            <w:r>
              <w:rPr>
                <w:rFonts w:ascii="Arial" w:cs="Arial" w:eastAsia="Arial" w:hAnsi="Arial"/>
                <w:sz w:val="18"/>
                <w:szCs w:val="18"/>
                <w:color w:val="auto"/>
                <w:w w:val="90"/>
              </w:rPr>
              <w:t>The following table presents other information related to the operating leases recorded on the Consolidated Balance Sheets as of February 29, 2020:</w:t>
            </w:r>
          </w:p>
        </w:tc>
        <w:tc>
          <w:tcPr>
            <w:tcW w:w="480" w:type="dxa"/>
            <w:vAlign w:val="bottom"/>
          </w:tcPr>
          <w:p>
            <w:pPr>
              <w:spacing w:after="0"/>
              <w:rPr>
                <w:sz w:val="20"/>
                <w:szCs w:val="20"/>
                <w:color w:val="auto"/>
              </w:rPr>
            </w:pPr>
          </w:p>
        </w:tc>
      </w:tr>
      <w:tr>
        <w:trPr>
          <w:trHeight w:val="216"/>
        </w:trPr>
        <w:tc>
          <w:tcPr>
            <w:tcW w:w="107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10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1076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(in millions)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$ 9.4</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Purchase commitments represent payments due in future periods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2019, the Company had total purchase commitments with suppliers of $69.9 million. There were no material changes in the Company’s purchase commitments during the six months ended February 29,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$2.9 million of standby letters of credit have been issued during the ordinary course of business in connection with the Company’s current leased office space as of February 29, 2020. These standby letters of credit utilize the same covenants included in the 2019 Credit Agreement. Refer to Note 14 Debt for more information on these covenants.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Uncertain income tax positions are accounted for in accordance with applicable accounting guidance, refer to Note 13 Income Taxes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 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February 29, 2020,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2019, FactSet received a Notice of Intent to Assess (the "Notice") additional sales taxes, interest and underpayment penalties from the Commonwealth of Massachusetts Department of Revenue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the uncertainty surrounding the assessment process, the Company is unable to reasonably estimate the ultimate outcome of this matter and, as such, has not recorded a liability as of February 29, 2020. FactSet believes that it will ultimately prevail if the Company is presented with a formal assessment; however, if FactSet does not prevail, the amount could have a material impact on the Company’s consolidated financial position, cash flows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unsecured and are derived from revenue earned from clients located around the globe. The Company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 in any period presented. At February 29, 2020, the Company’s largest individual client accounted for approximately 3% of total annual subscriptions, and subscriptions from the ten largest clients did not surpass 14% of total annual subscriptions, consistent with the level at August 31, 2019. As of February 29, 2020, the receivable reserve was $7.9 million compared to $10.5 million as of August 31,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 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costs for the six months ended February 29, 2020 or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57" w:lineRule="exact"/>
        <w:rPr>
          <w:sz w:val="20"/>
          <w:szCs w:val="20"/>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our 2019 Form 10-K, Current Reports on Form 8-K and other filings with the Securities and Exchange Commission, and the consolidated financial statements and related notes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trade execution, performance measurement, risk management, reporting, and portfolio analysis, in which we serve the front, middle, and back offices to drive productivity and improved performance. Our flexible, open data and technology solutions can be implemented both across the investment portfolio lifecycle or as standalone components serving different workflows in the organization. We are focused on growing our business throughout each of our three segments, the Americas, EMEA (formerly known as Europe), and Asia Pacific. We primarily deliver insight and information through the workflow solutions of Research, Analytics and Trading, Content and Technology Solutions ("CTS") and Wealth.</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financial professionals, which include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to execute trades. We combine dedicated client service with open and flexible technology offerings, such as a configurable desktop and mobile platform, comprehensive data feeds, an open marketplace, digital portals and application programming interfaces (“APIs”). Our revenue is primarily derived from subscriptions to products and services such as workstations, analytics, enterprise data, and research management.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 together to drive productivity and performance throughout the portfolio lifecycle. Our strategy is focused on growing our business in each of our three segments: the Americas, EMEA, and Asia Pacific. We believe this geographical strategic alignment helps us better manage our resources and concentrate on markets that demand our products. To execute on our business strategy of broad-based growth across each geographical segment, we continue to look at ways to create value for our clients by offering data, products and analytical applications within our key workflow solutions of Research, Analytics and Trading, CTS and Wealth.</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Second Quarter in Review</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in the second quarter of fiscal 2020 was $369.8 million, an increase of 4.2% from the prior year comparable period, fully attributed to organic revenue growth. Organic revenue excludes the effects of acquisitions and dispositions completed in the last 12 months, changes in foreign currency rates in all periods presented and the deferred revenue fair value adjustments from purchase accounting. Revenue increased across our geographic segments primarily driven by revenue growth in our Analytics and Trading, CTS and Wealth workflow solutions, from increased demand for our portfolio analytics solutions, our core and premium data feeds and our traditional and web-based wealth workstations. As of February 29, 2020, organic annual subscription value ("organic ASV") plus professional services totaled $1.50 billion, an increase of 4.3% over the prior year comparable period.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operating income decreased 2.2%, net income and diluted earnings per share ("EPS") increased 4.7% and 5.0%, respectively, compared to the prior year period. This increase in net income and EPS were primarily driven by revenue growth of 4.2% and a decrease in the income tax provision and interest expense. The increase in net income and EPS were partially offset by an increase in operating expenses primarily attributed to increases in computer-related expenses, employee compensation and professional fees on a year-over-year basis.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29, 2020, employee count was 9,892, up 3.8% in the past 12 months, due primarily to an increase in net new employees of 5.7% in Asia Pacific and 4.6% in EMEA, partially offset by a net decrease of 1.3% in the Americas. Of our total employees, 6,240 were located in Asia Pacific, 2,342 were located in the Americas, and 1,310 were located in EMEA.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2019, a novel strain of coronavirus, now known as COVID-19 (“COVID-19”), was reported in Wuhan, China and has since extensively impacted the global health and economic environment.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dynamic nature of these circumstances, the full impact of the COVID-19 pandemic on our ongoing business, results of operations and overall financial performance cannot be reasonably estimated at this time.</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may curtail our clients’ spending and could lead them to delay or defer purchasing decisions or product and service implementations, or may cause them to cancel or reduce their spending with us, which could materially adversely impact our business, results of operations and overall financial performance. In determining the possible revenue and ASV impact from the COVID-19 pandemic, we are considering the potential delay in decision making causing longer sales cycles (or conversely delayed cancellations from clients); implementation risk due to restrictions on being able to work onsite at our clients' facilities; and possible reduced seasonal hiring at investment banks, which are some of our largest clients, over the summer months. At this time, we anticipate that there may be some level of revenue and ASV weakness due to longer sales cycles and lower client billings. While our revenue, earnings, and ASV are relatively stable and predictable as a result of our subscription-based business model, we may experience the the effects of the COVID-19 pandemic on our results of operations and overall financial performance beginning in the third quarter fiscal 2020.</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also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employees or vendors attendance or productivity, our operations, including our ability to gather content, may suffer, and in turn our results of operations and overall financial performance may be harmed. Furthermore, if our employees incur substantial medical expenses due to COVID-19, our expenses may increase due to our self-funded employee medical insurance model.</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taken numerous steps, and will continue to take further actions, in our approach to addressing the COVID-19 pandemic. We have implemented our business continuity plans and our incident management team is in place to respond to changes in our environment quickly and effectively. As a result of the COVID-19 pandemic, we instructed employees at many of our offices across the globe (including our corporate headquarters) to work from home on a temporary basis and have implemented travel restrictions. We have also incurred additional expenses in connection with our response to the COVID-19 pandemic, including costs related to enabling our employees to support our clients while working remotely. These additional expenses were not material to our second quarter fiscal 2020 results. We also are working closely with our clients to support them as they implement their own contingency plans, helping them access our products and services remotely. We have increased our support desk resources to manage increased volumes and have extended additional web IDs to clients in need of immediate remote access to financial data.</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implementing cost reduction efforts will help us mitigate the impact that reduced revenues may have on our fiscal 2020 operating income. We are considering reducing expenses through such methods as reduction of discretionary spending including travel and entertainment; tighter management of headcount spending, with a focus on our most critical areas and hiring in lower cost locations; and reduction in variable third-party content costs in a manner consistent with client demand.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for further discussion of the impact of the COVID-19 pandemic on our business.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Key Metrics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1"/>
        </w:trPr>
        <w:tc>
          <w:tcPr>
            <w:tcW w:w="5840" w:type="dxa"/>
            <w:vAlign w:val="bottom"/>
          </w:tcPr>
          <w:p>
            <w:pPr>
              <w:spacing w:after="0"/>
              <w:rPr>
                <w:sz w:val="20"/>
                <w:szCs w:val="20"/>
                <w:color w:val="auto"/>
              </w:rPr>
            </w:pPr>
            <w:r>
              <w:rPr>
                <w:rFonts w:ascii="Arial" w:cs="Arial" w:eastAsia="Arial" w:hAnsi="Arial"/>
                <w:sz w:val="18"/>
                <w:szCs w:val="18"/>
                <w:color w:val="auto"/>
              </w:rPr>
              <w:t>The following is a review of our key metrics: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6"/>
        </w:trPr>
        <w:tc>
          <w:tcPr>
            <w:tcW w:w="5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4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As of and for the</w:t>
            </w: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Three Months Ended</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6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client and user counts and per share data)</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February 29, 2020</w:t>
            </w:r>
          </w:p>
        </w:tc>
        <w:tc>
          <w:tcPr>
            <w:tcW w:w="1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February 28, 2019</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auto"/>
            </w:tcBorders>
          </w:tcPr>
          <w:p>
            <w:pPr>
              <w:spacing w:after="0"/>
              <w:rPr>
                <w:sz w:val="22"/>
                <w:szCs w:val="2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369.8</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106.3</w:t>
            </w:r>
          </w:p>
        </w:tc>
        <w:tc>
          <w:tcPr>
            <w:tcW w:w="102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88.7</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2.30</w:t>
            </w:r>
          </w:p>
        </w:tc>
        <w:tc>
          <w:tcPr>
            <w:tcW w:w="102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2.19</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5,688</w:t>
            </w: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Users</w:t>
            </w:r>
          </w:p>
        </w:tc>
        <w:tc>
          <w:tcPr>
            <w:tcW w:w="1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128,896</w:t>
            </w:r>
          </w:p>
        </w:tc>
        <w:tc>
          <w:tcPr>
            <w:tcW w:w="10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122,063</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The table below provides a reconciliation of ASV to organic ASV:</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0" w:type="dxa"/>
            <w:vAlign w:val="bottom"/>
            <w:gridSpan w:val="2"/>
          </w:tcPr>
          <w:p>
            <w:pPr>
              <w:ind w:left="1500"/>
              <w:spacing w:after="0"/>
              <w:rPr>
                <w:sz w:val="20"/>
                <w:szCs w:val="20"/>
                <w:color w:val="auto"/>
              </w:rPr>
            </w:pPr>
            <w:r>
              <w:rPr>
                <w:rFonts w:ascii="Arial" w:cs="Arial" w:eastAsia="Arial" w:hAnsi="Arial"/>
                <w:sz w:val="18"/>
                <w:szCs w:val="18"/>
                <w:color w:val="auto"/>
              </w:rPr>
              <w:t>As of</w:t>
            </w: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w w:val="93"/>
              </w:rPr>
              <w:t>February 29, 2020</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February 28, 2019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Change</w:t>
            </w:r>
          </w:p>
        </w:tc>
      </w:tr>
      <w:tr>
        <w:trPr>
          <w:trHeight w:val="27"/>
        </w:trPr>
        <w:tc>
          <w:tcPr>
            <w:tcW w:w="5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reported ASV</w:t>
            </w:r>
            <w:r>
              <w:rPr>
                <w:rFonts w:ascii="Arial" w:cs="Arial" w:eastAsia="Arial" w:hAnsi="Arial"/>
                <w:sz w:val="18"/>
                <w:szCs w:val="1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1,479.6</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1,419.5</w:t>
            </w:r>
          </w:p>
        </w:tc>
        <w:tc>
          <w:tcPr>
            <w:tcW w:w="1220" w:type="dxa"/>
            <w:vAlign w:val="bottom"/>
            <w:shd w:val="clear" w:color="auto" w:fill="CCEEFF"/>
          </w:tcPr>
          <w:p>
            <w:pPr>
              <w:spacing w:after="0"/>
              <w:rPr>
                <w:sz w:val="22"/>
                <w:szCs w:val="22"/>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Currency impact to ASV</w:t>
            </w:r>
          </w:p>
        </w:tc>
        <w:tc>
          <w:tcPr>
            <w:tcW w:w="1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7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6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ASV</w:t>
            </w:r>
            <w:r>
              <w:rPr>
                <w:rFonts w:ascii="Arial" w:cs="Arial" w:eastAsia="Arial" w:hAnsi="Arial"/>
                <w:sz w:val="18"/>
                <w:szCs w:val="1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1,479.1</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1,419.5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bl>
    <w:p>
      <w:pPr>
        <w:spacing w:after="0" w:line="107" w:lineRule="exact"/>
        <w:rPr>
          <w:sz w:val="20"/>
          <w:szCs w:val="20"/>
          <w:color w:val="auto"/>
        </w:rPr>
      </w:pPr>
    </w:p>
    <w:p>
      <w:pPr>
        <w:jc w:val="both"/>
        <w:ind w:left="340" w:hanging="332"/>
        <w:spacing w:after="0" w:line="263" w:lineRule="auto"/>
        <w:tabs>
          <w:tab w:leader="none" w:pos="33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ASV at any given point in time represents the forward-looking revenue for the next 12 months from all subscription services currently being supplied to clients and excludes professional service fees, which are not subscription-based. The professional service fees are $24.5 million and $21.9 million as of February 29, 2020 and February 28, 2019, respectively.</w:t>
      </w:r>
    </w:p>
    <w:p>
      <w:pPr>
        <w:spacing w:after="0" w:line="143" w:lineRule="exact"/>
        <w:rPr>
          <w:rFonts w:ascii="Arial" w:cs="Arial" w:eastAsia="Arial" w:hAnsi="Arial"/>
          <w:sz w:val="18"/>
          <w:szCs w:val="18"/>
          <w:i w:val="1"/>
          <w:iCs w:val="1"/>
          <w:color w:val="auto"/>
        </w:rPr>
      </w:pPr>
    </w:p>
    <w:p>
      <w:pPr>
        <w:ind w:left="340" w:right="20" w:hanging="332"/>
        <w:spacing w:after="0" w:line="277" w:lineRule="auto"/>
        <w:tabs>
          <w:tab w:leader="none" w:pos="334" w:val="left"/>
        </w:tabs>
        <w:numPr>
          <w:ilvl w:val="0"/>
          <w:numId w:val="10"/>
        </w:numPr>
        <w:rPr>
          <w:rFonts w:ascii="Arial" w:cs="Arial" w:eastAsia="Arial" w:hAnsi="Arial"/>
          <w:sz w:val="18"/>
          <w:szCs w:val="18"/>
          <w:i w:val="1"/>
          <w:iCs w:val="1"/>
          <w:color w:val="4B4B4B"/>
        </w:rPr>
      </w:pPr>
      <w:r>
        <w:rPr>
          <w:rFonts w:ascii="Arial" w:cs="Arial" w:eastAsia="Arial" w:hAnsi="Arial"/>
          <w:sz w:val="18"/>
          <w:szCs w:val="18"/>
          <w:i w:val="1"/>
          <w:iCs w:val="1"/>
          <w:color w:val="auto"/>
        </w:rPr>
        <w:t>Organic ASV excludes ASV from acquisitions and dispositions completed within the last 12 months, the effects of foreign currency movements on the current year period and professional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Annual Subscription Value Growth</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Organic ASV at any given point in time represents the forward-looking revenue for the next 12 months from all subscription services currently being supplied to clients, excludes ASV from acquisitions and dispositions completed within the last 12 months, the effects of foreign currency movements on the current year period and professional services. With proper notice provided to us, our clients can add to, delete portions of, or terminate service, subject to certain contractual limitations. As of February 29, 2020, our organic ASV totaled $1.48 billion, up 4.2% over the prior year comparable period. As of February 29, 2020, organic ASV plus professional services was $1.50 billion, an increase of 4.3%, compared to the prior year period.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year-over-year organic ASV was due to growth across all of our geographic segments from increased sales of products and solutions to new and existing clients, with the majority of the ASV increase related to the Americas, which also benefited from our annual price increase for most clients in this segment, followed by growth in EMEA and Asia Pacific, partially offset by increased cancellations compared to the prior year period. The increase in ASV from our workflow solutions was primarily driven by Analytics and Trading, CTS and Wealth. The ASV increase in Analytics and Trading was mainly due to increased sales for our performance and risk products and our portfolio analytics solutions. The increase in ASV from CTS was primarily driven by increased sales in core and premium data feeds while the ASV increase in Wealth was mainly due to increased traditional and web-based workstation sales.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29, 2020, organic ASV from the Americas was $925.6 million, an increase of 3.9% from the prior year period. Organic ASV from EMEA was $407.8 million as of February 29, 2020, an increase of 3.8% compared to the prior year period. Asia Pacific ASV was $145.7 million as of February 29, 2020, an increase of 7.2%, compared to the prior year period. Combined EMEA and Asia Pacific ASV represented 37.4% of total ASV as of February 29, 2020, consistent with 37.3% in the prior year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ASV increased in the Americas as of February 29, 2020, compared to the prior year period, primarily from Analytics and Trading, CTS, and Wealth, along with our annual price increase in the region, partially offset by increased cancellations compared to the prior year period. As of February 29, 2020, ASV increased in Asia Pacific mainly due to Analytics and Trading, CTS and Research. The ASV increase in EMEA was primarily driven by Analytics and Trading and CTS, as well as decreased cancellations in the region compared to the prior year period.</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Buy-side and sell-side ASV growth rates for the second quarter of fiscal 2020 were 4.5% and 2.9%, respectively, compared to the prior year period. Buy-side clients account for 84.1% of ASV, which include traditional asset managers, wealth advisors, corporations, hedge funds, insurance companies, plan sponsors and fund of funds. The remaining portion of ASV is derived from sell-side firms that perform M&amp;A advisory work, capital markets services and equity research.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client count was 5,688 as of February 29, 2020, representing a net increase of 283 or 5.2% in the last 12 months. The increase was primarily due to an increase in corporate and wealth management clients. As of February 29, 2020, there were 128,896 professionals using FactSet, representing a net increase of 6,833 or 5.6% in the last 12 months, driven primarily by traditional and web-based workstation sales.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ASV retention for the periods ending February 29, 2020 and February 28, 2019 exceeded 95%. Client retention was 89% for the period ended February 29, 2020, compared to retention of 91% in the prior year period. Client retention was lower primarily due to continued cost pressures among institutional asset managers and hedge funds. As of February 29, 2020, our largest individual client accounted for less than 3% of total subscriptions and annual subscriptions from our ten largest clients did not surpass 14% of total client subscriptions.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18, 2020, our Board of Directors approved a regular quarterly dividend of $0.72 per share. The cash dividend of $27.1 million was paid on March 19, 2020 to common stockholders of record at the close of business on February 28, 2020. We repurchased 267,500 shares of common stock for $74.2 million during the second quarter of fiscal 2020 under our existing share repurchase program. For the six months ended February 29, 2020, we returned $213.0 million to stockholders in the form of share repurchases and dividends. Over the last 12 months, we returned $374.1 million to stockholders in the form of share repurchases and dividends. As of February 29, 2020, $80.0 million remains available for future share repurchases under the existing share repurchase program.</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2020, our Board of Directors approved a $220.0 million increase to the existing share repurchase program. Subsequent to this expansion, $300.0 million is available for future share repurchases.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 expenditures in the second quarter of fiscal 2020 were $25.1 million, compared to $12.0 million a year ago. Capital expenditures of $7.1 million, or 28%, were primarily related to investment in technology. The remainder of our capital expenditures was primarily for the build-out of our new corporate headquarters in Norwalk, Connecticut and office space in India.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 understanding of the significant factors that influenced our performance for the three and six months ended February 29, 2020 and February 28, 2019, the following discussion should be read in conjunction with the consolidated financial statements and related notes presented in this Quarterly Report on Form 10-Q.</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3"/>
          </w:tcPr>
          <w:p>
            <w:pPr>
              <w:jc w:val="right"/>
              <w:ind w:right="110"/>
              <w:spacing w:after="0"/>
              <w:rPr>
                <w:sz w:val="20"/>
                <w:szCs w:val="20"/>
                <w:color w:val="auto"/>
              </w:rPr>
            </w:pPr>
            <w:r>
              <w:rPr>
                <w:rFonts w:ascii="Arial" w:cs="Arial" w:eastAsia="Arial" w:hAnsi="Arial"/>
                <w:sz w:val="18"/>
                <w:szCs w:val="18"/>
                <w:color w:val="auto"/>
              </w:rPr>
              <w:t>Three Months Ended</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Six Months Ended</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February 29,</w:t>
            </w:r>
          </w:p>
        </w:tc>
        <w:tc>
          <w:tcPr>
            <w:tcW w:w="26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2"/>
              </w:rPr>
              <w:t>February 28,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2"/>
              </w:rPr>
              <w:t>February 29,</w:t>
            </w:r>
          </w:p>
        </w:tc>
        <w:tc>
          <w:tcPr>
            <w:tcW w:w="3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w w:val="92"/>
              </w:rPr>
              <w:t>February 28,</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80" w:type="dxa"/>
            <w:vAlign w:val="bottom"/>
          </w:tcPr>
          <w:p>
            <w:pPr>
              <w:spacing w:after="0"/>
              <w:rPr>
                <w:sz w:val="11"/>
                <w:szCs w:val="11"/>
                <w:color w:val="auto"/>
              </w:rPr>
            </w:pP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1"/>
                <w:szCs w:val="11"/>
                <w:color w:val="auto"/>
              </w:rPr>
            </w:pPr>
          </w:p>
        </w:tc>
        <w:tc>
          <w:tcPr>
            <w:tcW w:w="1240" w:type="dxa"/>
            <w:vAlign w:val="bottom"/>
            <w:vMerge w:val="restart"/>
          </w:tcPr>
          <w:p>
            <w:pPr>
              <w:jc w:val="right"/>
              <w:ind w:right="470"/>
              <w:spacing w:after="0"/>
              <w:rPr>
                <w:sz w:val="20"/>
                <w:szCs w:val="20"/>
                <w:color w:val="auto"/>
              </w:rPr>
            </w:pPr>
            <w:r>
              <w:rPr>
                <w:rFonts w:ascii="Arial" w:cs="Arial" w:eastAsia="Arial" w:hAnsi="Arial"/>
                <w:sz w:val="18"/>
                <w:szCs w:val="18"/>
                <w:color w:val="auto"/>
              </w:rPr>
              <w:t>2019</w:t>
            </w: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1"/>
                <w:szCs w:val="11"/>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color w:val="auto"/>
              </w:rPr>
              <w:t>2019</w:t>
            </w: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369,780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354,895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736,438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706,535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176,218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165,108</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341,175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331,884</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87,305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81,099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175,820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165,424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106,257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108,688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219,443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209,227</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88,686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84,702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182,643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168,998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4.37</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38,576</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38,619</w:t>
            </w: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38,582</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38,714</w:t>
            </w: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for the three months ended February 29, 2020 was $369.8 million, an increase of 4.2%, consistent with the organic revenue increase of 4.2%, compared to the prior year period. The increase in revenue was due to growth across all our operating segments for the three months ended February 29, 2020 compared to the prior year period, with the majority of the increase in revenue driven by the Americas, which also benefited from our annual price increase for the majority of our clients in the region, partially offset by cancellations.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six months ended February 29, 2020 was $736.4 million, an increase of 4.2%, comparable with the organic revenue increase of 4.2%, over the same period a year ago. The increase in revenue was due to growth across all our operating segments for the six months ended February 29, 2020 compared to the prior year period, with the increase in revenue primarily related to the Americas, which also benefited from our annual price increase for the majority of our clients in the region during the second quarter of fiscal 2020, partially offset by cancellations.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Revenue by Operating Segment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20" w:type="dxa"/>
            <w:vAlign w:val="bottom"/>
            <w:gridSpan w:val="3"/>
          </w:tcPr>
          <w:p>
            <w:pPr>
              <w:jc w:val="right"/>
              <w:ind w:right="110"/>
              <w:spacing w:after="0"/>
              <w:rPr>
                <w:sz w:val="20"/>
                <w:szCs w:val="20"/>
                <w:color w:val="auto"/>
              </w:rPr>
            </w:pPr>
            <w:r>
              <w:rPr>
                <w:rFonts w:ascii="Arial" w:cs="Arial" w:eastAsia="Arial" w:hAnsi="Arial"/>
                <w:sz w:val="18"/>
                <w:szCs w:val="18"/>
                <w:color w:val="auto"/>
              </w:rPr>
              <w:t>Six Months Ended</w:t>
            </w: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w w:val="94"/>
              </w:rPr>
              <w:t>February 29,</w:t>
            </w:r>
          </w:p>
        </w:tc>
        <w:tc>
          <w:tcPr>
            <w:tcW w:w="22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February 28,</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2"/>
              </w:rPr>
              <w:t>February 29,</w:t>
            </w:r>
          </w:p>
        </w:tc>
        <w:tc>
          <w:tcPr>
            <w:tcW w:w="22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February 28,</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1"/>
                <w:szCs w:val="11"/>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1"/>
                <w:szCs w:val="11"/>
                <w:color w:val="auto"/>
              </w:rPr>
            </w:pP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color w:val="auto"/>
              </w:rPr>
              <w:t>2019</w:t>
            </w:r>
          </w:p>
        </w:tc>
        <w:tc>
          <w:tcPr>
            <w:tcW w:w="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1"/>
                <w:szCs w:val="11"/>
                <w:color w:val="auto"/>
              </w:rPr>
            </w:pP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color w:val="auto"/>
              </w:rPr>
              <w:t>2019</w:t>
            </w: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232,731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223,315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464,061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445,518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46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62.9 %</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62.9 %</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63.0 %</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63.1 %</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102,105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98,933</w:t>
            </w:r>
          </w:p>
        </w:tc>
        <w:tc>
          <w:tcPr>
            <w:tcW w:w="11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202,936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196,698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34,944</w:t>
            </w:r>
          </w:p>
        </w:tc>
        <w:tc>
          <w:tcPr>
            <w:tcW w:w="2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32,647</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69,441</w:t>
            </w:r>
          </w:p>
        </w:tc>
        <w:tc>
          <w:tcPr>
            <w:tcW w:w="2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64,319</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137,049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131,580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272,377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261,017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46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37.1 %</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37.1 %</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369,780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354,895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736,438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706,535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Americas segment increased 4.2% to $232.7 million during the three months ended February 29, 2020, compared to $223.3 million from the same period a year ago. This revenue growth was due mainly to increased sales of products and solutions to clients primarily in Analytics and Trading, CTS and Wealth, along with our annual price increase for the majority of the Americas' clients, partially offset by cancellations. Organic revenue in the Americas increased 4.2% compared to the same period a year ago. Revenue from our Americas operations accounted for 62.9% of our consolidated revenue during the second quarter of fiscal 2020 and 2019.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revenue increased 3.2% to $102.1 million during the three months ended February 29, 2020, compared to $98.9 million from the same period a year ago. This revenue growth was mainly due to increased sales of products and solutions to clients primarily in Analytics and Trading and CTS, partially offset by cancellations. The EMEA organic revenue growth rate was 3.1% for the three months ended February 29, 2020, compared to the same period a year ago.</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revenue increased 7.0% to $34.9 million during the three months ended February 29, 2020, compared to $32.6 million from the same period a year ago. This revenue growth was due mainly to increased sales of products and solutions to clients primarily in the Analytics and Trading, CTS and Research workflows, partially offset by cancellations. Asia Pacific organic revenue increased 7.0% for the three months ended February 29, 2020, compared to the same period a year ago.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Americas segment increased 4.2% to $464.1 million during the six months ended February 29, 2020, compared to $$445.5 million from the same period a year ago. This revenue growth was due mainly to increased sales of products and solutions to clients primarily in Analytics and Trading, CTS and Wealth, partially offset by cancellations. Organic revenue in the Americas increased 4.2% compared to the same period a year ago. Revenue from our Americas operations accounted for 63.0% of our consolidated revenue for the six months ended February 29, 2020, compared to 63.1% in the prior year period.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revenue increased 3.2% to $202.9 million during the six months ended February 29, 2020, compared to $196.7 million from the same period a year ago. This revenue growth was due mainly to increased sales of products and solutions to clients primarily in Analytics and Trading and CTS, partially offset by cancellations. The EMEA organic revenue growth rate was 3.0% for the six months ended February 29, 2020, compared to the same period a year ago.</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revenue increased 8.0% to $69.4 million during the six months ended February 29, 2020, compared to $64.3 million from the same period a year ago. This revenue growth was due mainly to increased sales of products and solutions to clients primarily in the Analytics and Trading, CTS and Research workflows, partially offset by cancellations. Asia Pacific organic revenue increased 8.0% for the six months ended February 29, 2020, compared to the same period a year ago.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Workflow Solution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revenue growth of 4.2% across our operating segments for the three months ended February 29, 2020 compared to the same period a year ago was primarily driven by Analytics and Trading, CTS, and Wealth, along with our annual price increase for the majority of our Americas' clients. Revenue growth from Analytics and Trading was primarily due to increased sales of portfolio analytics solutions and performance and risk products. The growth in CTS was driven mainly by increased sales of core and premium data feeds. Wealth also experienced growth mainly due to higher sales of our traditional and web-based workstation product. Offsetting these positive growth factors were increased cancellations compared to the prior year period, resulting from continued industry-wide cost pressures and firm consolidations.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revenue growth of 4.2% across our operating segments for the six months ended February 29, 2020 compared to the same period a year ago was primarily driven by Analytics and Trading, CTS and Wealth, along with our annual price increase during the second quarter of fiscal 2020 for the majority of our Americas' clients. Revenue growth from Analytics and Trading was mainly due to increased sales of portfolio analytics solutions and performance and risk products. CTS revenue growth was driven mainly by increased sales of core and premium data feeds. The revenue growth from Wealth was primarily due to higher sales of our traditional and web-based workstation product. Offsetting these positive growth factors were increased cancellations compared to the prior year period, resulting from continued industry-wide cost pressures and firm consolidations.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40" w:type="dxa"/>
            <w:vAlign w:val="bottom"/>
            <w:gridSpan w:val="3"/>
          </w:tcPr>
          <w:p>
            <w:pPr>
              <w:jc w:val="right"/>
              <w:ind w:right="110"/>
              <w:spacing w:after="0"/>
              <w:rPr>
                <w:sz w:val="20"/>
                <w:szCs w:val="20"/>
                <w:color w:val="auto"/>
              </w:rPr>
            </w:pPr>
            <w:r>
              <w:rPr>
                <w:rFonts w:ascii="Arial" w:cs="Arial" w:eastAsia="Arial" w:hAnsi="Arial"/>
                <w:sz w:val="18"/>
                <w:szCs w:val="18"/>
                <w:color w:val="auto"/>
              </w:rPr>
              <w:t>Three Months Ended</w:t>
            </w: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00" w:type="dxa"/>
            <w:vAlign w:val="bottom"/>
            <w:gridSpan w:val="2"/>
          </w:tcPr>
          <w:p>
            <w:pPr>
              <w:jc w:val="right"/>
              <w:ind w:right="170"/>
              <w:spacing w:after="0"/>
              <w:rPr>
                <w:sz w:val="20"/>
                <w:szCs w:val="20"/>
                <w:color w:val="auto"/>
              </w:rPr>
            </w:pPr>
            <w:r>
              <w:rPr>
                <w:rFonts w:ascii="Arial" w:cs="Arial" w:eastAsia="Arial" w:hAnsi="Arial"/>
                <w:sz w:val="18"/>
                <w:szCs w:val="18"/>
                <w:color w:val="auto"/>
                <w:w w:val="97"/>
              </w:rPr>
              <w:t>Six Months Ended</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w w:val="95"/>
              </w:rPr>
              <w:t>February 29,</w:t>
            </w:r>
          </w:p>
        </w:tc>
        <w:tc>
          <w:tcPr>
            <w:tcW w:w="26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w w:val="94"/>
              </w:rPr>
              <w:t>February 28,</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February 29,</w:t>
            </w:r>
          </w:p>
        </w:tc>
        <w:tc>
          <w:tcPr>
            <w:tcW w:w="44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w w:val="95"/>
              </w:rPr>
              <w:t>February 28,</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9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1"/>
                <w:szCs w:val="11"/>
                <w:color w:val="auto"/>
              </w:rPr>
            </w:pPr>
          </w:p>
        </w:tc>
        <w:tc>
          <w:tcPr>
            <w:tcW w:w="1360" w:type="dxa"/>
            <w:vAlign w:val="bottom"/>
            <w:vMerge w:val="restart"/>
          </w:tcPr>
          <w:p>
            <w:pPr>
              <w:jc w:val="right"/>
              <w:ind w:right="5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1"/>
                <w:szCs w:val="11"/>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color w:val="auto"/>
              </w:rPr>
              <w:t>2019</w:t>
            </w:r>
          </w:p>
        </w:tc>
        <w:tc>
          <w:tcPr>
            <w:tcW w:w="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1"/>
                <w:szCs w:val="11"/>
                <w:color w:val="auto"/>
              </w:rPr>
            </w:pPr>
          </w:p>
        </w:tc>
        <w:tc>
          <w:tcPr>
            <w:tcW w:w="1260" w:type="dxa"/>
            <w:vAlign w:val="bottom"/>
            <w:vMerge w:val="restart"/>
          </w:tcPr>
          <w:p>
            <w:pPr>
              <w:jc w:val="right"/>
              <w:ind w:right="450"/>
              <w:spacing w:after="0"/>
              <w:rPr>
                <w:sz w:val="20"/>
                <w:szCs w:val="20"/>
                <w:color w:val="auto"/>
              </w:rPr>
            </w:pPr>
            <w:r>
              <w:rPr>
                <w:rFonts w:ascii="Arial" w:cs="Arial" w:eastAsia="Arial" w:hAnsi="Arial"/>
                <w:sz w:val="18"/>
                <w:szCs w:val="18"/>
                <w:color w:val="auto"/>
              </w:rPr>
              <w:t>2019</w:t>
            </w:r>
          </w:p>
        </w:tc>
        <w:tc>
          <w:tcPr>
            <w:tcW w:w="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176,218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165,108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341,175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331,884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87,305</w:t>
            </w:r>
          </w:p>
        </w:tc>
        <w:tc>
          <w:tcPr>
            <w:tcW w:w="2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81,099</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175,820</w:t>
            </w:r>
          </w:p>
        </w:tc>
        <w:tc>
          <w:tcPr>
            <w:tcW w:w="44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165,424</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263,523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246,207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516,995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497,308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294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106,257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108,688</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219,443</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209,227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2940" w:type="dxa"/>
            <w:vAlign w:val="bottom"/>
            <w:gridSpan w:val="2"/>
          </w:tcPr>
          <w:p>
            <w:pPr>
              <w:ind w:left="1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i w:val="1"/>
                <w:iCs w:val="1"/>
                <w:color w:val="auto"/>
              </w:rPr>
              <w:t>28.7 %</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30.6 %</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i w:val="1"/>
                <w:iCs w:val="1"/>
                <w:color w:val="auto"/>
              </w:rPr>
              <w:t>29.8 %</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29.6 %</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For the three months ended February 29, 2020, cost of services increased 6.7% to $176.2 million compared to $165.1 million in the same period a year ago, primarily due to an increase in computer-related expenses and compensation costs. Cost of services, when expressed as a percentage of revenue, was 47.7% during the second quarter of fiscal 2020, an increase of 110 basis points compared to the same period a year ago. This increase was primarily due to an increase in computer-related expenses, partially offset by a reduction in compensation costs, when expressed as a percentage of revenue.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Computer-related expenses, as a percentage of revenue, increased 240 basis points, primarily driven by increased technology investments including cloud-based hosting and licensed software arrangements. Employee compensation, when expressed as a percentage of revenue, decreased 30 basis points in the second quarter of fiscal 2020, compared to the same period a year ago. This decrease in employee compensation was primarily driven by revenue growth outpacing the growth of employee compensation, partially offset by higher annual base salaries and a net employee headcount increase, with the majority of the compensation included in cost of services focused in lower cost locations.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the six months ended February 29, 2020, cost of services increased 2.8% to $341.2 million compared to $331.9 million in the same period a year ago, primarily due to an increase in computer-related expenses. Cost of services, when expressed as a percentage of revenue, was 46.3% for the six months ended February 29, 2020, a decrease of 60 basis points compared to the same period a year ago. This decrease was primarily driven by revenue growth outpacing the growth of employee compensation on a year-over-year basis, as well as a decrease in compensation costs and client communication costs, partially offset by an increase in computer-related expenses and employee compensation, when expressed as a percentage of revenue.</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compensation, when expressed as a percentage of revenue, decreased 130 basis points primarily driven by revenue growth outpacing the growth of cost of services, partially offset by a net headcount increase of 363 employees, with the majority of the compensation included in cost of services and focused mainly in lower cost locations. The employee compensation decrease was also partially offset by higher annual base salaries and related benefits. Client communication costs decreased 30 basis points, when expressed as a percentage of revenue due to a reduction in client hosting expenses. Computer-related expenses, as a percentage of revenue, increased 150 basis points primarily driven by increased costs from cloud-based hosting and licensed software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months ended February 29, 2020, SG&amp;A expenses increased 7.7% to $87.3 million, compared to $81.1 million for the same period a year ago, primarily due to an increase in professional fees, the timing of certain non-income related tax credits and an increase in compensation costs, partially offset by a reduction in travel expenses and a decrease in bad debt expense. SG&amp;A expenses, expressed as a percentage of revenue, were 23.6% during the second quarter of fiscal 2020, an increase of 80 basis points over the prior year period. When expressed as a percentage of revenue, this increase was primarily driven by an increase in professional fees and the timing of certain non-income related tax credits, partially offset by a reduction in travel expenses and bad debt expense.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fees, when expressed as a percentage of revenue, increased 100 basis points to support our three-year content and technology investment plan. The timing of certain non-income related tax credits resulted in an increase of 40 basis points, when expressed as a percentage of revenue. Travel expenses decreased 60 basis points, compared to the prior year period, due to an internal focus on cost discipline measures. Bad debt decreased 50 basis points, compared to the prior year period, when expressed as a percentage of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six months ended February 29, 2020, SG&amp;A expenses increased 6.3% to $175.8 million, compared to $165.4 million for the same period a year ago, primarily due to an increase in employee compensation, professional fees and the timing of certain non-income related tax credits, partially offset by a decrease in bad debt expense and travel expenses. SG&amp;A expenses, expressed as a percentage of revenue, were 23.9% for the six months ended February 29, 2020, an increase of 50 basis points over the prior year period. When expressed as a percentage of revenue, this increase was primarily driven by growth across the SG&amp;A drivers outpacing the growth of revenue, an increase in professional fees and the timing of certain non-income related tax credits, partially offset by a decrease in bad debt expense and travel expenses.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Professional fees, when expressed as a percentage of revenue, increased 60 basis points to support our three-year content and technology investment plan. Travel expenses decreased 50 basis points, compared to the prior year period, due to an internal focus on cost discipline measures. Bad debt decreased 60 basis points, over the prior year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income decreased 2.2% to $106.3 million for the three months ended February 29, 2020 compared to $108.7 million in the prior year period. Operating income decreased due to an increase in computer-related expenses, employee compensation, professional fees, and the timing of certain non-income related tax credits, partially offset by an increase in revenue, a decrease in travel expenses and bad debt expense. Operating margin decreased to 28.7% during the second quarter of fiscal 2020 compared to 30.6% in the prior year period. The decrease in operating margin on a year-over-year basis was primarily due to increased computer-related expenses, professional fees and the timing of certain non-income related tax credits, when expressed as a percentage of revenue. These reductions in operating margin were partially offset by revenue growth, and reductions in travel expenses, bad debt expense and employee compensation, when expressed as a percentage of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income increased 4.9% to $219.4 million for the six months ended February 29, 2020 compared to $209.2 million in the prior year period. Operating income increased due to increased revenue and a reduction in bad debt expense and travel expenses, partially offset by an increase in computer-related expenses, compensation expense, and professional fees. Operating margin increased to 29.8% for the six months ended February 29, 2020 compared to 29.6% in the prior year period. The increase in operating margin on a year-over-year basis was primarily due to revenue growth and a reduction in employee compensation, bad debt expense, travel expenses, and client communication costs, partially offset by an increase in computer-related expenses and professional fees, when expressed as a percentage of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Three Months Ended</w:t>
            </w: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2"/>
              </w:rPr>
              <w:t>February 29,</w:t>
            </w:r>
          </w:p>
        </w:tc>
        <w:tc>
          <w:tcPr>
            <w:tcW w:w="34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February 28,</w:t>
            </w:r>
          </w:p>
        </w:tc>
        <w:tc>
          <w:tcPr>
            <w:tcW w:w="1200" w:type="dxa"/>
            <w:vAlign w:val="bottom"/>
            <w:vMerge w:val="restart"/>
          </w:tcPr>
          <w:p>
            <w:pPr>
              <w:jc w:val="right"/>
              <w:ind w:right="39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w w:val="92"/>
              </w:rPr>
              <w:t>February 29,</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February 28,</w:t>
            </w:r>
          </w:p>
        </w:tc>
        <w:tc>
          <w:tcPr>
            <w:tcW w:w="960" w:type="dxa"/>
            <w:vAlign w:val="bottom"/>
            <w:vMerge w:val="restart"/>
          </w:tcPr>
          <w:p>
            <w:pPr>
              <w:jc w:val="right"/>
              <w:ind w:right="9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1"/>
                <w:szCs w:val="11"/>
                <w:color w:val="auto"/>
              </w:rPr>
            </w:pPr>
          </w:p>
        </w:tc>
        <w:tc>
          <w:tcPr>
            <w:tcW w:w="1100" w:type="dxa"/>
            <w:vAlign w:val="bottom"/>
            <w:vMerge w:val="restart"/>
          </w:tcPr>
          <w:p>
            <w:pPr>
              <w:jc w:val="right"/>
              <w:ind w:right="3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1"/>
                <w:szCs w:val="11"/>
                <w:color w:val="auto"/>
              </w:rPr>
            </w:pPr>
          </w:p>
        </w:tc>
        <w:tc>
          <w:tcPr>
            <w:tcW w:w="118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2019</w:t>
            </w: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1"/>
                <w:szCs w:val="11"/>
                <w:color w:val="auto"/>
              </w:rPr>
            </w:pPr>
          </w:p>
        </w:tc>
        <w:tc>
          <w:tcPr>
            <w:tcW w:w="116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2019</w:t>
            </w:r>
          </w:p>
        </w:tc>
        <w:tc>
          <w:tcPr>
            <w:tcW w:w="2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41,310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45,696</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89,537</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42,664</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43,248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83,882</w:t>
            </w:r>
          </w:p>
        </w:tc>
        <w:tc>
          <w:tcPr>
            <w:tcW w:w="3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82,337</w:t>
            </w:r>
          </w:p>
        </w:tc>
        <w:tc>
          <w:tcPr>
            <w:tcW w:w="2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19,744</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12.9 %</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44,628</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37,353</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106,257</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108,688</w:t>
            </w:r>
          </w:p>
        </w:tc>
        <w:tc>
          <w:tcPr>
            <w:tcW w:w="3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219,443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209,227</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904"/>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segments are aligned with how we manage the business, the geographic markets we serve, and how the chief operating decision maker ("CODM") assesses performance. Our internal financial reporting structure is based on three reportable segments, the Americas, EMEA and Asia Pacific, which we believe helps us better manage the business and view the markets we serve. Sales, consulting, data collection, product development and software engineering are the primary functional groups within each segment. Each segment records its respective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Americas operating income decreased 9.6% to $41.3 million during the three months ended February 29, 2020 compared to $45.7 million in the same period a year ago. The decrease in Americas operating income was primarily due to an increase in computer-related expenses and professional fees, partially offset by revenue growth of 4.2%, which includes our annual price increase for most clients in this segment, and a reduction in bad debt expense. Computer-related expenses increased year-over-year primarily due to increased technology investments including costs from cloud-based hosting and licensed software arrangements. Professional fees increased to support our three-year content and technology investment plan.</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operating income decreased 1.4% to $42.7 million during the three months ended February 29, 2020 compared to $43.2 million in the same period a year ago. The decrease in EMEA operating income was primarily due to an increase in employee compensation partially offset by revenue growth of 3.2%. Employee compensation increased primarily due to a net headcount increase of 4.6% over the past 12 months, annual base salary increases year-over-year and severance charges.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operating income increased 12.9% to $22.3 million during the three months ended February 29, 2020, compared to $19.7 million in the same period a year ago. The increase in the Asia Pacific operating income was mainly due to revenue growth of 7.0%, partially offset by an increase in employee compensation. The increase in employee compensation was primarily due to a net headcount increase of 5.7% in our Asia Pacific workforce in the last 12 months and annual base salary increases year-over-year.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Americas operating income increased 1.6% to $90.9 million during the six months ended February 29, 2020 compared to $89.5 million in the same period a year ago. The increase in Americas operating income was primarily due to revenue growth of 4.2%, which includes our annual price increase for most clients in this region, a decrease in employee compensation and bad debt expense, partially offset by an increase in computer-related expenses and professional fees. Employee compensation decreased primarily due to a net reduction in headcount of 1.3% over the past 12 months, partially offset by annual base salary increases year-over-year. Computer-related expenses increased year-over-year primarily due to increased technology investments including costs from cloud-based hosting and licensed software arrangements. Professional fees increased mainly related to support our three-year content and technology investment plan.</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operating income increased 1.9% to $83.9 million during the six months ended February 29, 2020 compared to $82.3 million in the same period a year ago. The increase in the EMEA operating income was primarily due to revenue growth of 3.2%, partially offset by an increase in employee compensation expense. Employee compensation increased primarily due to a net headcount increase of 4.6% over the past 12 months and annual base salary increases year-over-year.</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operating income increased 19.5% to $44.6 million during the six months ended February 29, 2020, compared to $37.4 million in the same period a year ago. The increase in the Asia Pacific operating income was mainly due to revenue growth of 8.0%, partially offset by an increase in compensation expense. Employee compensation increased as a result of a 5.7% increase in our Asia Pacific workforce in the last 12 months and annual base salary increases year-over-year.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444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Income Taxes, Net Income and Diluted Earnings per Share</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Three Months Ended</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Six Months Ended</w:t>
            </w: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February 29,</w:t>
            </w:r>
          </w:p>
        </w:tc>
        <w:tc>
          <w:tcPr>
            <w:tcW w:w="3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w w:val="92"/>
              </w:rPr>
              <w:t>February 28,</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2"/>
              </w:rPr>
              <w:t>February 29,</w:t>
            </w:r>
          </w:p>
        </w:tc>
        <w:tc>
          <w:tcPr>
            <w:tcW w:w="32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w w:val="92"/>
              </w:rPr>
              <w:t>February 28,</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w w:val="99"/>
              </w:rPr>
              <w:t>(in thousands, except for per share data)</w:t>
            </w:r>
          </w:p>
        </w:tc>
        <w:tc>
          <w:tcPr>
            <w:tcW w:w="140" w:type="dxa"/>
            <w:vAlign w:val="bottom"/>
          </w:tcPr>
          <w:p>
            <w:pPr>
              <w:spacing w:after="0"/>
              <w:rPr>
                <w:sz w:val="11"/>
                <w:szCs w:val="11"/>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1"/>
                <w:szCs w:val="11"/>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2019</w:t>
            </w:r>
          </w:p>
        </w:tc>
        <w:tc>
          <w:tcPr>
            <w:tcW w:w="8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1"/>
                <w:szCs w:val="11"/>
                <w:color w:val="auto"/>
              </w:rPr>
            </w:pPr>
          </w:p>
        </w:tc>
        <w:tc>
          <w:tcPr>
            <w:tcW w:w="1320" w:type="dxa"/>
            <w:vAlign w:val="bottom"/>
            <w:vMerge w:val="restart"/>
          </w:tcPr>
          <w:p>
            <w:pPr>
              <w:jc w:val="right"/>
              <w:ind w:right="550"/>
              <w:spacing w:after="0"/>
              <w:rPr>
                <w:sz w:val="20"/>
                <w:szCs w:val="20"/>
                <w:color w:val="auto"/>
              </w:rPr>
            </w:pPr>
            <w:r>
              <w:rPr>
                <w:rFonts w:ascii="Arial" w:cs="Arial" w:eastAsia="Arial" w:hAnsi="Arial"/>
                <w:sz w:val="18"/>
                <w:szCs w:val="18"/>
                <w:color w:val="auto"/>
              </w:rPr>
              <w:t>2019</w:t>
            </w: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19,647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31,294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88,686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84,702</w:t>
            </w: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182,643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168,998</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February 29, 2020, the provision for income taxes was $14.4 million, a decrease of 26.6% from the same period a year ago. The provision decreased due primarily to a higher windfall tax benefit from stock-based compensation of $4.7 million for the three months ended February 29, 2020, $2.4 million income tax expense from the settlement with a tax authority recognized during the three months ended February 28, 2019, partially offset by a $1.1 million benefit from the revision of the one-time transition tax on accumulated earnings and profits of foreign subsidiaries permitted by the U.S. Tax Cuts and Jobs Act ("TCJA") recognized during the three months ended February 28,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six months ended February 29, 2020, the provision for income taxes was $29.2 million, a decrease of 6.7% from the same period a year ago. The provision decreased mainly due to higher net tax benefits, partially offset by higher operating income for the six months ended February 29, 2020 compared to the prior year period. The net increase in tax benefits of $10.6 million for the six months ended February 29, 2020 compared to $6.6 million for the prior year period, was primarily driven by an income tax expense from the settlement with a tax authority during the six months ended February 28, 2019, coupled with benefits recognized during the six months ended February 29, 2020 from finalizing prior years' tax returns, remeasurement of a foreign net deferred tax position due to changes in the jurisdiction's tax rate and higher windfall tax benefits from stock-based compensation. The reduction in the provision was partially offset by the benefit from the revision of the one-time transition tax on accumulated earnings and profits of foreign subsidiaries permitted by the TCJA recognized during the six months ended February 28,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29, 2020 compared to three months ended February 28,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increased 4.7% to $88.7 million and diluted earnings per share ("EPS") increased 5.0% to $2.30 for the three months ended February 29, 2020, compared to the same period a year ago. Net income and diluted EPS increased primarily due to revenue growth, a decrease in the income tax provision and interest expense, partially offset by an increase in operating expenses on a year-over-year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29, 2020 compared to six months ended February 28,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increased 8.1% to 182.6 million and diluted EPS increased 8.2% to $4.73 for the six months ended February 29, 2020, compared to the same period a year ago. Net income and diluted EPS increased primarily due to revenue growth outpacing the growth of operating expenses, a decrease in the income tax provision and interest expense, on a year-over-year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w w:val="98"/>
              </w:rPr>
              <w:t>The table below provides an unaudited reconciliation of revenue to organic revenue.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gridSpan w:val="3"/>
          </w:tcPr>
          <w:p>
            <w:pPr>
              <w:jc w:val="right"/>
              <w:ind w:right="630"/>
              <w:spacing w:after="0"/>
              <w:rPr>
                <w:sz w:val="20"/>
                <w:szCs w:val="20"/>
                <w:color w:val="auto"/>
              </w:rPr>
            </w:pPr>
            <w:r>
              <w:rPr>
                <w:rFonts w:ascii="Arial" w:cs="Arial" w:eastAsia="Arial" w:hAnsi="Arial"/>
                <w:sz w:val="18"/>
                <w:szCs w:val="18"/>
                <w:color w:val="auto"/>
              </w:rPr>
              <w:t>Three Months Ended</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w w:val="95"/>
              </w:rPr>
              <w:t>February 29,</w:t>
            </w:r>
          </w:p>
        </w:tc>
        <w:tc>
          <w:tcPr>
            <w:tcW w:w="30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4"/>
              </w:rPr>
              <w:t>February 28,</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3"/>
                <w:szCs w:val="23"/>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3"/>
                <w:szCs w:val="23"/>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3"/>
                <w:szCs w:val="23"/>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369,780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354,895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18"/>
                <w:szCs w:val="18"/>
                <w:color w:val="auto"/>
                <w:vertAlign w:val="superscript"/>
              </w:rPr>
              <w:t>(1)</w:t>
            </w:r>
          </w:p>
        </w:tc>
        <w:tc>
          <w:tcPr>
            <w:tcW w:w="20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1,299</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impact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600" w:type="dxa"/>
            <w:vAlign w:val="bottom"/>
          </w:tcPr>
          <w:p>
            <w:pPr>
              <w:ind w:left="460"/>
              <w:spacing w:after="0"/>
              <w:rPr>
                <w:sz w:val="20"/>
                <w:szCs w:val="20"/>
                <w:color w:val="auto"/>
              </w:rPr>
            </w:pPr>
            <w:r>
              <w:rPr>
                <w:rFonts w:ascii="Arial" w:cs="Arial" w:eastAsia="Arial" w:hAnsi="Arial"/>
                <w:sz w:val="18"/>
                <w:szCs w:val="18"/>
                <w:color w:val="auto"/>
              </w:rPr>
              <w:t>Organic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370,988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356,194</w:t>
            </w: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i w:val="1"/>
          <w:iCs w:val="1"/>
          <w:color w:val="auto"/>
        </w:rPr>
        <w:t>(1)</w:t>
        <w:tab/>
        <w:t>Deferred revenue fair value adjustments from purchase accounting.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3"/>
          </w:tcPr>
          <w:p>
            <w:pPr>
              <w:jc w:val="right"/>
              <w:ind w:right="69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6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February 29,</w:t>
            </w:r>
          </w:p>
        </w:tc>
        <w:tc>
          <w:tcPr>
            <w:tcW w:w="6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9"/>
              </w:rPr>
              <w:t>February 28,</w:t>
            </w: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9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r>
              <w:rPr>
                <w:rFonts w:ascii="Arial" w:cs="Arial" w:eastAsia="Arial" w:hAnsi="Arial"/>
                <w:sz w:val="23"/>
                <w:szCs w:val="23"/>
                <w:color w:val="auto"/>
                <w:vertAlign w:val="superscript"/>
              </w:rPr>
              <w:t>(2)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r>
      <w:tr>
        <w:trPr>
          <w:trHeight w:val="24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106,257</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108,688</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5,143</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5,839</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5,334</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2,417</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117,922</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118,243</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6080" w:type="dxa"/>
            <w:vAlign w:val="bottom"/>
          </w:tcPr>
          <w:p>
            <w:pPr>
              <w:ind w:left="3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spacing w:after="0"/>
              <w:rPr>
                <w:sz w:val="21"/>
                <w:szCs w:val="2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88,686</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84,702</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r>
              <w:rPr>
                <w:rFonts w:ascii="Arial" w:cs="Arial" w:eastAsia="Arial" w:hAnsi="Arial"/>
                <w:sz w:val="18"/>
                <w:szCs w:val="18"/>
                <w:color w:val="auto"/>
                <w:vertAlign w:val="superscript"/>
              </w:rPr>
              <w:t>(3)</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18"/>
                <w:szCs w:val="18"/>
                <w:color w:val="auto"/>
                <w:vertAlign w:val="superscript"/>
              </w:rPr>
              <w:t>(4)</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966</w:t>
            </w:r>
          </w:p>
        </w:tc>
        <w:tc>
          <w:tcPr>
            <w:tcW w:w="6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r>
              <w:rPr>
                <w:rFonts w:ascii="Arial" w:cs="Arial" w:eastAsia="Arial" w:hAnsi="Arial"/>
                <w:sz w:val="18"/>
                <w:szCs w:val="18"/>
                <w:color w:val="auto"/>
                <w:vertAlign w:val="superscript"/>
              </w:rPr>
              <w:t>(5)</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Income tax items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68"/>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98,348</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93,598</w:t>
            </w:r>
          </w:p>
        </w:tc>
        <w:tc>
          <w:tcPr>
            <w:tcW w:w="2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50"/>
        </w:trPr>
        <w:tc>
          <w:tcPr>
            <w:tcW w:w="60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6080" w:type="dxa"/>
            <w:vAlign w:val="bottom"/>
          </w:tcPr>
          <w:p>
            <w:pPr>
              <w:ind w:left="340"/>
              <w:spacing w:after="0"/>
              <w:rPr>
                <w:sz w:val="20"/>
                <w:szCs w:val="20"/>
                <w:color w:val="auto"/>
              </w:rPr>
            </w:pPr>
            <w:r>
              <w:rPr>
                <w:rFonts w:ascii="Arial" w:cs="Arial" w:eastAsia="Arial" w:hAnsi="Arial"/>
                <w:sz w:val="18"/>
                <w:szCs w:val="18"/>
                <w:color w:val="auto"/>
              </w:rPr>
              <w:t>Adjusted diluted earnings per common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top w:val="single" w:sz="8" w:color="auto"/>
            </w:tcBorders>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(Diluted)</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38,619</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left="660" w:hanging="328"/>
        <w:spacing w:after="0" w:line="311" w:lineRule="auto"/>
        <w:tabs>
          <w:tab w:leader="none" w:pos="654"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income, net income and diluted EPS in the second quarter of fiscal 2020 were adjusted to exclude (i) intangible asset amortization, (ii) deferred revenue fair value adjustments from purchase accounting, and (iii) other items primarily related to severance, stock-based compensation acceleration, professional fees related to our ongoing three-year content and technology investment plan and facilities costs.</w:t>
      </w:r>
    </w:p>
    <w:p>
      <w:pPr>
        <w:spacing w:after="0" w:line="108" w:lineRule="exact"/>
        <w:rPr>
          <w:rFonts w:ascii="Arial" w:cs="Arial" w:eastAsia="Arial" w:hAnsi="Arial"/>
          <w:sz w:val="16"/>
          <w:szCs w:val="16"/>
          <w:i w:val="1"/>
          <w:iCs w:val="1"/>
          <w:color w:val="auto"/>
        </w:rPr>
      </w:pPr>
    </w:p>
    <w:p>
      <w:pPr>
        <w:jc w:val="both"/>
        <w:ind w:left="660" w:hanging="328"/>
        <w:spacing w:after="0" w:line="259"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the second quarter of fiscal 2019 were adjusted to exclude (i) intangible asset amortization, (ii) deferred revenue fair value adjustments from purchase accounting, and (iii) severance, stock-based compensation expense and occupancy costs. Net income and diluted EPS in the second quarter of fiscal 2019 were also primarily adjusted to exclude a settlement with a tax authority partially offset by income tax benefits primarily related to the TCJA.</w:t>
      </w:r>
    </w:p>
    <w:p>
      <w:pPr>
        <w:spacing w:after="0" w:line="146" w:lineRule="exact"/>
        <w:rPr>
          <w:rFonts w:ascii="Arial" w:cs="Arial" w:eastAsia="Arial" w:hAnsi="Arial"/>
          <w:sz w:val="18"/>
          <w:szCs w:val="18"/>
          <w:i w:val="1"/>
          <w:iCs w:val="1"/>
          <w:color w:val="auto"/>
        </w:rPr>
      </w:pPr>
    </w:p>
    <w:p>
      <w:pPr>
        <w:ind w:left="66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intangible asset amortization was recorded net of a tax impact of $1.0 million in the second quarter of fiscal 2020, compared to $1.1 million for the second quarter of fiscal 2019.</w:t>
      </w:r>
    </w:p>
    <w:p>
      <w:pPr>
        <w:spacing w:after="0" w:line="143" w:lineRule="exact"/>
        <w:rPr>
          <w:rFonts w:ascii="Arial" w:cs="Arial" w:eastAsia="Arial" w:hAnsi="Arial"/>
          <w:sz w:val="18"/>
          <w:szCs w:val="18"/>
          <w:i w:val="1"/>
          <w:iCs w:val="1"/>
          <w:color w:val="auto"/>
        </w:rPr>
      </w:pPr>
    </w:p>
    <w:p>
      <w:pPr>
        <w:ind w:left="640" w:hanging="308"/>
        <w:spacing w:after="0"/>
        <w:tabs>
          <w:tab w:leader="none" w:pos="6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deferred revenue fair value adjustment was recorded net of a tax impact of $0.2 million for both the second quarter of fiscal 2020 and 2019.</w:t>
      </w:r>
    </w:p>
    <w:p>
      <w:pPr>
        <w:spacing w:after="0" w:line="207" w:lineRule="exact"/>
        <w:rPr>
          <w:rFonts w:ascii="Arial" w:cs="Arial" w:eastAsia="Arial" w:hAnsi="Arial"/>
          <w:sz w:val="16"/>
          <w:szCs w:val="16"/>
          <w:i w:val="1"/>
          <w:iCs w:val="1"/>
          <w:color w:val="auto"/>
        </w:rPr>
      </w:pPr>
    </w:p>
    <w:p>
      <w:pPr>
        <w:ind w:left="660" w:right="2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items were recorded net of a tax impact of $0.8 million for the second quarter of fiscal 2020, compared to$0.5 million for the second quarter of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Liquidity</w:t>
            </w:r>
          </w:p>
        </w:tc>
        <w:tc>
          <w:tcPr>
            <w:tcW w:w="7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84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8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70"/>
        </w:trPr>
        <w:tc>
          <w:tcPr>
            <w:tcW w:w="128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February 29,</w:t>
            </w:r>
          </w:p>
        </w:tc>
        <w:tc>
          <w:tcPr>
            <w:tcW w:w="240" w:type="dxa"/>
            <w:vAlign w:val="bottom"/>
          </w:tcPr>
          <w:p>
            <w:pPr>
              <w:spacing w:after="0"/>
              <w:rPr>
                <w:sz w:val="23"/>
                <w:szCs w:val="23"/>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w w:val="92"/>
              </w:rPr>
              <w:t>February 28,</w:t>
            </w: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2019</w:t>
            </w:r>
          </w:p>
        </w:tc>
      </w:tr>
      <w:tr>
        <w:trPr>
          <w:trHeight w:val="27"/>
        </w:trPr>
        <w:tc>
          <w:tcPr>
            <w:tcW w:w="8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195,460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145,554</w:t>
            </w:r>
          </w:p>
        </w:tc>
      </w:tr>
      <w:tr>
        <w:trPr>
          <w:trHeight w:val="270"/>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8"/>
                <w:szCs w:val="18"/>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(51,899)</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(21,482)</w:t>
            </w:r>
          </w:p>
        </w:tc>
      </w:tr>
      <w:tr>
        <w:trPr>
          <w:trHeight w:val="26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18"/>
                <w:szCs w:val="18"/>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143,561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124,072</w:t>
            </w:r>
          </w:p>
        </w:tc>
      </w:tr>
      <w:tr>
        <w:trPr>
          <w:trHeight w:val="270"/>
        </w:trPr>
        <w:tc>
          <w:tcPr>
            <w:tcW w:w="84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r>
              <w:rPr>
                <w:rFonts w:ascii="Arial" w:cs="Arial" w:eastAsia="Arial" w:hAnsi="Arial"/>
                <w:sz w:val="18"/>
                <w:szCs w:val="1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(19,368)</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(115,819)</w:t>
            </w:r>
          </w:p>
        </w:tc>
      </w:tr>
      <w:tr>
        <w:trPr>
          <w:trHeight w:val="27"/>
        </w:trPr>
        <w:tc>
          <w:tcPr>
            <w:tcW w:w="8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343,488</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218,335</w:t>
            </w:r>
          </w:p>
        </w:tc>
      </w:tr>
      <w:tr>
        <w:trPr>
          <w:trHeight w:val="27"/>
        </w:trPr>
        <w:tc>
          <w:tcPr>
            <w:tcW w:w="128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Capital expenditures are included in net cash used in investing activities during each fiscal period reported.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Free cash flow is defined as cash provided by operating activities, less capital expenditures.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aggregated to $343.5 million as of February 29, 2020, compared to $359.8 million as of August 31, 2019. Our cash and cash equivalents decreased $16.3 million during the first six months of fiscal 2020, primarily due to $158.6 million in share repurchases, $54.4 million in dividend payments, and $51.9 million of capital expenditures. These cash outflows were partially offset by cash inflows of $195.5 million of net cash provided by operating activities, and $50.5 million in proceeds from the exercise of employee stock options.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$49.9 million in the first six months of fiscal 2020, representing a $30.6 million increase from the same period a year ago. This increase was due primarily to $30.4 million of higher capital expenditures.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by financing activities was $164.1 million in the first six months of fiscal 2020, representing a $48.2 million increase in cash used by financing activities from the same period a year ago. The increase was primarily due to a $47.9 million increase in share purchases, and a $5.9 million increase in dividend payments, partially offset by a $7.1 million increase in proceeds from employee stock plans.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29, 2020, our total Cash and cash equivalents worldwide was $343.5 million. The total available cash and cash equivalents within the Americas was $83.4 million, within EMEA was $208.4 million (predominantly within the UK, France, and Germany) and the remaining $51.7 million was held in Asia Pacific.</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29, 2020, we have borrowed $575.0 million of the available $750.0 million provided under our 2019 revolving credit facility, resulting in $175.0 million available for additional borrowings. The 2019 Credit Agreement between FactSet, as the borrower, and PNC Bank, National Association ("PNC"), as the administrative agent and lender (the "2019 Credit Agreement") also allows us, subject to certain requirements, to arrange for additional borrowings with an aggregate amount up to $500.0 million. Refer to Capital Resources - Capital Needs - Long Term Debt for additional information on the 2019 Credit Agreement.</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our liquidity (including cash on hand, cash from operating activities, other cash flows that we expect to generate and availability under our existing credit facilities)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and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Free cash flow generated in the six months ended February 29, 2020 was $143.6 million, an increase of 15.7% compared to a year ago. Free cash flow was generated from $195.5 million of net cash provided by operating activities, less $51.9 million in capital expenditures. Free cash flow increased $19.5 million year-over-year due to a $49.9 million increase in operating cash flows partially offset by higher capital expenditures for the build-out of new and existing office space for some of our locations and increased investments in technology compared to the prior year period.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$25.1 million in the second quarter of fiscal 2020, compared to $12.0 million in the prior year period. Capital expenditures of $7.1 million, or 28%, were primarily related to investment in technology. The remainder of our capital expenditures were primarily for the build-out of our new corporate headquarters in Norwalk, Connecticut and office space in India.</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$51.9 million during the first six months of fiscal 2020, compared to $21.5 million in the same period a year ago. Capital expenditures of $14.8 million, or 29%, were primarily related to investment in technology. The remainder of our capital expenditures was primarily for the build-out of new corporate headquarters in Norwalk, Connecticut and office space in India.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29, 2019, we entered into the 2019 Credit Agreement with PNC,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February 29, 2020, we have borrowed $575.0 million of the available $750.0 million provided by the 2019 Revolving Credit Facility, resulting in $175.0 million available to be withdrawn. We are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February 29, 2020 and August 31. 2019. The principal balance is payable in full on the maturity date.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our long-term debt was $575.0 million as of February 29, 2020, which we believe approximates the carrying amount as the terms and interest rate approximate market rates given its floating interest rate basis. Borrowings under the loan bear interest on the outstanding principal amount at a rate equal to the daily LIBOR rate plus a spread using a debt leverage pricing grid, currently at 0.875%. For the three months ended February 29, 2020 and February 28, 2019 we recorded interest expense of $3.8 million and $5.1 million, respectively, on our outstanding debt amounts. For the six months ended February 29, 2020 and February 28, 2019 we recorded interest expense of $8.0 million and $9.9 million, respectively, on our outstanding debt amounts. The weighted average interest rate on amounts outstanding under our credit facilities was 2.76% and 3.35% for the year to date ended February 29, 2020 and August 31, 2019, respectively. Interest on the loan outstanding is payable quarterly, in arrears, and on the maturity date.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incurred approximately $0.9 million in debt issuance costs related to the 2019 Credit Agreement. These costs were capitalized as loan origination fees and are amortized into interest expense ratably over the term of the 2019 Credit Agreement.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February 29,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$2.9 million of standby letters of credit have been issued in connection with our leased office spaces as of February 29, 2020. These standby letters of credit utilize the same covenants included in the 2019 Credit Agreement. Refer to Note 14, Debt, of the Notes to the Consolidated Financial Statements in this Quarterly Report on Form 10-Q for more information on these covenants.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wholly-owned subsidiaries within the EMEA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income (loss) as a component of stockholders’ equity.</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exchange exposure is related to our operating expenses in countries outside the Americas, where approximately 76% of our employees were located as of February 29, 2020. During the second quarter of fiscal 2020, foreign currency movements increased operating income by $0.2 million, compared to a $4.0 million increase to operating income a year ago. During the first six months of fiscal 2020, foreign currency movements increased operating income by $1.2 million, compared to a increase in operating income of $5.6 million in the same period a year ago.</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29, 2020, we maintained foreign currency forward contracts to hedge a portion of our British Pound Sterling, Euro, Indian Rupee, and Philippine Peso exposures. We entered into a series of forward contracts to mitigate our currency exposure ranging from 25% to 63% over their respective hedged periods. The current foreign currency forward contracts are set to mature at various points between the fourth quarter of fiscal 2020 through the first quarter of fiscal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29, 2020, the gross notional value of foreign currency forward contracts to purchase Philippine Pesos and Indian Rupees with U.S. dollars was ₱842.6 billion and Rs1,434.3 billion, respectively. The gross notional value of foreign currency forward contracts to purchase U.S. dollars with Euros and British Pound Sterling was €20.5 million and £16.5 million, respectively.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loss on derivatives of $0.3 million was recorded into operating income for the three months ended February 29, 2020, compared to a loss on derivatives of $0.4 million in the same period a year ago. For the six months ended February 29, 2020, a loss on derivatives of $1.1 million was recorded into operating income, compared to a loss on derivatives of $0.8 million in the prior year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29, 2020 and August 31, 2019,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Repurchases of shares of our common stock are made from time to time in the open market and privately negotiated transactions, subject to market conditions. In the second quarter of fiscal 2020, we repurchased 267,500 shares for $74.2 million under our existing share repurchase program compared to 214,945 shares for $44.1 million in the same period a year ago. During the first six months of fiscal 2020, we repurchased 610,500 shares for $158.6 million compared to 489,945 shares for $104.6 million in the prior year comparable period. For the six months ended February 29, 2020, we have returned $213.0 million to stockholders in the form of share repurchases and dividends. Over the last 12 months, we have returned $374.1 million to stockholders in the form of share repurchases and dividends. As of February 29, 2020, $80.0 million was available for future share repurchases under the existing share repurchase program.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2020, our Board of Directors approved a $220.0 million increase to the existing share repurchase program. Subsequent to this expansion, $300.0 million is available for future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2019, we had total purchase commitments of $69.9 million. There were no material changes in our purchase commitments during the six months ended February 29,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disclosed earlier in the Capital Resources section of this MD&amp;A, we entered into the 2019 Credit Agreement on March 29, 2019 and borrowed $575.0 million. The loan balance of $575.0 million remains outstanding as of February 29, 2020. Refer to the Capital Resources section of the MD&amp;A for a discussion on our Long-term debt borrowings.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first six months of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18, 2020, our Board of Directors approved a regular quarterly dividend of $0.72 per share. The cash dividend of $27.1 million was paid on March 19, 2020, to common stockholders of record at the close of business on February 28, 2020. Future cash dividends will depend on our earnings, capital requirements, financial condition and other factors considered relevant by us and is subject to final determination by our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describe our significant accounting policies in Note 3, Summary of Significant Accounting Policies, of the notes to our consolidated financial statements included in Item 8 of our Annual Report on Form 10-K for the fiscal year ended August 31, 2019. The accounting policies used in preparing our consolidated financial statements for the first six months of fiscal 2020 are applied consistently with those described in our Annual Report on Form 10-K for the fiscal year ended August 31, 2019, with the exception of the accounting guidance adopted in the first quarter of fiscal 2020 related to leases accounting. Refer to Note 15, Leases, of the Notes to the Consolidated Financial Statements in this Quarterly Report on Form 10-Q for further details on the adoption of the new lease standard.</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2019. There were no significant changes in our accounting policies or critical accounting estimates during the first six months of fiscal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Recent Accounting Pronouncements, in the notes to the consolidated financial statements for a full description of recent accounting pronouncements, including the expected dates of adoption, which we include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Approximately 84.1%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15.9% of our ASV. A significant portion of this revenue relates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 may decline if banks, including those involved in merger activity, significantly reduce headcount in the areas of corporate M&amp;A, capital markets and equity research to compensate for the challenges faced in the current economic environment.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31, 2020, the UK formally left the European Union when the UK-EU Withdrawal Agreement became effective. Under the Withdrawal Agreement, a transition period began and will run until December 31, 2020. During this transition period, many existing arrangements will remain in place. The UK will still follow all the EU's rules and regulations, will remain in the single market and the customs union, and will continue to permit the free movement of people.</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political declaration also came into force on January 31, 2020, which sets out the overall understanding on the framework for the future UK-EU relationship and provides the basis for UK-EU negotiations. The UK and the EU are currently negotiating a UK-EU free trade deal and the terms of their future relationship. The deadline for these negotiations is the expiry of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transition period. At this time, we cannot predict the impact that the future UK-EU arrangements will have on our business, as it will depend on the longer-term outcome of tariff, trade, regulatory and other negotiations. Although the results of these negotiations are currently unknown, it is possible that new terms may adversely affect our operations and financial results. While we evaluate our own risks and uncertainty related to Brexit, we continue to partner with our clients to help them navigate the fluctuating international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Markets in Financial Instruments Directive (“MiFID”)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MiFID II built upon many of the initiatives introduced through MiFID and is intended to help improve the functioning of the European Union single market by achieving a greater consistency of regulatory standards. MiFID originally became effective in 2007 and was enhanced through adoption of MiFID II, which became effective in January 2018. We continue to monitor the impact in the European Union of MiFID II on the investment process and trade lifecycle, as well as any impact of MiFID II on non-European Union countries. We also continue to review the application of key MiFID II requirements and plan to work with our clients to navigate through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addition to current and historical information, this Quarterly Report on Form 10-Q, including Management’s Discussion and Analysis of Financial Condition and Results of Operations, contains forward-looking statements based on management’s current expectations, estimates, forecasts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Quarterly Report on Form 10-Q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w:t>
      </w:r>
      <w:r>
        <w:rPr>
          <w:rFonts w:ascii="Arial" w:cs="Arial" w:eastAsia="Arial" w:hAnsi="Arial"/>
          <w:sz w:val="18"/>
          <w:szCs w:val="18"/>
          <w:color w:val="auto"/>
        </w:rPr>
        <w:t>t</w:t>
      </w:r>
      <w:r>
        <w:rPr>
          <w:rFonts w:ascii="Arial" w:cs="Arial" w:eastAsia="Arial" w:hAnsi="Arial"/>
          <w:sz w:val="17"/>
          <w:szCs w:val="17"/>
          <w:color w:val="auto"/>
        </w:rPr>
        <w:t>he impact of the coronavirus pandemic on our operating results;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this MD&amp;A above and those listed in Part 1 Item 1A, Risk Factors, of our Annual Report on Form 10-K for the fiscal year ended August 31, 2019. We do not intend, and undertake no obligation, to update any of our forward-looking statements after the date of this Quarterly Report to reflect actual results or future events or circumstances.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provided forward-looking statement for fiscal 2020 on September 26, 2019. Given the number of risk factors, uncertainties and assumptions discussed in Part 1 Item 1A, Risk Factors, of our Annual Report on Form 10-K for the fiscal year ended August 31, 2019, and particularly the ongoing uncertainty surrounding the duration, magnitude, and impact of the novel coronavirus pandemic, actual results may differ materially from these expectations. We currently do not intend to update our forward-looking statements until our next quarterly results announcement, other than in publicly available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Expectations:</w:t>
      </w:r>
    </w:p>
    <w:p>
      <w:pPr>
        <w:spacing w:after="0" w:line="198" w:lineRule="exact"/>
        <w:rPr>
          <w:sz w:val="20"/>
          <w:szCs w:val="20"/>
          <w:color w:val="auto"/>
        </w:rPr>
      </w:pPr>
    </w:p>
    <w:p>
      <w:pPr>
        <w:ind w:left="980" w:hanging="648"/>
        <w:spacing w:after="0" w:line="277" w:lineRule="auto"/>
        <w:rPr>
          <w:sz w:val="20"/>
          <w:szCs w:val="20"/>
          <w:color w:val="auto"/>
        </w:rPr>
      </w:pPr>
      <w:r>
        <w:rPr>
          <w:rFonts w:ascii="Arial" w:cs="Arial" w:eastAsia="Arial" w:hAnsi="Arial"/>
          <w:sz w:val="18"/>
          <w:szCs w:val="18"/>
          <w:color w:val="auto"/>
        </w:rPr>
        <w:t>– Organic ASV plus professional services is now expected to increase in the range of $50 million and $75 million over fiscal 2019. The change in the range reflects the current anticipated business impacts resulting from the coronavirus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revenue is expected to be in the range of $1.49 billion and $1.50 billion.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operating margin is expected to be in the range of 28.5% and 29.5%.</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Adjusted operating margin is expected to be in the range of 31.5% and 32.5%.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Annual effective tax rate is expected to be in the range of 17.0% and 17.5%.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GAAP diluted EPS is expected to be in the range of $8.70 and $9.00. Adjusted diluted EPS is expected to be in the range of $9.85 and $10.15.</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500"/>
        <w:spacing w:after="0" w:line="453" w:lineRule="auto"/>
        <w:rPr>
          <w:sz w:val="20"/>
          <w:szCs w:val="20"/>
          <w:color w:val="auto"/>
        </w:rPr>
      </w:pPr>
      <w:r>
        <w:rPr>
          <w:rFonts w:ascii="Arial" w:cs="Arial" w:eastAsia="Arial" w:hAnsi="Arial"/>
          <w:sz w:val="18"/>
          <w:szCs w:val="18"/>
          <w:color w:val="auto"/>
        </w:rPr>
        <w:t xml:space="preserve">In the normal course of business, we are exposed to foreign currency exchange risk that could impact our financial position and results of operations. </w:t>
      </w:r>
      <w:r>
        <w:rPr>
          <w:rFonts w:ascii="Arial" w:cs="Arial" w:eastAsia="Arial" w:hAnsi="Arial"/>
          <w:sz w:val="18"/>
          <w:szCs w:val="18"/>
          <w:b w:val="1"/>
          <w:bCs w:val="1"/>
          <w:color w:val="auto"/>
        </w:rPr>
        <w:t>Foreign Currency Exchange Risk</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conduct business outside the U.S. in several currencies including British Pound Sterling, Euro, Indian Rupee, and Philippine Peso. We translate foreign currencies into U.S. dollars using period-end rates of exchange for assets and liabilities and average rates for the period for revenue and expenses.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29, 2020, FactSet maintained foreign currency forward contracts to hedge a portion of the British Pound Sterling, Euro, Indian Rupee, and Philippine Peso exposures. FactSet entered into a series of forward contracts to mitigate our currency exposure ranging from 25% to 63% over their respective hedged periods. The current foreign currency forward contracts are set to mature at various points between the fourth quarter of fiscal 2020 through the first quarter of fiscal 2021.</w:t>
      </w:r>
    </w:p>
    <w:p>
      <w:pPr>
        <w:spacing w:after="0" w:line="14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of February 29, 2020, the gross notional value of foreign currency forward contracts to purchase Philippine Pesos and Indian Rupees with U.S. dollars was ₱842.6 billion and Rs1,434.3 billion, respectively. The gross notional value of foreign currency forward contracts to purchase U.S. dollars with Euros and British Pound Sterling was €20.5 million and £16.5 million, respectively.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loss on derivatives of $0.3 million was recorded into operating income for the three months ended February 29, 2020, compared to a loss on derivatives of $0.4 million in the same period a year ago. For the six months ended February 29, 2020, a loss on derivatives of $1.1 million was recorded into operating income, compared to a loss on derivatives of $0.8 million in the prior year period.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6"/>
          <w:szCs w:val="16"/>
          <w:i w:val="1"/>
          <w:iCs w:val="1"/>
          <w:color w:val="auto"/>
        </w:rPr>
        <w:t>.</w:t>
      </w:r>
      <w:r>
        <w:rPr>
          <w:rFonts w:ascii="Arial" w:cs="Arial" w:eastAsia="Arial" w:hAnsi="Arial"/>
          <w:sz w:val="16"/>
          <w:szCs w:val="16"/>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sensitivity analysis was performed based on the estimated fair value of all foreign currency forward contracts outstanding at February 29, 2020. If the U.S. dollar had been 10% weaker, the fair value of outstanding foreign currency forward contracts would have increased by $7.8 million, which would have had an immaterial impact on our Consolidated Balance Sheet. Such a change in fair value of our financial instruments would be substantially offset by changes in our expense base. If we had no hedges in place as of February 29, 2020, a hypothetical 10% weaker U.S. dollar against all foreign currencies from the quoted foreign currency exchange rates at February 29, 2020, with operating results held constant in local currencies, would result in a decrease in operating income by $28.2 million over the next 12 months. A hypothetical 10% weaker U.S. dollar against all foreign currencies at February 29, 2020 would have increased the fair value of total assets by $126.0 million and equity by $21.5 million.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 Refer to Management's Discussion and Analysis of Financial Condition and Results of Operations - Market Trends - Brexit for further information on Brexit.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our Cash and cash equivalents and Investments at February 29, 2020 was $367.4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(short-term) on our Consolidated Balance Sheets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our Cash and cash equivalents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As we have a restrictive investment policy, our financial exposure to fluctuations in interest rates is expected to remain low. We do not believe that the value or liquidity of our cash and cash equivalents and investments have been significantly impacted by current market events.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February 29, 2020, the fair value of our long-term debt was $575.0 million, which approximated its carrying amount. The application of a floating interest rate equal to the daily LIBOR rate plus a spread using a debt leverage pricing grid approximates the current market rate for similar instruments.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a spread using a debt leverage pricing grid currently at 0.875%. During the three months ended February 29, 2020 and February 28, 2019, we recorded interest expense of $3.8 million and $5.1 million, respectively, on our outstanding debt amounts. During the six months ended February 29, 2020 and February 28, 2019, we recorded interest expense of $8.0 million and $9.9 million, respectively, on our outstanding debt amounts. Assuming all terms of our outstanding long-term debt remained the same, a hypothetical 25 basis point change (up or down) in the one-month LIBOR rate would result in a $1.4 million change to our annual interest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Risk</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 acts of war, civil unrest, Internet failures, computer viruses and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management, including its principal executive officer and principal financial officer, have evaluated the effectiveness of the Company’s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the Company’s disclosure controls and procedures are effective as of the end of the period covered by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first quarter of fiscal 2020, the Company implemented a new general ledger and financial reporting system as part of a multi-year global project to design, configure and install an integrated suite of enterprise software. The implementation has involved changes to certain processes and related internal controls over financial reporting. The Company has reviewed the system and the controls affected and made appropriate changes as necessary.</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changes in the Company’s internal control over financial reporting (as such term is defined in Rules 13a-15(f) and 15d-15(f) under the Exchange Act) during the Company’s second quarter of fiscal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set forth under Note 16, Commitments and Contingencies</w:t>
      </w:r>
      <w:r>
        <w:rPr>
          <w:rFonts w:ascii="Arial" w:cs="Arial" w:eastAsia="Arial" w:hAnsi="Arial"/>
          <w:sz w:val="18"/>
          <w:szCs w:val="18"/>
          <w:i w:val="1"/>
          <w:iCs w:val="1"/>
          <w:color w:val="auto"/>
        </w:rPr>
        <w:t>,</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material changes during the first six months of fiscal 2020 to the risk factors identified in the Company’s fiscal 2019 Annual Report on Form 10-K, except as noted below.</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current COVID-19 pandemic and other global public health epidemics may adversely impact our business, our future results of operations and our overall financial performance.</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121"/>
        </w:rPr>
        <w:t>Our business could be materially and adversely affected by the risk, or the public perception of risk, related to a pandemic or widespread health crisis, such as the current COVID-19 pandemic. A significant outbreak of epidemic, pandemic, or contagious diseases in the human population could result in a widespread health crisis that could adversely affect the broader economies, financial markets and overall demand environment for our products. A global health crisis could affect our workforce and clients, as well as economies and financial markets globally, potentially leading to an economic downturn, which could decrease spending, adversely affecting the demand for our products and services. In addition, any preventative or protective actions that governments implement or that we take in respect of a global health crises such as COVID-19, such as travel restrictions, quarantines or site closures, may interfere with the ability of our employees, vendors, and data suppliers to perform their respective responsibilities and obligations relative to the conduct of our business. Such results could have a material adverse effect on our operations, business, financial condition, results of operations, or cash flows.</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121"/>
        </w:rPr>
        <w:t>We are unable to accurately predict the ultimate impact of the current COVID-19 pandemic due to various uncertainties, including the ultimate geographic spread of the virus, the severity of the virus, the duration of the outbreak, and actions that may be taken by governmental authorities to contain the virus. We closely monitor the impact of the COVID-19 pandemic, continually assessing its potential effects on our business. The extent to which our results are affected by COVID-19 will largely depend on future developments which cannot be accurately predicted and are uncertain, but the COVID-19 pandemic or the perception of its effects could have a material adverse effect on our business, financial condition, results of operations, or cash flows. Refer to Management’s Discussion and Analysis of Financial Condition and Results of Operations - COVID-19 Update for additional information.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185" w:lineRule="exact"/>
        <w:rPr>
          <w:sz w:val="20"/>
          <w:szCs w:val="20"/>
          <w:color w:val="auto"/>
        </w:rPr>
      </w:pPr>
    </w:p>
    <w:p>
      <w:pPr>
        <w:ind w:left="340" w:hanging="340"/>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following table provides a month-to-month summary of the share repurchase activity during the three months ended February 29,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tcPr>
          <w:p>
            <w:pPr>
              <w:jc w:val="center"/>
              <w:ind w:right="50"/>
              <w:spacing w:after="0"/>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8"/>
              </w:rPr>
              <w:t>Total number of shares</w:t>
            </w:r>
          </w:p>
        </w:tc>
        <w:tc>
          <w:tcPr>
            <w:tcW w:w="242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92"/>
              </w:rPr>
              <w:t>(or approximate dollar value)</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2120" w:type="dxa"/>
            <w:vAlign w:val="bottom"/>
            <w:vMerge w:val="restart"/>
          </w:tcPr>
          <w:p>
            <w:pPr>
              <w:jc w:val="right"/>
              <w:ind w:right="39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5"/>
                <w:szCs w:val="15"/>
                <w:color w:val="auto"/>
              </w:rPr>
            </w:pPr>
          </w:p>
        </w:tc>
        <w:tc>
          <w:tcPr>
            <w:tcW w:w="1880" w:type="dxa"/>
            <w:vAlign w:val="bottom"/>
            <w:vMerge w:val="restart"/>
          </w:tcPr>
          <w:p>
            <w:pPr>
              <w:jc w:val="right"/>
              <w:ind w:right="570"/>
              <w:spacing w:after="0"/>
              <w:rPr>
                <w:sz w:val="20"/>
                <w:szCs w:val="20"/>
                <w:color w:val="auto"/>
              </w:rPr>
            </w:pPr>
            <w:r>
              <w:rPr>
                <w:rFonts w:ascii="Arial" w:cs="Arial" w:eastAsia="Arial" w:hAnsi="Arial"/>
                <w:sz w:val="18"/>
                <w:szCs w:val="18"/>
                <w:color w:val="auto"/>
              </w:rPr>
              <w:t>Average price</w:t>
            </w:r>
          </w:p>
        </w:tc>
        <w:tc>
          <w:tcPr>
            <w:tcW w:w="2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8"/>
              </w:rPr>
              <w:t>that may yet be purchased</w:t>
            </w:r>
          </w:p>
        </w:tc>
        <w:tc>
          <w:tcPr>
            <w:tcW w:w="0" w:type="dxa"/>
            <w:vAlign w:val="bottom"/>
          </w:tcPr>
          <w:p>
            <w:pPr>
              <w:spacing w:after="0"/>
              <w:rPr>
                <w:sz w:val="1"/>
                <w:szCs w:val="1"/>
                <w:color w:val="auto"/>
              </w:rPr>
            </w:pPr>
          </w:p>
        </w:tc>
      </w:tr>
      <w:tr>
        <w:trPr>
          <w:trHeight w:val="176"/>
        </w:trPr>
        <w:tc>
          <w:tcPr>
            <w:tcW w:w="2080" w:type="dxa"/>
            <w:vAlign w:val="bottom"/>
            <w:vMerge w:val="restart"/>
          </w:tcPr>
          <w:p>
            <w:pPr>
              <w:ind w:left="820"/>
              <w:spacing w:after="0"/>
              <w:rPr>
                <w:sz w:val="20"/>
                <w:szCs w:val="20"/>
                <w:color w:val="auto"/>
              </w:rPr>
            </w:pPr>
            <w:r>
              <w:rPr>
                <w:rFonts w:ascii="Arial" w:cs="Arial" w:eastAsia="Arial" w:hAnsi="Arial"/>
                <w:sz w:val="18"/>
                <w:szCs w:val="18"/>
                <w:color w:val="auto"/>
              </w:rPr>
              <w:t>Period</w:t>
            </w:r>
          </w:p>
        </w:tc>
        <w:tc>
          <w:tcPr>
            <w:tcW w:w="21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242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under the plans or programs (in</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 purchased</w:t>
            </w:r>
            <w:r>
              <w:rPr>
                <w:rFonts w:ascii="Arial" w:cs="Arial" w:eastAsia="Arial" w:hAnsi="Arial"/>
                <w:sz w:val="18"/>
                <w:szCs w:val="18"/>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paid 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announced plans or programs</w:t>
            </w:r>
            <w:r>
              <w:rPr>
                <w:rFonts w:ascii="Arial" w:cs="Arial" w:eastAsia="Arial" w:hAnsi="Arial"/>
                <w:sz w:val="18"/>
                <w:szCs w:val="18"/>
                <w:color w:val="auto"/>
                <w:w w:val="88"/>
                <w:vertAlign w:val="superscript"/>
              </w:rPr>
              <w:t>(2)</w:t>
            </w: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US$)</w:t>
            </w:r>
            <w:r>
              <w:rPr>
                <w:rFonts w:ascii="Arial" w:cs="Arial" w:eastAsia="Arial" w:hAnsi="Arial"/>
                <w:sz w:val="18"/>
                <w:szCs w:val="18"/>
                <w:color w:val="auto"/>
                <w:w w:val="89"/>
                <w:vertAlign w:val="superscript"/>
              </w:rPr>
              <w:t>(2)</w:t>
            </w: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2019</w:t>
            </w:r>
          </w:p>
        </w:tc>
        <w:tc>
          <w:tcPr>
            <w:tcW w:w="2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38,085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268.40</w:t>
            </w: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143,997</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January 2020</w:t>
            </w: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153,389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272.41</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153,000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102,320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2020</w:t>
            </w:r>
          </w:p>
        </w:tc>
        <w:tc>
          <w:tcPr>
            <w:tcW w:w="2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76,500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291.44</w:t>
            </w: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76,500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80,025</w:t>
            </w:r>
          </w:p>
        </w:tc>
        <w:tc>
          <w:tcPr>
            <w:tcW w:w="0" w:type="dxa"/>
            <w:vAlign w:val="bottom"/>
          </w:tcPr>
          <w:p>
            <w:pPr>
              <w:spacing w:after="0"/>
              <w:rPr>
                <w:sz w:val="1"/>
                <w:szCs w:val="1"/>
                <w:color w:val="auto"/>
              </w:rPr>
            </w:pPr>
          </w:p>
        </w:tc>
      </w:tr>
      <w:tr>
        <w:trPr>
          <w:trHeight w:val="237"/>
        </w:trPr>
        <w:tc>
          <w:tcPr>
            <w:tcW w:w="2080" w:type="dxa"/>
            <w:vAlign w:val="bottom"/>
          </w:tcPr>
          <w:p>
            <w:pPr>
              <w:ind w:left="3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267,974</w:t>
            </w: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267,500</w:t>
            </w: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77" w:lineRule="auto"/>
        <w:tabs>
          <w:tab w:leader="none" w:pos="33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267,500 shares purchased under the existing stock repurchase program, as well as 474 shares repurchased from employees to cover their cost of taxes upon vesting of restricted stock and stock options.</w:t>
      </w:r>
    </w:p>
    <w:p>
      <w:pPr>
        <w:spacing w:after="0" w:line="129" w:lineRule="exact"/>
        <w:rPr>
          <w:rFonts w:ascii="Arial" w:cs="Arial" w:eastAsia="Arial" w:hAnsi="Arial"/>
          <w:sz w:val="18"/>
          <w:szCs w:val="18"/>
          <w:i w:val="1"/>
          <w:iCs w:val="1"/>
          <w:color w:val="auto"/>
        </w:rPr>
      </w:pPr>
    </w:p>
    <w:p>
      <w:pPr>
        <w:ind w:left="340" w:right="460" w:hanging="332"/>
        <w:spacing w:after="0" w:line="263" w:lineRule="auto"/>
        <w:tabs>
          <w:tab w:leader="none" w:pos="33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20" w:type="dxa"/>
            <w:vAlign w:val="bottom"/>
            <w:gridSpan w:val="3"/>
          </w:tcPr>
          <w:p>
            <w:pPr>
              <w:jc w:val="right"/>
              <w:ind w:right="550"/>
              <w:spacing w:after="0"/>
              <w:rPr>
                <w:sz w:val="20"/>
                <w:szCs w:val="20"/>
                <w:color w:val="auto"/>
              </w:rPr>
            </w:pPr>
            <w:r>
              <w:rPr>
                <w:rFonts w:ascii="Arial" w:cs="Arial" w:eastAsia="Arial" w:hAnsi="Arial"/>
                <w:sz w:val="18"/>
                <w:szCs w:val="18"/>
                <w:color w:val="auto"/>
              </w:rPr>
              <w:t>Incorporated by Reference</w:t>
            </w:r>
          </w:p>
        </w:tc>
        <w:tc>
          <w:tcPr>
            <w:tcW w:w="940" w:type="dxa"/>
            <w:vAlign w:val="bottom"/>
          </w:tcPr>
          <w:p>
            <w:pPr>
              <w:spacing w:after="0"/>
              <w:rPr>
                <w:sz w:val="20"/>
                <w:szCs w:val="20"/>
                <w:color w:val="auto"/>
              </w:rPr>
            </w:pPr>
          </w:p>
        </w:tc>
      </w:tr>
      <w:tr>
        <w:trPr>
          <w:trHeight w:val="256"/>
        </w:trPr>
        <w:tc>
          <w:tcPr>
            <w:tcW w:w="1280" w:type="dxa"/>
            <w:vAlign w:val="bottom"/>
          </w:tcPr>
          <w:p>
            <w:pPr>
              <w:ind w:left="80"/>
              <w:spacing w:after="0"/>
              <w:rPr>
                <w:sz w:val="20"/>
                <w:szCs w:val="20"/>
                <w:color w:val="auto"/>
              </w:rPr>
            </w:pPr>
            <w:r>
              <w:rPr>
                <w:rFonts w:ascii="Arial" w:cs="Arial" w:eastAsia="Arial" w:hAnsi="Arial"/>
                <w:sz w:val="18"/>
                <w:szCs w:val="18"/>
                <w:color w:val="auto"/>
                <w:w w:val="95"/>
              </w:rPr>
              <w:t>Exhibit Number</w:t>
            </w:r>
          </w:p>
        </w:tc>
        <w:tc>
          <w:tcPr>
            <w:tcW w:w="5140" w:type="dxa"/>
            <w:vAlign w:val="bottom"/>
          </w:tcPr>
          <w:p>
            <w:pPr>
              <w:ind w:left="2280"/>
              <w:spacing w:after="0"/>
              <w:rPr>
                <w:sz w:val="20"/>
                <w:szCs w:val="20"/>
                <w:color w:val="auto"/>
              </w:rPr>
            </w:pPr>
            <w:r>
              <w:rPr>
                <w:rFonts w:ascii="Arial" w:cs="Arial" w:eastAsia="Arial" w:hAnsi="Arial"/>
                <w:sz w:val="18"/>
                <w:szCs w:val="18"/>
                <w:color w:val="auto"/>
              </w:rPr>
              <w:t>Exhibit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File No.</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Exhibit No.</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Filing Date</w:t>
            </w: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2"/>
              </w:rPr>
              <w:t>Filed</w:t>
            </w:r>
          </w:p>
        </w:tc>
      </w:tr>
      <w:tr>
        <w:trPr>
          <w:trHeight w:val="230"/>
        </w:trPr>
        <w:tc>
          <w:tcPr>
            <w:tcW w:w="1280" w:type="dxa"/>
            <w:vAlign w:val="bottom"/>
          </w:tcPr>
          <w:p>
            <w:pPr>
              <w:spacing w:after="0"/>
              <w:rPr>
                <w:sz w:val="20"/>
                <w:szCs w:val="20"/>
                <w:color w:val="auto"/>
              </w:rPr>
            </w:pPr>
          </w:p>
        </w:tc>
        <w:tc>
          <w:tcPr>
            <w:tcW w:w="5140" w:type="dxa"/>
            <w:vAlign w:val="bottom"/>
          </w:tcPr>
          <w:p>
            <w:pPr>
              <w:ind w:left="2120"/>
              <w:spacing w:after="0"/>
              <w:rPr>
                <w:sz w:val="20"/>
                <w:szCs w:val="20"/>
                <w:color w:val="auto"/>
              </w:rPr>
            </w:pPr>
            <w:r>
              <w:rPr>
                <w:rFonts w:ascii="Arial" w:cs="Arial" w:eastAsia="Arial" w:hAnsi="Arial"/>
                <w:sz w:val="18"/>
                <w:szCs w:val="18"/>
                <w:color w:val="auto"/>
              </w:rPr>
              <w:t>Description</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5"/>
              </w:rPr>
              <w:t>Herewith</w:t>
            </w:r>
          </w:p>
        </w:tc>
      </w:tr>
      <w:tr>
        <w:trPr>
          <w:trHeight w:val="27"/>
        </w:trPr>
        <w:tc>
          <w:tcPr>
            <w:tcW w:w="1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10.1</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FactSet Research Systems Inc. Executive Severance Plan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3/5/2020</w:t>
            </w:r>
          </w:p>
        </w:tc>
        <w:tc>
          <w:tcPr>
            <w:tcW w:w="94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10.2</w:t>
              </w:r>
            </w:hyperlink>
          </w:p>
        </w:tc>
        <w:tc>
          <w:tcPr>
            <w:tcW w:w="5140" w:type="dxa"/>
            <w:vAlign w:val="bottom"/>
          </w:tcPr>
          <w:p>
            <w:pPr>
              <w:ind w:left="40"/>
              <w:spacing w:after="0"/>
              <w:rPr>
                <w:sz w:val="20"/>
                <w:szCs w:val="20"/>
                <w:color w:val="auto"/>
              </w:rPr>
            </w:pPr>
            <w:r>
              <w:rPr>
                <w:rFonts w:ascii="Arial" w:cs="Arial" w:eastAsia="Arial" w:hAnsi="Arial"/>
                <w:sz w:val="18"/>
                <w:szCs w:val="18"/>
                <w:color w:val="auto"/>
                <w:w w:val="97"/>
              </w:rPr>
              <w:t>Form of FactSet Research Systems Inc. Equity Award Agreement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3/5/2020</w:t>
            </w:r>
          </w:p>
        </w:tc>
        <w:tc>
          <w:tcPr>
            <w:tcW w:w="94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31.1</w:t>
              </w:r>
            </w:hyperlink>
          </w:p>
        </w:tc>
        <w:tc>
          <w:tcPr>
            <w:tcW w:w="5140" w:type="dxa"/>
            <w:vAlign w:val="bottom"/>
          </w:tcPr>
          <w:p>
            <w:pPr>
              <w:ind w:left="40"/>
              <w:spacing w:after="0"/>
              <w:rPr>
                <w:sz w:val="20"/>
                <w:szCs w:val="20"/>
                <w:color w:val="auto"/>
              </w:rPr>
            </w:pPr>
            <w:r>
              <w:rPr>
                <w:rFonts w:ascii="Arial" w:cs="Arial" w:eastAsia="Arial" w:hAnsi="Arial"/>
                <w:sz w:val="18"/>
                <w:szCs w:val="18"/>
                <w:color w:val="auto"/>
                <w:w w:val="99"/>
              </w:rPr>
              <w:t>Certification of the Chief Executive Officer pursuant to Rule 13a-</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14(a) and Rule 15d-14(a) of the Securities Exchange Act, as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31.2</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Rule 13a-</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14(a) and Rule 15d-14(a) of the Securities Exchange Act, as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32.1</w:t>
              </w:r>
            </w:hyperlink>
          </w:p>
        </w:tc>
        <w:tc>
          <w:tcPr>
            <w:tcW w:w="5140" w:type="dxa"/>
            <w:vAlign w:val="bottom"/>
          </w:tcPr>
          <w:p>
            <w:pPr>
              <w:ind w:left="40"/>
              <w:spacing w:after="0"/>
              <w:rPr>
                <w:sz w:val="20"/>
                <w:szCs w:val="20"/>
                <w:color w:val="auto"/>
              </w:rPr>
            </w:pPr>
            <w:r>
              <w:rPr>
                <w:rFonts w:ascii="Arial" w:cs="Arial" w:eastAsia="Arial" w:hAnsi="Arial"/>
                <w:sz w:val="18"/>
                <w:szCs w:val="18"/>
                <w:color w:val="auto"/>
                <w:w w:val="99"/>
              </w:rPr>
              <w:t>Certification of the Chief Executive Officer pursuant to 18 U.S.C.</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1350, as adopted pursuant to Section 906 of the Sarbanes-Oxley Act</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of 2002</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32.2</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18 U.S.C.</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1350, as adopted pursuant to Section 906 of the Sarbanes-Oxley Act</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of 2002</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101.INS</w:t>
            </w:r>
          </w:p>
        </w:tc>
        <w:tc>
          <w:tcPr>
            <w:tcW w:w="5140" w:type="dxa"/>
            <w:vAlign w:val="bottom"/>
          </w:tcPr>
          <w:p>
            <w:pPr>
              <w:ind w:left="40"/>
              <w:spacing w:after="0"/>
              <w:rPr>
                <w:sz w:val="20"/>
                <w:szCs w:val="20"/>
                <w:color w:val="auto"/>
              </w:rPr>
            </w:pPr>
            <w:r>
              <w:rPr>
                <w:rFonts w:ascii="Arial" w:cs="Arial" w:eastAsia="Arial" w:hAnsi="Arial"/>
                <w:sz w:val="18"/>
                <w:szCs w:val="18"/>
                <w:color w:val="212529"/>
                <w:w w:val="93"/>
              </w:rPr>
              <w:t>XBRL Instance Document - The instance document does not appear</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212529"/>
              </w:rPr>
              <w:t>in the interactive data file because its XBRL tags are embedded</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212529"/>
              </w:rPr>
              <w:t>within the Inline XBRL document</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101.SCH</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101.CAL</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101.DEF</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101.LAB</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101.PRE</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104</w:t>
            </w:r>
          </w:p>
        </w:tc>
        <w:tc>
          <w:tcPr>
            <w:tcW w:w="514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as Inline XBRL and</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contained in Exhibit 101)</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Indicates a management contract or compensatory plan or arrangement</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April 9, 2020</w:t>
      </w:r>
      <w:r>
        <w:rPr>
          <w:sz w:val="20"/>
          <w:szCs w:val="20"/>
          <w:color w:val="auto"/>
        </w:rPr>
        <w:tab/>
      </w:r>
      <w:r>
        <w:rPr>
          <w:rFonts w:ascii="Arial" w:cs="Arial" w:eastAsia="Arial" w:hAnsi="Arial"/>
          <w:sz w:val="17"/>
          <w:szCs w:val="17"/>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GREGORY T. MOSKOFF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Gregory T. Moskoff</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Controller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25"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980" w:right="100" w:hanging="486"/>
        <w:spacing w:after="0" w:line="342" w:lineRule="auto"/>
        <w:tabs>
          <w:tab w:leader="none" w:pos="96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right="16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80" w:right="340" w:hanging="486"/>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9,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980" w:right="100" w:hanging="486"/>
        <w:spacing w:after="0" w:line="342" w:lineRule="auto"/>
        <w:tabs>
          <w:tab w:leader="none" w:pos="9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00" w:right="16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right="340" w:hanging="486"/>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9,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6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February 29, 2020, as filed with the Securities and Exchange Commission on the date hereof (the “Report”), I, F. Philip Snow,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F.Philip Snow</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9, 2020</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February 29, 2020, as filed with the Securities and Exchange Commission on the date hereof (the “Report”), I, Helen L. Shan,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9,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endash "/>
      <w:numFmt w:val="bullet"/>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78" Type="http://schemas.openxmlformats.org/officeDocument/2006/relationships/hyperlink" Target="http://www.sec.gov/Archives/edgar/data/1013237/000101323720000045/a101factsetresearchsys.htm" TargetMode="External"/><Relationship Id="rId79" Type="http://schemas.openxmlformats.org/officeDocument/2006/relationships/hyperlink" Target="http://www.sec.gov/Archives/edgar/data/1013237/000101323720000045/a102formoffactsetres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2020-04-09T05:58:37Z</dcterms:created>
  <dcterms:modified xsi:type="dcterms:W3CDTF">2020-04-09T05:58:37Z</dcterms:modified>
</cp:coreProperties>
</file>