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38735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7" w:lineRule="exact"/>
        <w:rPr>
          <w:sz w:val="24"/>
          <w:szCs w:val="24"/>
          <w:color w:val="auto"/>
        </w:rPr>
      </w:pPr>
    </w:p>
    <w:p>
      <w:pPr>
        <w:ind w:left="4100" w:right="1640" w:hanging="4092"/>
        <w:spacing w:after="0" w:line="501" w:lineRule="auto"/>
        <w:tabs>
          <w:tab w:leader="none" w:pos="56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May 31, 2018</w:t>
      </w: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40" w:right="1640" w:hanging="3832"/>
        <w:spacing w:after="0" w:line="501" w:lineRule="auto"/>
        <w:tabs>
          <w:tab w:leader="none" w:pos="57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______to ______</w:t>
      </w: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1-11869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FACTSET RESEARCH SYSTEMS INC.</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386080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43180</wp:posOffset>
            </wp:positionV>
            <wp:extent cx="142367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tbl>
      <w:tblPr>
        <w:tblLayout w:type="fixed"/>
        <w:tblInd w:w="1480" w:type="dxa"/>
        <w:tblCellMar>
          <w:top w:w="0" w:type="dxa"/>
          <w:left w:w="0" w:type="dxa"/>
          <w:bottom w:w="0" w:type="dxa"/>
          <w:right w:w="0" w:type="dxa"/>
        </w:tblCellMar>
      </w:tblPr>
      <w:tr>
        <w:trPr>
          <w:trHeight w:val="220"/>
        </w:trPr>
        <w:tc>
          <w:tcPr>
            <w:tcW w:w="462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13-3362547</w:t>
            </w:r>
          </w:p>
        </w:tc>
      </w:tr>
      <w:tr>
        <w:trPr>
          <w:trHeight w:val="216"/>
        </w:trPr>
        <w:tc>
          <w:tcPr>
            <w:tcW w:w="4620" w:type="dxa"/>
            <w:vAlign w:val="bottom"/>
          </w:tcPr>
          <w:p>
            <w:pPr>
              <w:jc w:val="center"/>
              <w:ind w:right="17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2"/>
              </w:rPr>
              <w:t>(I.R.S. Employer</w:t>
            </w:r>
          </w:p>
        </w:tc>
      </w:tr>
      <w:tr>
        <w:trPr>
          <w:trHeight w:val="230"/>
        </w:trPr>
        <w:tc>
          <w:tcPr>
            <w:tcW w:w="4620" w:type="dxa"/>
            <w:vAlign w:val="bottom"/>
          </w:tcPr>
          <w:p>
            <w:pPr>
              <w:jc w:val="center"/>
              <w:ind w:right="177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7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62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601 Merritt 7, Norwalk, Connecticut</w:t>
            </w:r>
          </w:p>
        </w:tc>
        <w:tc>
          <w:tcPr>
            <w:tcW w:w="3140" w:type="dxa"/>
            <w:vAlign w:val="bottom"/>
          </w:tcPr>
          <w:p>
            <w:pPr>
              <w:jc w:val="center"/>
              <w:ind w:left="1730"/>
              <w:spacing w:after="0"/>
              <w:rPr>
                <w:sz w:val="20"/>
                <w:szCs w:val="20"/>
                <w:color w:val="auto"/>
              </w:rPr>
            </w:pPr>
            <w:r>
              <w:rPr>
                <w:rFonts w:ascii="Arial" w:cs="Arial" w:eastAsia="Arial" w:hAnsi="Arial"/>
                <w:sz w:val="18"/>
                <w:szCs w:val="18"/>
                <w:b w:val="1"/>
                <w:bCs w:val="1"/>
                <w:color w:val="auto"/>
                <w:w w:val="87"/>
              </w:rPr>
              <w:t>06851</w:t>
            </w:r>
          </w:p>
        </w:tc>
      </w:tr>
      <w:tr>
        <w:trPr>
          <w:trHeight w:val="230"/>
        </w:trPr>
        <w:tc>
          <w:tcPr>
            <w:tcW w:w="4620" w:type="dxa"/>
            <w:vAlign w:val="bottom"/>
          </w:tcPr>
          <w:p>
            <w:pPr>
              <w:jc w:val="center"/>
              <w:ind w:right="1730"/>
              <w:spacing w:after="0"/>
              <w:rPr>
                <w:sz w:val="20"/>
                <w:szCs w:val="20"/>
                <w:color w:val="auto"/>
              </w:rPr>
            </w:pPr>
            <w:r>
              <w:rPr>
                <w:rFonts w:ascii="Arial" w:cs="Arial" w:eastAsia="Arial" w:hAnsi="Arial"/>
                <w:sz w:val="18"/>
                <w:szCs w:val="18"/>
                <w:color w:val="auto"/>
                <w:w w:val="93"/>
              </w:rPr>
              <w:t>(Address of principal executive office)</w:t>
            </w:r>
          </w:p>
        </w:tc>
        <w:tc>
          <w:tcPr>
            <w:tcW w:w="3140" w:type="dxa"/>
            <w:vAlign w:val="bottom"/>
          </w:tcPr>
          <w:p>
            <w:pPr>
              <w:jc w:val="center"/>
              <w:ind w:left="17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810-1000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40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ind w:right="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91" w:lineRule="exact"/>
        <w:rPr>
          <w:sz w:val="24"/>
          <w:szCs w:val="24"/>
          <w:color w:val="auto"/>
        </w:rPr>
      </w:pPr>
    </w:p>
    <w:p>
      <w:pPr>
        <w:jc w:val="center"/>
        <w:ind w:right="-59"/>
        <w:spacing w:after="0" w:line="207"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$.01 par value, as of June 29, 2018 was 38,358,449.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 Ended May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Index</w:t>
            </w:r>
          </w:p>
        </w:tc>
        <w:tc>
          <w:tcPr>
            <w:tcW w:w="9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Statements of Income for the three and nine months ended May 31, 2018 and 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Statements of Comprehensive Income for the three and nine months ended May 31, 2018 and 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Balance Sheets at May 31, 2018 and August 31, 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Statements of Cash Flows for the nine months ended May 31, 2018 and 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Notes to the Consolidated Financial Statements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Controls and Procedures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INFORMATION</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1.</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Proceedings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Item 1A.</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2.</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3.</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Defaults Upon Senior Securities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4.</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 Safety Disclosures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5.</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Item 6.</w:t>
            </w: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Exhibits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Signatures</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For additional information about FactSet Research Systems Inc. and access to its Annual Reports to Stockholders and Securities and Exchange Commission filings, free of charge, please visit the website at </w:t>
      </w:r>
      <w:r>
        <w:rPr>
          <w:rFonts w:ascii="Arial" w:cs="Arial" w:eastAsia="Arial" w:hAnsi="Arial"/>
          <w:sz w:val="18"/>
          <w:szCs w:val="18"/>
          <w:u w:val="single" w:color="auto"/>
          <w:color w:val="auto"/>
        </w:rPr>
        <w:t>http://investor.factset.com</w:t>
      </w:r>
      <w:r>
        <w:rPr>
          <w:rFonts w:ascii="Arial" w:cs="Arial" w:eastAsia="Arial" w:hAnsi="Arial"/>
          <w:sz w:val="18"/>
          <w:szCs w:val="18"/>
          <w:color w:val="auto"/>
        </w:rPr>
        <w:t>. Any information on or linked from the website is not incorporated by reference into this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8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339,911</w:t>
            </w:r>
          </w:p>
        </w:tc>
        <w:tc>
          <w:tcPr>
            <w:tcW w:w="3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312,120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1,004,283</w:t>
            </w:r>
          </w:p>
        </w:tc>
        <w:tc>
          <w:tcPr>
            <w:tcW w:w="3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146,426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489,829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78,052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236,606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219,519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726,435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income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277,848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expense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business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(2,413)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(9,945)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other expense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before income taxes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85,229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267,903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ind w:left="64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74,746</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65,414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198,262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39,317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Diluted weighted average common shares</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39,104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39,457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39,543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2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May 31,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74,746</w:t>
            </w:r>
          </w:p>
        </w:tc>
        <w:tc>
          <w:tcPr>
            <w:tcW w:w="3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65,414</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198,262</w:t>
            </w:r>
          </w:p>
        </w:tc>
        <w:tc>
          <w:tcPr>
            <w:tcW w:w="3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unrealized (loss) gain on cash flow hedges*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2,385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ind w:left="800"/>
              <w:spacing w:after="0"/>
              <w:rPr>
                <w:sz w:val="20"/>
                <w:szCs w:val="20"/>
                <w:color w:val="auto"/>
              </w:rPr>
            </w:pPr>
            <w:r>
              <w:rPr>
                <w:rFonts w:ascii="Arial" w:cs="Arial" w:eastAsia="Arial" w:hAnsi="Arial"/>
                <w:sz w:val="18"/>
                <w:szCs w:val="18"/>
                <w:color w:val="auto"/>
              </w:rPr>
              <w:t>Other comprehensive (loss) income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(22,487)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23,701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52,259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89,115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191,897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8"/>
        <w:spacing w:after="0" w:line="342" w:lineRule="auto"/>
        <w:tabs>
          <w:tab w:leader="none" w:pos="1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 the three and nine months ended May 31, 2018, the unrealized loss on cash flow hedges was net of a tax benefit of $976 and $2,166, respectively. For the three and nine months ended May 31, 2017, the unrealized gain on cash flow hedges was net of a tax expense of $1,485 and $2,561,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May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3"/>
              </w:rPr>
              <w:t>(Unaudited)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213,061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30,485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Accounts receivable, net of reserves of $3,446 at May 31, 2018 and $2,738 at August 31, 2017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145,255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148,331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429,610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Property, equipment and leasehold improvements,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94,380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704,807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155,776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14,683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1,407,172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1,413,315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62,772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57,528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Taxes payable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12,670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197,793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574,739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7,007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Deferred rent and other non-current liabilities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39,663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871,839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853,624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Commitments and contingencies (See Note 17)</w:t>
            </w: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$.01 par value, 10,000,000 shares authorized, none issued</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$.01 par value, 150,000,000 shares authorized, 39,124,581 and 51,845,132 shares issued;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w w:val="96"/>
              </w:rPr>
              <w:t>38,384,581 and 39,023,032 shares outstanding at May 31, 2018 and August 31, 2017, respectively</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642,906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w w:val="90"/>
              </w:rPr>
              <w:t>Treasury stock, at cost: 740,000 and 12,822,100 shares at May 31, 2018 and August 31, 2017, respectively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(145,342)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(1,606,678)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(41,085)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535,333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1,407,172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FactSet Research Systems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9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4"/>
          </w:tcPr>
          <w:p>
            <w:pPr>
              <w:jc w:val="right"/>
              <w:ind w:right="180"/>
              <w:spacing w:after="0"/>
              <w:rPr>
                <w:sz w:val="20"/>
                <w:szCs w:val="20"/>
                <w:color w:val="auto"/>
              </w:rPr>
            </w:pPr>
            <w:r>
              <w:rPr>
                <w:rFonts w:ascii="Arial" w:cs="Arial" w:eastAsia="Arial" w:hAnsi="Arial"/>
                <w:sz w:val="18"/>
                <w:szCs w:val="18"/>
                <w:color w:val="auto"/>
              </w:rPr>
              <w:t>May 31,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198,262</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42,848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Loss on sale of business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Loss on disposition of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benefits from share-based payment arrangements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 of reserves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fees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payable, net of prepaid taxes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(11,503)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 and other non-current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Other working capital accounts,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Proceeds from sales of investments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leasehold improvements, net of proceeds from dispositions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(18,111)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(334,407)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(235,869)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Tax benefits from share-based payment arrangements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by financing activities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(241,159)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18,330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194,731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228,407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213,061</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161,758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FactSet Research Systems Inc. (the “Company” or “FactSet”) is a global provider of integrated financial information, analytical applications and industry-leading service for the global investment community. The Company delivers insight and information to investment professionals through its analytics, service, content, and technology. These professionals include portfolio managers, investment research professionals, investment bankers, risk and performance analysts, and wealth advisors. From streaming real-time data to historical information, including quotes, estimates, news and commentary, FactSet offers unique and third-party content through desktop, web, mobile and off-platform solutions. The Company’s broad application suite offers tools and resources including company and industry analyses, full screening tools, portfolio analysis, risk profiles, alpha-testing, portfolio optimization and research management solutions. With recent acquisitions, FactSet has continued to expand its solutions across the investment lifecycle from idea generation to performance and client reporting. The Company’s revenues are primarily derived from subscriptions to products and services such as workstations, analytics, enterprise data, research management, and trade execution.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FactSet conducts business globally and is managed on a geographic basis. The accompanying consolidated financial statements include the accounts of the Company and its wholly owned subsidiaries. All intercompany activity and balances have been eliminated from the consolidated financial statements.</w:t>
      </w:r>
    </w:p>
    <w:p>
      <w:pPr>
        <w:spacing w:after="0" w:line="124"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unaudited condensed consolidated financial statements of FactSet and the accompanying notes included in this Quarterly Report on Form 10-Q are prepared in accordance with generally accepted accounting principles in the United States ("GAAP"). In the opinion of management, the accompanying condensed consolidated financial statements include all normal recurring adjustments, transactions or events discretely impacting the interim periods considered necessary to fairly state our results of operations, financial position and cash flows. The information in this Form 10-Q should be read in conjunction with the consolidated financial statements and notes thereto included in the Company’s Annual Report on Form 10-K for the fiscal year ended August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that the financial statements were issued.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 ACCOUNTING PRONOUNCEMENTS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May 31, 2018, FactSet implemented all applicable new accounting standards and updates issued by the Financial Accounting Standards Board (“FASB”) that were in effect. There were no new standards or updates adopted during the first nine months of fiscal 2018 that had a material impact on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Standards or Updates Recently Adopted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During the first quarter of fiscal 2018, FactSet adopted the accounting standard update issued by the FASB in November 2015 to simplify the presentation of deferred taxes on the balance sheet. This accounting standard update required an entity to present all deferred tax assets and deferred tax liabilities as non-current on the balance sheet. Under the previous guidance, entities were required to separately present deferred taxes as current or non-current. Netting deferred tax assets and deferred tax liabilities by tax jurisdiction is still required under the new guidance. This accounting standard update is a change to the balance sheet presentation only. The changes have been applied prospectively as permitted by the standard and prior periods have not been restated.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During the first quarter of fiscal 2018, FactSet adopted the accounting standard update issued by the FASB in March 2016, which simplifies several aspects of the accounting for employee share-based payment transactions, including the accounting for income taxes, forfeitures and statutory tax withholding requirements, as well as classification in the statement of cash flows. This accounting standard update increases the volatility within the Company’s provision for income taxes as all excess tax benefits or deficiencies related to share-based payments that were previously reported within equity are now recognized in the consolidated statement of income. The adoption of this standard resulted in the recognition of $7.1 million of excess tax benefits to FactSet’s provision for income taxes during the first nine months of fiscal 2018. In addition, this standard changed the classification of excess tax benefits presented in the Company's consolidated statements of cash flows from a financing activity to an operating activity, which was applied on a prospective basis as permitted by the standard. Prior periods were not restated. Share-based payment expense continues to reflect estimated forfeitures of share-based payment awards. The remaining provisions of this standard did not have a material impact on the Company’s consolidated financial statements.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During the third quarter of fiscal 2018, FactSet adopted the accounting standard update issued by the FASB in March 2018, which provides guidance related to income tax accounting implications under the Tax Cuts and Jobs Act (“TCJA”) enacted on December 22, 2017, effective January 1, 2018. Areas of clarification under the update are the measurement period timeframe, changes in subsequent reporting periods, and reporting requirements as they relate to the TCJA. Due to the complexity of the TCJA, the standard update allows companies to record provisional amounts, or reasonable estimates of the tax effects of the TCJA during a measurement period not to exceed one year from the enactment date. As a result of the TCJA, FactSet recorded a one-time transition tax expense of $23.2 million and a non-recurring $2.2 million tax expense related to the remeasurement of the net U.S. deferred tax position during the second quarter of fiscal 2018. The Company will continue to analyze the TCJA and related accounting guidance and interpretations in order to finalize any impacts within the one-year measurement period from the TCJA enactment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or Updates Not Yet Effective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May 2014 and July 2015, the FASB issued accounting standard updates, which clarified principles for recognizing revenue arising from contracts with clients and superseded most current revenue recognition guidance, including industry-specific guidance. The core principle of the revenue model is that an entity recognizes revenue to depict the transfer of promised goods or services to clients in an amount that reflects the consideration to which the entity expects to be entitled in exchange for those goods or services. The new guidance also requires increased disclosures including the nature, amount, timing, and uncertainty of revenues and cash flows related to contracts with clients. In addition to a potential change in the timing of revenue recognition, the new standard will require incremental contract acquisition costs (such as sales commissions) for client sales to be capitalized and amortized over the contract period. Currently these costs are expensed as incurred. Contract acquisition costs, such as sales commissions, have historically not been material to FactSet, thus a change in the accounting for them is not expected to have a material impact to the Company. FactSet is on schedule in establishing new accounting policies, refining existing processes, and ensuring internal controls necessary to support the requirements of the new standard are in place.</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standard allows two methods of adoption: i) retrospectively to each prior period presented (“full retrospective method”), or ii) retrospectively with the cumulative effect recognized in retained earnings as of the date of adoption ("modified retrospective method"). FactSet plans to adopt the new standard using the modified retrospective method at the beginning of its first quarter of fiscal 2019. The Company is currently evaluating the impact of these accounting standard updates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January 2016, the FASB issued an accounting standard update to amend its current guidance on the classification and measurement of certain financial instruments. The accounting standard update significantly revises an entity’s accounting related to the presentation of certain fair value changes for financial liabilities measured at fair value. This guidance also amends certain disclosure requirements associated with the fair value of financial instruments. This guidance will be effective for FactSet beginning in the first quarter of fiscal 2019. The Company is currently evaluating the impact of this accounting standard update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February 2016, the FASB issued an accounting standard update related to accounting for leases. The guidance introduces a lessee model that requires most leases to be reported on the balance sheet. The accounting standard update aligns many of the underlying principles of the new lessor model with those in the FASB’s new revenue recognition standard. The guidance also eliminates the requirement in current U.S. GAAP for an entity to use bright-line tests in determining lease classification. This accounting standard update will be effective for FactSet beginning in the first quarter of fiscal 2020, with early adoption in fiscal 2019 permitted. The Company is currently evaluating the impact of this accounting standard update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Simplification</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August 2016, the FASB issued an accounting standard update, which simplifies how certain transactions are classified in the statement of cash flows. This includes revised guidance on the cash flow classification of debt prepayments and debt extinguishment costs, contingent consideration payments made after a business combination and distributions received from equity method investments. The guidance is intended to reduce diversity in practice across all industries. This accounting standard update will be effective for FactSet beginning in the first quarter of fiscal 2019. The Company is currently evaluating the impact of this accounting standard update on its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Income Taxes on Intra-Entity Transfers of Assets</w:t>
      </w:r>
    </w:p>
    <w:p>
      <w:pPr>
        <w:spacing w:after="0" w:line="2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October 2016, the FASB issued an accounting standard update, which removes the prohibition against the immediate recognition of the current and deferred income tax effects of intra-entity transfers of assets other than inventory. The guidance is intended to reduce diversity in practice related to the tax consequences of certain types of intra-entity asset transfers, particularly those involving intellectual property. This accounting standard update will be effective for FactSet beginning in the first quarter of fiscal 2019. The Company is currently evaluating the impact of this accounting standard update on its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w:t>
      </w:r>
    </w:p>
    <w:p>
      <w:pPr>
        <w:spacing w:after="0" w:line="2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color w:val="auto"/>
        </w:rPr>
        <w:t>In January 2017, the FASB issued an accounting standard update,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This accounting standard update will be effective for FactSet beginning in the first quarter of fiscal 2021, with early adoption permitted for any impairment tests performed after January 1, 2017. The Company is currently evaluating the impact of this accounting standard update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Simplification</w:t>
      </w:r>
    </w:p>
    <w:p>
      <w:pPr>
        <w:spacing w:after="0" w:line="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August 2017, the FASB issued an accounting standard update to reduce the complexity and simplify the application of hedging accounting. The guidance refines and expands hedge accounting for both financial and nonfinancial risk components, eliminates the need to separately measure and report hedge ineffectiveness, and aligns the recognition and presentation of the effects of the hedging instrument and the hedged item in the financial statements. This guidance will be effective for FactSet beginning in the first quarter of fiscal 2020, with early adoption permitted. The Company is currently evaluating the impact of this accounting standard update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May 2017, the FASB issued an accounting standard update, which amends the scope of modification accounting for share-based payment arrangements. The guidance focuses on changes to the terms or conditions of share-based payment awards that would require the application of modification accounting and specifies that an entity would not apply modification accounting if the fair value, vesting conditions and classification of the awards are the same immediately before and after the modification. This accounting standard update will be effective for FactSet beginning in the first quarter of fiscal 2019, with early adoption permitted. The Company is currently evaluating the impact of this accounting standard update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February 2018, the FASB issued an accounting standard update, which allows companies to reclassify certain stranded income tax effects resulting from the enactment of the Tax Cuts and Jobs Act (the "TCJA") from accumulated other comprehensive income to retained earnings. This accounting standard update will be effective for FactSet beginning in the first quarter of fiscal 2019, with early adoption permitted. The Company is currently evaluating the impact of this accounting standard update on its consolidated financial statements.</w:t>
      </w:r>
    </w:p>
    <w:p>
      <w:pPr>
        <w:spacing w:after="0" w:line="1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other new accounting pronouncements issued or effective as of May 31, 2018 have had or are expected to have an impact on the Company’s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Company considers the principal or most advantageous market in which it would transact and considers assumptions that market participants would use when pricing the asset or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their placement within the fair value hierarchy levels. FactSet has categorized its cash equivalents, investments and derivatives within the fair value hierarchy as follows: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Level 1</w:t>
      </w:r>
      <w:r>
        <w:rPr>
          <w:rFonts w:ascii="Arial" w:cs="Arial" w:eastAsia="Arial" w:hAnsi="Arial"/>
          <w:sz w:val="18"/>
          <w:szCs w:val="18"/>
          <w:i w:val="1"/>
          <w:iCs w:val="1"/>
          <w:color w:val="auto"/>
        </w:rPr>
        <w:t xml:space="preserve"> </w:t>
      </w:r>
      <w:r>
        <w:rPr>
          <w:rFonts w:ascii="Arial" w:cs="Arial" w:eastAsia="Arial" w:hAnsi="Arial"/>
          <w:sz w:val="18"/>
          <w:szCs w:val="18"/>
          <w:color w:val="auto"/>
        </w:rPr>
        <w:t>– applies to assets or liabilities for which there are quoted prices in active markets for identical assets or liabilities. These Level 1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Company’s corporate money market funds that are classified as cash equivalents.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9" w:name="page10"/>
    <w:bookmarkEnd w:id="9"/>
    <w:p>
      <w:pPr>
        <w:ind w:right="20"/>
        <w:spacing w:after="0" w:line="279" w:lineRule="auto"/>
        <w:rPr>
          <w:sz w:val="20"/>
          <w:szCs w:val="20"/>
          <w:color w:val="auto"/>
        </w:rPr>
      </w:pPr>
      <w:r>
        <w:rPr>
          <w:rFonts w:ascii="Arial" w:cs="Arial" w:eastAsia="Arial" w:hAnsi="Arial"/>
          <w:sz w:val="17"/>
          <w:szCs w:val="17"/>
          <w:i w:val="1"/>
          <w:iCs w:val="1"/>
          <w:u w:val="single" w:color="auto"/>
          <w:color w:val="auto"/>
        </w:rPr>
        <w:t>Level 2</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inputs other than quoted prices that are observable for the asset or liability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u w:val="single" w:color="auto"/>
          <w:color w:val="auto"/>
        </w:rPr>
        <w:t>Level 3</w:t>
      </w:r>
      <w:r>
        <w:rPr>
          <w:rFonts w:ascii="Arial" w:cs="Arial" w:eastAsia="Arial" w:hAnsi="Arial"/>
          <w:sz w:val="17"/>
          <w:szCs w:val="17"/>
          <w:i w:val="1"/>
          <w:iCs w:val="1"/>
          <w:color w:val="auto"/>
        </w:rPr>
        <w:t xml:space="preserve"> </w:t>
      </w:r>
      <w:r>
        <w:rPr>
          <w:rFonts w:ascii="Arial" w:cs="Arial" w:eastAsia="Arial" w:hAnsi="Arial"/>
          <w:sz w:val="17"/>
          <w:szCs w:val="17"/>
          <w:color w:val="auto"/>
        </w:rPr>
        <w:t>– applies to assets or liabilities for which there are unobservable inputs to the valuation methodology that are significant to the measurement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the assets or liabilities. There were no Level 3 assets or liabilities held by the Company as of May 31, 2018 or August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shows by level within the fair value hierarchy the Company’s assets and liabilities that are measured at fair value on a recurring basis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31, 2018 and August 31, 2017:</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80" w:type="dxa"/>
            <w:vAlign w:val="bottom"/>
            <w:gridSpan w:val="11"/>
          </w:tcPr>
          <w:p>
            <w:pPr>
              <w:jc w:val="right"/>
              <w:ind w:right="340"/>
              <w:spacing w:after="0"/>
              <w:rPr>
                <w:sz w:val="20"/>
                <w:szCs w:val="20"/>
                <w:color w:val="auto"/>
              </w:rPr>
            </w:pPr>
            <w:r>
              <w:rPr>
                <w:rFonts w:ascii="Arial" w:cs="Arial" w:eastAsia="Arial" w:hAnsi="Arial"/>
                <w:sz w:val="18"/>
                <w:szCs w:val="18"/>
                <w:color w:val="auto"/>
              </w:rPr>
              <w:t>Fair Value Measurements at May 31, 2018</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14,128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19,479</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11,007</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14,128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33,001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80" w:type="dxa"/>
            <w:vAlign w:val="bottom"/>
            <w:gridSpan w:val="11"/>
          </w:tcPr>
          <w:p>
            <w:pPr>
              <w:jc w:val="right"/>
              <w:ind w:right="240"/>
              <w:spacing w:after="0"/>
              <w:rPr>
                <w:sz w:val="20"/>
                <w:szCs w:val="20"/>
                <w:color w:val="auto"/>
              </w:rPr>
            </w:pPr>
            <w:r>
              <w:rPr>
                <w:rFonts w:ascii="Arial" w:cs="Arial" w:eastAsia="Arial" w:hAnsi="Arial"/>
                <w:sz w:val="18"/>
                <w:szCs w:val="18"/>
                <w:color w:val="auto"/>
              </w:rPr>
              <w:t>Fair Value Measurements at August 31, 2017</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gridSpan w:val="4"/>
          </w:tcPr>
          <w:p>
            <w:pPr>
              <w:spacing w:after="0"/>
              <w:rPr>
                <w:sz w:val="20"/>
                <w:szCs w:val="20"/>
                <w:color w:val="auto"/>
              </w:rPr>
            </w:pPr>
            <w:r>
              <w:rPr>
                <w:rFonts w:ascii="Arial" w:cs="Arial" w:eastAsia="Arial" w:hAnsi="Arial"/>
                <w:sz w:val="18"/>
                <w:szCs w:val="18"/>
                <w:i w:val="1"/>
                <w:iCs w:val="1"/>
                <w:color w:val="auto"/>
              </w:rPr>
              <w:t>(in thousands)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Level 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1"/>
              </w:rPr>
              <w:t>Assets</w:t>
            </w:r>
          </w:p>
        </w:tc>
        <w:tc>
          <w:tcPr>
            <w:tcW w:w="4260" w:type="dxa"/>
            <w:vAlign w:val="bottom"/>
            <w:tcBorders>
              <w:top w:val="single" w:sz="8" w:color="auto"/>
              <w:bottom w:val="single" w:sz="8" w:color="CCEEFF"/>
            </w:tcBorders>
            <w:gridSpan w:val="2"/>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Corporate money market funds </w:t>
            </w:r>
            <w:r>
              <w:rPr>
                <w:rFonts w:ascii="Arial" w:cs="Arial" w:eastAsia="Arial" w:hAnsi="Arial"/>
                <w:sz w:val="29"/>
                <w:szCs w:val="29"/>
                <w:color w:val="auto"/>
                <w:vertAlign w:val="superscript"/>
              </w:rPr>
              <w:t>(1)</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Mutual Funds </w:t>
            </w:r>
            <w:r>
              <w:rPr>
                <w:rFonts w:ascii="Arial" w:cs="Arial" w:eastAsia="Arial" w:hAnsi="Arial"/>
                <w:sz w:val="29"/>
                <w:szCs w:val="29"/>
                <w:color w:val="auto"/>
                <w:vertAlign w:val="superscript"/>
              </w:rPr>
              <w:t>(2)</w:t>
            </w:r>
          </w:p>
        </w:tc>
        <w:tc>
          <w:tcPr>
            <w:tcW w:w="1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18,364</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9"/>
                <w:szCs w:val="29"/>
                <w:color w:val="auto"/>
                <w:vertAlign w:val="superscript"/>
              </w:rPr>
              <w:t>(3)</w:t>
            </w: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14,080</w:t>
            </w:r>
          </w:p>
        </w:tc>
        <w:tc>
          <w:tcPr>
            <w:tcW w:w="200" w:type="dxa"/>
            <w:vAlign w:val="bottom"/>
          </w:tcPr>
          <w:p>
            <w:pPr>
              <w:spacing w:after="0"/>
              <w:rPr>
                <w:sz w:val="22"/>
                <w:szCs w:val="22"/>
                <w:color w:val="auto"/>
              </w:rPr>
            </w:pP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assets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26,677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38,586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20" w:type="dxa"/>
            <w:vAlign w:val="bottom"/>
            <w:gridSpan w:val="3"/>
            <w:shd w:val="clear" w:color="auto" w:fill="CCEEFF"/>
          </w:tcPr>
          <w:p>
            <w:pPr>
              <w:spacing w:after="0" w:line="243" w:lineRule="exact"/>
              <w:rPr>
                <w:sz w:val="20"/>
                <w:szCs w:val="20"/>
                <w:color w:val="auto"/>
              </w:rPr>
            </w:pPr>
            <w:r>
              <w:rPr>
                <w:rFonts w:ascii="Arial" w:cs="Arial" w:eastAsia="Arial" w:hAnsi="Arial"/>
                <w:sz w:val="17"/>
                <w:szCs w:val="17"/>
                <w:color w:val="auto"/>
              </w:rPr>
              <w:t xml:space="preserve">Derivative instruments </w:t>
            </w:r>
            <w:r>
              <w:rPr>
                <w:rFonts w:ascii="Arial" w:cs="Arial" w:eastAsia="Arial" w:hAnsi="Arial"/>
                <w:sz w:val="28"/>
                <w:szCs w:val="28"/>
                <w:color w:val="auto"/>
                <w:vertAlign w:val="superscript"/>
              </w:rPr>
              <w:t>(4)</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60" w:type="dxa"/>
            <w:vAlign w:val="bottom"/>
            <w:gridSpan w:val="2"/>
          </w:tcPr>
          <w:p>
            <w:pPr>
              <w:ind w:left="180"/>
              <w:spacing w:after="0"/>
              <w:rPr>
                <w:sz w:val="20"/>
                <w:szCs w:val="20"/>
                <w:color w:val="auto"/>
              </w:rPr>
            </w:pPr>
            <w:r>
              <w:rPr>
                <w:rFonts w:ascii="Arial" w:cs="Arial" w:eastAsia="Arial" w:hAnsi="Arial"/>
                <w:sz w:val="18"/>
                <w:szCs w:val="18"/>
                <w:i w:val="1"/>
                <w:iCs w:val="1"/>
                <w:color w:val="auto"/>
              </w:rPr>
              <w:t>Total liabilities measured at fair value</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00" w:right="40" w:hanging="330"/>
        <w:spacing w:after="0" w:line="209" w:lineRule="auto"/>
        <w:tabs>
          <w:tab w:leader="none" w:pos="500" w:val="left"/>
        </w:tabs>
        <w:numPr>
          <w:ilvl w:val="0"/>
          <w:numId w:val="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Company’s corporate money market funds are traded in an active market and the net asset value of each fund on the last day of the quarter is used to determine its fair value. As such, the Company’s corporate money market funds are classified as Level 1 and included in cash and cash equivalents on the Consolidated Balance Sheets.</w:t>
      </w:r>
    </w:p>
    <w:p>
      <w:pPr>
        <w:spacing w:after="0" w:line="203" w:lineRule="exact"/>
        <w:rPr>
          <w:rFonts w:ascii="Arial" w:cs="Arial" w:eastAsia="Arial" w:hAnsi="Arial"/>
          <w:sz w:val="30"/>
          <w:szCs w:val="30"/>
          <w:i w:val="1"/>
          <w:iCs w:val="1"/>
          <w:color w:val="auto"/>
          <w:vertAlign w:val="superscript"/>
        </w:rPr>
      </w:pPr>
    </w:p>
    <w:p>
      <w:pPr>
        <w:ind w:left="500" w:right="180" w:hanging="330"/>
        <w:spacing w:after="0" w:line="238" w:lineRule="auto"/>
        <w:tabs>
          <w:tab w:leader="none" w:pos="500" w:val="left"/>
        </w:tabs>
        <w:numPr>
          <w:ilvl w:val="0"/>
          <w:numId w:val="4"/>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left="500" w:right="500" w:hanging="330"/>
        <w:spacing w:after="0" w:line="209" w:lineRule="auto"/>
        <w:tabs>
          <w:tab w:leader="none" w:pos="500" w:val="left"/>
        </w:tabs>
        <w:numPr>
          <w:ilvl w:val="0"/>
          <w:numId w:val="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Company’s certificates of deposit held for investment are not debt securities and are classified as Level 2. These certificates of deposit have original maturities greater than three months, but less than one year and, as such, are classified as investments (short-term) on the Consolidated Balance Sheets.</w:t>
      </w:r>
    </w:p>
    <w:p>
      <w:pPr>
        <w:spacing w:after="0" w:line="203" w:lineRule="exact"/>
        <w:rPr>
          <w:rFonts w:ascii="Arial" w:cs="Arial" w:eastAsia="Arial" w:hAnsi="Arial"/>
          <w:sz w:val="30"/>
          <w:szCs w:val="30"/>
          <w:i w:val="1"/>
          <w:iCs w:val="1"/>
          <w:color w:val="auto"/>
          <w:vertAlign w:val="superscript"/>
        </w:rPr>
      </w:pPr>
    </w:p>
    <w:p>
      <w:pPr>
        <w:ind w:left="500" w:right="20" w:hanging="330"/>
        <w:spacing w:after="0" w:line="209" w:lineRule="auto"/>
        <w:tabs>
          <w:tab w:leader="none" w:pos="500" w:val="left"/>
        </w:tabs>
        <w:numPr>
          <w:ilvl w:val="0"/>
          <w:numId w:val="5"/>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The Company utilizes the income approach to measure fair value for its derivative instruments (foreign currency forward contracts). The income approach uses pricing models that rely on market observable inputs such as spot, forward and interest rates, as well as credit default swap spreads and therefore, are classified as Level 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transfers between Level 1 and Level 2 fair value measurements during the periods presented.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Assets and Liabilities Measured at Fair Value on a Non-recurring Basis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assets, including goodwill and intangible assets, and liabilities, are measured at fair value on a non-recurring basis; that is, the assets and liabilities are not measured at fair value on an ongoing basis but are subject to fair value adjustments in certain circumstances such as when they are deemed to be other-than-temporarily impaired. The fair values of these non-financial assets and liabilities are determined based on valuation techniques using the best information available and may include quoted market prices, market comparables, and discounted cash flow projections. An impairment charge is recorded when the cost exceeds its fair value, based upon the results of such valuations. During the nine months ended May 31, 2018, no fair value adjustments or material fair value measurements were required for the Company’s non-financial assets or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Assets and Liabilities Measured at Fair Value for Disclosure Purposes Only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May 31, 2018, and August 31, 2017, the fair value of the Company’s long-term debt was $575.0 million, respectively, which approximated its carrying amount given its floating interest rate basis. The fair value of the Company’s long-term debt was determined based on quoted market prices for debt with a similar maturity, and thus categorized as Level 2 in the fair value hierarchy.</w:t>
      </w:r>
    </w:p>
    <w:p>
      <w:pPr>
        <w:spacing w:after="0" w:line="200" w:lineRule="exact"/>
        <w:rPr>
          <w:sz w:val="20"/>
          <w:szCs w:val="20"/>
          <w:color w:val="auto"/>
        </w:rPr>
      </w:pPr>
    </w:p>
    <w:p>
      <w:pPr>
        <w:spacing w:after="0" w:line="220" w:lineRule="exact"/>
        <w:rPr>
          <w:sz w:val="20"/>
          <w:szCs w:val="20"/>
          <w:color w:val="auto"/>
        </w:rPr>
      </w:pPr>
    </w:p>
    <w:p>
      <w:pPr>
        <w:ind w:right="876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Cash Flow Hedges</w:t>
      </w:r>
    </w:p>
    <w:p>
      <w:pPr>
        <w:spacing w:after="0" w:line="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FactSet conducts business outside the U.S. in several currencies including the British Pound Sterling, Euro, Indian Rupee, Japanese Yen and Philippine Peso. As such, it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hedged exposure affects earnings. There was no discontinuance of cash flow hedges during the first nine months of fiscal 2018 and 2017, and as such, no corresponding gains or losses related to changes in the value of the Company’s contracts were reclassified into earnings prior to settlement.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2018, FactSet maintained the following foreign currency forward contracts to hedge its exposures:</w:t>
      </w:r>
    </w:p>
    <w:p>
      <w:pPr>
        <w:spacing w:after="0" w:line="225" w:lineRule="exact"/>
        <w:rPr>
          <w:sz w:val="20"/>
          <w:szCs w:val="20"/>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Indian Rupee </w:t>
      </w:r>
      <w:r>
        <w:rPr>
          <w:rFonts w:ascii="Arial" w:cs="Arial" w:eastAsia="Arial" w:hAnsi="Arial"/>
          <w:sz w:val="18"/>
          <w:szCs w:val="18"/>
          <w:color w:val="auto"/>
        </w:rPr>
        <w:t>- foreign currency forward contracts to hedge approximately 75% of its Indian Rupee exposure through the third quarter of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50% of its exposure from the fourth quarter of fiscal 2019 through the end of the second quarter of fiscal 2020.</w:t>
      </w:r>
    </w:p>
    <w:p>
      <w:pPr>
        <w:spacing w:after="0" w:line="170" w:lineRule="exact"/>
        <w:rPr>
          <w:rFonts w:ascii="Arial" w:cs="Arial" w:eastAsia="Arial" w:hAnsi="Arial"/>
          <w:sz w:val="18"/>
          <w:szCs w:val="18"/>
          <w:i w:val="1"/>
          <w:iCs w:val="1"/>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Philippine Peso </w:t>
      </w:r>
      <w:r>
        <w:rPr>
          <w:rFonts w:ascii="Arial" w:cs="Arial" w:eastAsia="Arial" w:hAnsi="Arial"/>
          <w:sz w:val="18"/>
          <w:szCs w:val="18"/>
          <w:color w:val="auto"/>
        </w:rPr>
        <w:t>- foreign currency forward contracts to hedge approximately 75% of its Philippine Peso exposure through the fourth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all hedging positions and corresponding fair values: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6"/>
          </w:tcPr>
          <w:p>
            <w:pPr>
              <w:ind w:left="200"/>
              <w:spacing w:after="0"/>
              <w:rPr>
                <w:sz w:val="20"/>
                <w:szCs w:val="20"/>
                <w:color w:val="auto"/>
              </w:rPr>
            </w:pPr>
            <w:r>
              <w:rPr>
                <w:rFonts w:ascii="Arial" w:cs="Arial" w:eastAsia="Arial" w:hAnsi="Arial"/>
                <w:sz w:val="18"/>
                <w:szCs w:val="18"/>
                <w:color w:val="auto"/>
              </w:rPr>
              <w:t>Gross Notional Value</w:t>
            </w:r>
          </w:p>
        </w:tc>
        <w:tc>
          <w:tcPr>
            <w:tcW w:w="420" w:type="dxa"/>
            <w:vAlign w:val="bottom"/>
          </w:tcPr>
          <w:p>
            <w:pPr>
              <w:spacing w:after="0"/>
              <w:rPr>
                <w:sz w:val="18"/>
                <w:szCs w:val="18"/>
                <w:color w:val="auto"/>
              </w:rPr>
            </w:pPr>
          </w:p>
        </w:tc>
        <w:tc>
          <w:tcPr>
            <w:tcW w:w="2180" w:type="dxa"/>
            <w:vAlign w:val="bottom"/>
            <w:gridSpan w:val="6"/>
          </w:tcPr>
          <w:p>
            <w:pPr>
              <w:ind w:left="460"/>
              <w:spacing w:after="0"/>
              <w:rPr>
                <w:sz w:val="20"/>
                <w:szCs w:val="20"/>
                <w:color w:val="auto"/>
              </w:rPr>
            </w:pPr>
            <w:r>
              <w:rPr>
                <w:rFonts w:ascii="Arial" w:cs="Arial" w:eastAsia="Arial" w:hAnsi="Arial"/>
                <w:sz w:val="18"/>
                <w:szCs w:val="18"/>
                <w:color w:val="auto"/>
              </w:rPr>
              <w:t>Fair Value</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color w:val="auto"/>
              </w:rPr>
              <w:t>August 31,</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August 31,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Currency Hedged (in U.S. dollars)</w:t>
            </w:r>
          </w:p>
        </w:tc>
        <w:tc>
          <w:tcPr>
            <w:tcW w:w="202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May 31, 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May 31, 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Indian Rupee</w:t>
            </w:r>
          </w:p>
        </w:tc>
        <w:tc>
          <w:tcPr>
            <w:tcW w:w="2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51,175</w:t>
            </w:r>
          </w:p>
        </w:tc>
        <w:tc>
          <w:tcPr>
            <w:tcW w:w="2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51,000</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w:t>
            </w:r>
          </w:p>
        </w:tc>
        <w:tc>
          <w:tcPr>
            <w:tcW w:w="2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Philippine Peso</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Total</w:t>
            </w:r>
          </w:p>
        </w:tc>
        <w:tc>
          <w:tcPr>
            <w:tcW w:w="2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110,175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51,000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6,142</w:t>
            </w: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2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As of May 31, 2018, the gross notional value of foreign currency forward contracts to purchase Indian Rupees with U.S. dollars was Rs. 3.7 billion. The gross notional value of foreign currency forward contracts to purchase Philippine Pesos with U.S. dollars was Php 3.1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credit default swaps (“CDS”) as quoted by publicly available information. Counterparty risk is represented by CDS spreads related to the senior secured debt of the respective bank with whom FactSet has executed these derivative transactions. As CDS spread information is not available for FactSet, the Company’s credit risk is determined based on using a simple average of CDS spreads for peer companies. To mitigate counterparty credit risk, FactSet enters into contracts with large financial institutions and regularly reviews its credit exposure balances as well as the creditworthiness of the counterparties. The Company does not expect any losses as a result of default of its counterparties.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derivative instruments: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vMerge w:val="restart"/>
          </w:tcPr>
          <w:p>
            <w:pPr>
              <w:jc w:val="right"/>
              <w:ind w:right="470"/>
              <w:spacing w:after="0"/>
              <w:rPr>
                <w:sz w:val="20"/>
                <w:szCs w:val="20"/>
                <w:color w:val="auto"/>
              </w:rPr>
            </w:pPr>
            <w:r>
              <w:rPr>
                <w:rFonts w:ascii="Arial" w:cs="Arial" w:eastAsia="Arial" w:hAnsi="Arial"/>
                <w:sz w:val="18"/>
                <w:szCs w:val="18"/>
                <w:color w:val="auto"/>
              </w:rPr>
              <w:t>May 31,</w:t>
            </w:r>
          </w:p>
        </w:tc>
        <w:tc>
          <w:tcPr>
            <w:tcW w:w="320" w:type="dxa"/>
            <w:vAlign w:val="bottom"/>
          </w:tcPr>
          <w:p>
            <w:pPr>
              <w:spacing w:after="0"/>
              <w:rPr>
                <w:sz w:val="20"/>
                <w:szCs w:val="20"/>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8"/>
                <w:szCs w:val="18"/>
                <w:color w:val="auto"/>
              </w:rPr>
              <w:t>August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Designation of Derivatives</w:t>
            </w:r>
          </w:p>
        </w:tc>
        <w:tc>
          <w:tcPr>
            <w:tcW w:w="4140" w:type="dxa"/>
            <w:vAlign w:val="bottom"/>
          </w:tcPr>
          <w:p>
            <w:pPr>
              <w:ind w:left="320"/>
              <w:spacing w:after="0"/>
              <w:rPr>
                <w:sz w:val="20"/>
                <w:szCs w:val="20"/>
                <w:color w:val="auto"/>
              </w:rPr>
            </w:pPr>
            <w:r>
              <w:rPr>
                <w:rFonts w:ascii="Arial" w:cs="Arial" w:eastAsia="Arial" w:hAnsi="Arial"/>
                <w:sz w:val="18"/>
                <w:szCs w:val="18"/>
                <w:color w:val="auto"/>
              </w:rPr>
              <w:t>Balance Sheet Location</w:t>
            </w:r>
          </w:p>
        </w:tc>
        <w:tc>
          <w:tcPr>
            <w:tcW w:w="60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Derivatives designated as hedging instruments</w:t>
            </w:r>
          </w:p>
        </w:tc>
        <w:tc>
          <w:tcPr>
            <w:tcW w:w="41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Assets: Foreign Currency Forward Contracts</w:t>
            </w:r>
          </w:p>
        </w:tc>
        <w:tc>
          <w:tcPr>
            <w:tcW w:w="6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Liabilities: Foreign Currency Forward Contracts</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rent and other non-current liabilities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derivatives were designated as hedging instruments as of May 31, 2018 and August 31,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in Cash Flow Hedging Relationships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three months ended May 31,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Location of Gain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(Loss) Gain Recognized</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AOCL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Gain (Loss)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8"/>
                <w:szCs w:val="18"/>
                <w:color w:val="auto"/>
                <w:w w:val="95"/>
              </w:rPr>
              <w:t>in AOCL on Derivatives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into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from AOCL into 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(Effective Portion)</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190"/>
              <w:spacing w:after="0"/>
              <w:rPr>
                <w:sz w:val="20"/>
                <w:szCs w:val="20"/>
                <w:color w:val="auto"/>
              </w:rPr>
            </w:pPr>
            <w:r>
              <w:rPr>
                <w:rFonts w:ascii="Arial" w:cs="Arial" w:eastAsia="Arial" w:hAnsi="Arial"/>
                <w:sz w:val="18"/>
                <w:szCs w:val="18"/>
                <w:color w:val="auto"/>
                <w:w w:val="93"/>
              </w:rPr>
              <w:t>(Effective Portion)</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Derivatives in Cash Flow Hedging Relationships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3,467</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provides the pre-tax effect of derivative instruments in cash flow hedging relationships for the nine months ended May 31,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4"/>
              </w:rPr>
              <w:t>Location of Gain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Reclassified from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(Loss) Gain Recognized</w:t>
            </w:r>
          </w:p>
        </w:tc>
        <w:tc>
          <w:tcPr>
            <w:tcW w:w="1600" w:type="dxa"/>
            <w:vAlign w:val="bottom"/>
          </w:tcPr>
          <w:p>
            <w:pPr>
              <w:jc w:val="center"/>
              <w:spacing w:after="0"/>
              <w:rPr>
                <w:sz w:val="20"/>
                <w:szCs w:val="20"/>
                <w:color w:val="auto"/>
              </w:rPr>
            </w:pPr>
            <w:r>
              <w:rPr>
                <w:rFonts w:ascii="Arial" w:cs="Arial" w:eastAsia="Arial" w:hAnsi="Arial"/>
                <w:sz w:val="18"/>
                <w:szCs w:val="18"/>
                <w:color w:val="auto"/>
                <w:w w:val="97"/>
              </w:rPr>
              <w:t>AOCL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Gain (Loss) Reclassified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center"/>
              <w:ind w:right="360"/>
              <w:spacing w:after="0"/>
              <w:rPr>
                <w:sz w:val="20"/>
                <w:szCs w:val="20"/>
                <w:color w:val="auto"/>
              </w:rPr>
            </w:pPr>
            <w:r>
              <w:rPr>
                <w:rFonts w:ascii="Arial" w:cs="Arial" w:eastAsia="Arial" w:hAnsi="Arial"/>
                <w:sz w:val="18"/>
                <w:szCs w:val="18"/>
                <w:color w:val="auto"/>
                <w:w w:val="95"/>
              </w:rPr>
              <w:t>in AOCL on Derivatives</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into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center"/>
              <w:ind w:right="320"/>
              <w:spacing w:after="0"/>
              <w:rPr>
                <w:sz w:val="20"/>
                <w:szCs w:val="20"/>
                <w:color w:val="auto"/>
              </w:rPr>
            </w:pPr>
            <w:r>
              <w:rPr>
                <w:rFonts w:ascii="Arial" w:cs="Arial" w:eastAsia="Arial" w:hAnsi="Arial"/>
                <w:sz w:val="18"/>
                <w:szCs w:val="18"/>
                <w:color w:val="auto"/>
                <w:w w:val="94"/>
              </w:rPr>
              <w:t>from AOCL into 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(Effective Portion)</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(Effective Portion)</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color w:val="auto"/>
                <w:w w:val="93"/>
              </w:rPr>
              <w:t>(Effective Portion)</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Derivatives in Cash Flow Hedging Relationships</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9"/>
                <w:szCs w:val="19"/>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w w:val="99"/>
              </w:rPr>
              <w:t>2017</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7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7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4,006</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SG&amp;A</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2,631</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No amount of ineffectiveness was recorded in the Consolidated Statements of Income for these designated cash flow hedges and all components of each derivative’s gain or loss was included in the assessment of hedge effectiveness. As of May 31, 2018, FactSet estimates that approximately $2.3 million of net derivative gains related to its cash flow hedges included in AOCL will be reclassified into earnings within the next 12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Offsetting of Derivative Instruments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FactSet’s master netting and other similar arrangements with its respective counterparties allow for net settlement under certain conditions. As of May 31, 2018 and August 31, 2017, there were no net settlements recorded on Consolidated Balance Sheets.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6. OTHER COMPREHENSIVE INCOME (LOSS) AND ACCUMULATED OTHER COMPREHENSIVE LOSS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components of other comprehensive income and amounts reclassified out of AOCL into earnings during the three months ended May 31, 2018 and 2017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8"/>
                <w:szCs w:val="18"/>
                <w:color w:val="auto"/>
              </w:rPr>
              <w:t>May 31, 2018</w:t>
            </w:r>
          </w:p>
        </w:tc>
        <w:tc>
          <w:tcPr>
            <w:tcW w:w="200" w:type="dxa"/>
            <w:vAlign w:val="bottom"/>
          </w:tcPr>
          <w:p>
            <w:pPr>
              <w:spacing w:after="0"/>
              <w:rPr>
                <w:sz w:val="20"/>
                <w:szCs w:val="20"/>
                <w:color w:val="auto"/>
              </w:rPr>
            </w:pPr>
          </w:p>
        </w:tc>
        <w:tc>
          <w:tcPr>
            <w:tcW w:w="2400" w:type="dxa"/>
            <w:vAlign w:val="bottom"/>
            <w:gridSpan w:val="6"/>
          </w:tcPr>
          <w:p>
            <w:pPr>
              <w:ind w:left="540"/>
              <w:spacing w:after="0"/>
              <w:rPr>
                <w:sz w:val="20"/>
                <w:szCs w:val="20"/>
                <w:color w:val="auto"/>
              </w:rPr>
            </w:pPr>
            <w:r>
              <w:rPr>
                <w:rFonts w:ascii="Arial" w:cs="Arial" w:eastAsia="Arial" w:hAnsi="Arial"/>
                <w:sz w:val="18"/>
                <w:szCs w:val="18"/>
                <w:color w:val="auto"/>
              </w:rPr>
              <w:t>May 31, 2017</w:t>
            </w: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Pre-tax</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Pre-tax</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(20,126)</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(20,126)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21,316</w:t>
            </w:r>
          </w:p>
        </w:tc>
        <w:tc>
          <w:tcPr>
            <w:tcW w:w="2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21,316</w:t>
            </w:r>
          </w:p>
        </w:tc>
        <w:tc>
          <w:tcPr>
            <w:tcW w:w="10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460" w:type="dxa"/>
            <w:vAlign w:val="bottom"/>
          </w:tcPr>
          <w:p>
            <w:pPr>
              <w:spacing w:after="0" w:line="256" w:lineRule="exact"/>
              <w:rPr>
                <w:sz w:val="20"/>
                <w:szCs w:val="20"/>
                <w:color w:val="auto"/>
              </w:rPr>
            </w:pPr>
            <w:r>
              <w:rPr>
                <w:rFonts w:ascii="Arial" w:cs="Arial" w:eastAsia="Arial" w:hAnsi="Arial"/>
                <w:sz w:val="18"/>
                <w:szCs w:val="18"/>
                <w:color w:val="auto"/>
                <w:w w:val="99"/>
              </w:rPr>
              <w:t xml:space="preserve">Realized (gain) loss on cash flow hedges reclassified to earnings </w:t>
            </w:r>
            <w:r>
              <w:rPr>
                <w:rFonts w:ascii="Arial" w:cs="Arial" w:eastAsia="Arial" w:hAnsi="Arial"/>
                <w:sz w:val="29"/>
                <w:szCs w:val="29"/>
                <w:color w:val="auto"/>
                <w:w w:val="99"/>
                <w:vertAlign w:val="superscript"/>
              </w:rPr>
              <w:t>(1)</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cash flow hedges recognized in AOCL</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tcPr>
          <w:p>
            <w:pPr>
              <w:ind w:left="320"/>
              <w:spacing w:after="0"/>
              <w:rPr>
                <w:sz w:val="20"/>
                <w:szCs w:val="20"/>
                <w:color w:val="auto"/>
              </w:rPr>
            </w:pPr>
            <w:r>
              <w:rPr>
                <w:rFonts w:ascii="Arial" w:cs="Arial" w:eastAsia="Arial" w:hAnsi="Arial"/>
                <w:sz w:val="18"/>
                <w:szCs w:val="18"/>
                <w:i w:val="1"/>
                <w:iCs w:val="1"/>
                <w:color w:val="auto"/>
              </w:rPr>
              <w:t>Other comprehensive income (loss)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(23,463)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(22,487)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25,186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23,701</w:t>
            </w:r>
          </w:p>
        </w:tc>
      </w:tr>
    </w:tbl>
    <w:p>
      <w:pPr>
        <w:spacing w:after="0" w:line="73" w:lineRule="exact"/>
        <w:rPr>
          <w:sz w:val="20"/>
          <w:szCs w:val="20"/>
          <w:color w:val="auto"/>
        </w:rPr>
      </w:pPr>
    </w:p>
    <w:p>
      <w:pPr>
        <w:ind w:left="500" w:hanging="330"/>
        <w:spacing w:after="0"/>
        <w:tabs>
          <w:tab w:leader="none" w:pos="500" w:val="left"/>
        </w:tabs>
        <w:numPr>
          <w:ilvl w:val="0"/>
          <w:numId w:val="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Reclassified to Selling, General and Administrative Expenses</w:t>
      </w:r>
    </w:p>
    <w:p>
      <w:pPr>
        <w:spacing w:after="0" w:line="200" w:lineRule="exact"/>
        <w:rPr>
          <w:sz w:val="20"/>
          <w:szCs w:val="20"/>
          <w:color w:val="auto"/>
        </w:rPr>
      </w:pPr>
    </w:p>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components of other comprehensive income and amounts reclassified out of AOCL into earnings during the nine months ended May 31, 2018 and 2017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8"/>
                <w:szCs w:val="18"/>
                <w:color w:val="auto"/>
              </w:rPr>
              <w:t>May 31, 2018</w:t>
            </w:r>
          </w:p>
        </w:tc>
        <w:tc>
          <w:tcPr>
            <w:tcW w:w="200" w:type="dxa"/>
            <w:vAlign w:val="bottom"/>
          </w:tcPr>
          <w:p>
            <w:pPr>
              <w:spacing w:after="0"/>
              <w:rPr>
                <w:sz w:val="20"/>
                <w:szCs w:val="20"/>
                <w:color w:val="auto"/>
              </w:rPr>
            </w:pPr>
          </w:p>
        </w:tc>
        <w:tc>
          <w:tcPr>
            <w:tcW w:w="2400" w:type="dxa"/>
            <w:vAlign w:val="bottom"/>
            <w:gridSpan w:val="6"/>
          </w:tcPr>
          <w:p>
            <w:pPr>
              <w:ind w:left="540"/>
              <w:spacing w:after="0"/>
              <w:rPr>
                <w:sz w:val="20"/>
                <w:szCs w:val="20"/>
                <w:color w:val="auto"/>
              </w:rPr>
            </w:pPr>
            <w:r>
              <w:rPr>
                <w:rFonts w:ascii="Arial" w:cs="Arial" w:eastAsia="Arial" w:hAnsi="Arial"/>
                <w:sz w:val="18"/>
                <w:szCs w:val="18"/>
                <w:color w:val="auto"/>
              </w:rPr>
              <w:t>May 31, 2017</w:t>
            </w: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Pre-tax</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Pre-tax</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8"/>
              </w:rPr>
              <w:t>Net of tax</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(2,260)</w:t>
            </w:r>
          </w:p>
        </w:tc>
        <w:tc>
          <w:tcPr>
            <w:tcW w:w="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10,680</w:t>
            </w:r>
          </w:p>
        </w:tc>
        <w:tc>
          <w:tcPr>
            <w:tcW w:w="2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10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460" w:type="dxa"/>
            <w:vAlign w:val="bottom"/>
          </w:tcPr>
          <w:p>
            <w:pPr>
              <w:spacing w:after="0" w:line="256" w:lineRule="exact"/>
              <w:rPr>
                <w:sz w:val="20"/>
                <w:szCs w:val="20"/>
                <w:color w:val="auto"/>
              </w:rPr>
            </w:pPr>
            <w:r>
              <w:rPr>
                <w:rFonts w:ascii="Arial" w:cs="Arial" w:eastAsia="Arial" w:hAnsi="Arial"/>
                <w:sz w:val="18"/>
                <w:szCs w:val="18"/>
                <w:color w:val="auto"/>
                <w:w w:val="99"/>
              </w:rPr>
              <w:t xml:space="preserve">Realized (gain) loss on cash flow hedges reclassified to earnings </w:t>
            </w:r>
            <w:r>
              <w:rPr>
                <w:rFonts w:ascii="Arial" w:cs="Arial" w:eastAsia="Arial" w:hAnsi="Arial"/>
                <w:sz w:val="29"/>
                <w:szCs w:val="29"/>
                <w:color w:val="auto"/>
                <w:w w:val="99"/>
                <w:vertAlign w:val="superscript"/>
              </w:rPr>
              <w:t>(1)</w:t>
            </w: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(1,794)</w:t>
            </w: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cash flow hedges recognized in AOCL</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w:t>
            </w:r>
          </w:p>
        </w:tc>
      </w:tr>
      <w:tr>
        <w:trPr>
          <w:trHeight w:val="20"/>
        </w:trPr>
        <w:tc>
          <w:tcPr>
            <w:tcW w:w="20" w:type="dxa"/>
            <w:vAlign w:val="bottom"/>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460" w:type="dxa"/>
            <w:vAlign w:val="bottom"/>
          </w:tcPr>
          <w:p>
            <w:pPr>
              <w:ind w:left="320"/>
              <w:spacing w:after="0"/>
              <w:rPr>
                <w:sz w:val="20"/>
                <w:szCs w:val="20"/>
                <w:color w:val="auto"/>
              </w:rPr>
            </w:pPr>
            <w:r>
              <w:rPr>
                <w:rFonts w:ascii="Arial" w:cs="Arial" w:eastAsia="Arial" w:hAnsi="Arial"/>
                <w:sz w:val="18"/>
                <w:szCs w:val="18"/>
                <w:i w:val="1"/>
                <w:iCs w:val="1"/>
                <w:color w:val="auto"/>
              </w:rPr>
              <w:t>Other comprehensive income (loss)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(8,531)</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(6,365)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17,474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14,913</w:t>
            </w:r>
          </w:p>
        </w:tc>
      </w:tr>
    </w:tbl>
    <w:p>
      <w:pPr>
        <w:spacing w:after="0" w:line="7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Reclassified to Selling, General and Administrative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The components of AOCL are as follows: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May 31, 2018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August 31, 2017</w:t>
            </w: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unrealized (losses)gains on cash flow hedges, net of tax</w:t>
            </w:r>
          </w:p>
        </w:tc>
        <w:tc>
          <w:tcPr>
            <w:tcW w:w="1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2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Accumulated foreign currency translation adjustments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(40,782)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(38,522)</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Total accumulated other comprehensive loss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(41,085)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(34,720)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Operating segments are defined as components of an enterprise that engage in business activities from which they may earn revenues and incur expenses, whose operating results are regularly reviewed by the enterprise’s chief operating decision maker to make decisions about resources to be allocated to the segment and assess its performance, and for which discrete financial information is available. The Chief Executive Officer (“CEO”) and senior management jointly review financial information at the operating segment level. Senior management consists of certain executives who directly report to the CEO, consisting of the Chief Financial Officer, Chief Technology and Product Officer, Global Head of Sales and Client Solutions, General Counsel and Chief Human Resources Officer. Senior management, along with the CEO, constitute FactSet’s chief operating decision making group (“CODMG”) and is responsible for making decisions about resources allocated amongst the operating segments based on actual results.</w:t>
      </w:r>
    </w:p>
    <w:p>
      <w:pPr>
        <w:spacing w:after="0" w:line="17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FactSet’s operating segments are aligned with how the Company, including its CODMG, manages the business and the demographic markets in which FactSet serves. The Company’s internal financial reporting structure is based on three segments; the U.S., Europe and Asia Pacific. FactSet believes this alignment helps it better manage the business and view the markets the Company serves, which are centered on providing integrated global financial and economic information. The primary functional groups within the U.S., Europe and Asia Pacific segments include sales, consulting, data collection, product development and software engineering, which provide global financial and economic information to investment managers, investment banks and other financial services professionals.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U.S. segment services investment professionals including financial institutions throughout the Americas. The European and Asia Pacific segments service investment professionals located throughout Europe and the Asia Pacific region, respectively. Segment revenues reflect direct sales to clients based in their respective geographic locations. Each segment records compensation expense, including stock-based compensation, amortization of intangible assets, depreciation of furniture and fixtures, amortization of leasehold improvements, communication costs, professional fees, rent expense, travel, office and other direct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8"/>
          <w:szCs w:val="18"/>
          <w:color w:val="auto"/>
        </w:rPr>
        <w:t>Expenditures associated with the Company’s data centers, data costs and corporate charges are recorded by the U.S. segment and are not allocated to the other segments. The centers of excellence, who focus primarily on content collection and are located in India and the Philippines, benefit all of the Company’s operating segments and thus the expenses incurred at these locations are allocated to each segment based on a percentage of revenues. Of the total $704.8 million of goodwill reported by the Company at May 31, 2018, 54% was recorded in the U.S. segment, 45% in the European segment and the remaining 1% in the Asia Pacific segment.</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reflects the results of operations of the segments consistent with the Company’s management system. These results are used by management, both in evaluating the performance of, and in allocating resources to, each of the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4"/>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May 31, 2018</w:t>
            </w: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 from clients</w:t>
            </w: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210,308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339,911</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profit</w:t>
            </w:r>
          </w:p>
        </w:tc>
        <w:tc>
          <w:tcPr>
            <w:tcW w:w="19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37,986</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37,381</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17,898</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93,265</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728,517</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572,867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105,788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1,407,172</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9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2,830</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512"/>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three months ended May 31, 2017</w:t>
            </w: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 from clients</w:t>
            </w: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197,834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87,327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26,959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312,120</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profit</w:t>
            </w:r>
          </w:p>
        </w:tc>
        <w:tc>
          <w:tcPr>
            <w:tcW w:w="19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34,382</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37,766</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15,494</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87,642</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708,440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555,366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94,208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1,358,014</w:t>
            </w: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9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6,211</w:t>
            </w: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2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1,210</w:t>
            </w: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7,936</w:t>
            </w:r>
          </w:p>
        </w:tc>
      </w:tr>
      <w:tr>
        <w:trPr>
          <w:trHeight w:val="661"/>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nine months ended May 31, 2018</w:t>
            </w: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 from clients</w:t>
            </w: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627,976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89,518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1,004,283</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profit</w:t>
            </w:r>
          </w:p>
        </w:tc>
        <w:tc>
          <w:tcPr>
            <w:tcW w:w="19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117,285</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107,344</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53,219</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277,848</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10,104</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5,455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18,375</w:t>
            </w:r>
          </w:p>
        </w:tc>
      </w:tr>
      <w:tr>
        <w:trPr>
          <w:trHeight w:val="432"/>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the nine months ended May 31, 2017</w:t>
            </w:r>
          </w:p>
        </w:tc>
        <w:tc>
          <w:tcPr>
            <w:tcW w:w="1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21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 from clients</w:t>
            </w:r>
          </w:p>
        </w:tc>
        <w:tc>
          <w:tcPr>
            <w:tcW w:w="1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580,090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235,464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78,983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894,537</w:t>
            </w: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Segment operating profit</w:t>
            </w:r>
          </w:p>
        </w:tc>
        <w:tc>
          <w:tcPr>
            <w:tcW w:w="19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110,574</w:t>
            </w:r>
          </w:p>
        </w:tc>
        <w:tc>
          <w:tcPr>
            <w:tcW w:w="4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114,282</w:t>
            </w: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44,851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269,707</w:t>
            </w:r>
          </w:p>
        </w:tc>
      </w:tr>
      <w:tr>
        <w:trPr>
          <w:trHeight w:val="21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21,311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3,494</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25,981</w:t>
            </w:r>
          </w:p>
        </w:tc>
      </w:tr>
    </w:tbl>
    <w:p>
      <w:pPr>
        <w:spacing w:after="0" w:line="200" w:lineRule="exact"/>
        <w:rPr>
          <w:sz w:val="20"/>
          <w:szCs w:val="20"/>
          <w:color w:val="auto"/>
        </w:rPr>
      </w:pPr>
    </w:p>
    <w:p>
      <w:pPr>
        <w:spacing w:after="0" w:line="241" w:lineRule="exact"/>
        <w:rPr>
          <w:sz w:val="20"/>
          <w:szCs w:val="20"/>
          <w:color w:val="auto"/>
        </w:rPr>
      </w:pPr>
    </w:p>
    <w:p>
      <w:pPr>
        <w:ind w:right="8880" w:firstLine="8"/>
        <w:spacing w:after="0" w:line="503" w:lineRule="auto"/>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BISAM</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March 17, 2017, FactSet acquired BI-SAM Technologies (“BISAM”) for a total purchase price of $217.6 million. BISAM is a global provider of portfolio performance and attribution, multi-asset risk, GIPS composites management and reporting. BISAM’s product offerings include B-One, BISAM’s cross-asset solution, which will serve as a complement to both FactSet’s portfolio analytics suite and client reporting solutions, and Cognity, which enhances FactSet’s risk analysis for derivatives and quantitative portfolio construction. These factors contributed to a purchase price in excess of fair value of BISAM’s net tangible and intangible assets, leading to the recognition of goodwill. At the time of acquisition, BISAM employed over 160 employees based primarily in its New York, Boston, Paris, London and Sofia offices. Total transaction costs of $3.2 million were recorded within Selling, General and Administrative (“SG&amp;A”) expenses in the Consolidated Statements of Income during fiscal 2017.</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Allocation of the purchase price to the assets acquired and liabilities assumed was finalized during the fourth quarter of fiscal 2017. There were no significant adjustments between the preliminary and final allocation. The total purchase price was allocated to BISAM’s net tangible and intangible assets based upon their estimated fair value as of the date of acquisition.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4340" w:type="dxa"/>
            <w:vAlign w:val="bottom"/>
            <w:tcBorders>
              <w:top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3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Software technology</w:t>
            </w:r>
          </w:p>
        </w:tc>
        <w:tc>
          <w:tcPr>
            <w:tcW w:w="3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18,261</w:t>
            </w: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Client relationships</w:t>
            </w:r>
          </w:p>
        </w:tc>
        <w:tc>
          <w:tcPr>
            <w:tcW w:w="3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37,597</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Trade name</w:t>
            </w:r>
          </w:p>
        </w:tc>
        <w:tc>
          <w:tcPr>
            <w:tcW w:w="3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Goodwill</w:t>
            </w:r>
          </w:p>
        </w:tc>
        <w:tc>
          <w:tcPr>
            <w:tcW w:w="38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173,898</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Total assets acquired</w:t>
            </w:r>
          </w:p>
        </w:tc>
        <w:tc>
          <w:tcPr>
            <w:tcW w:w="4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258,080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Liabilities assumed</w:t>
            </w:r>
          </w:p>
        </w:tc>
        <w:tc>
          <w:tcPr>
            <w:tcW w:w="3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(40,443)</w:t>
            </w:r>
          </w:p>
        </w:tc>
      </w:tr>
      <w:tr>
        <w:trPr>
          <w:trHeight w:val="20"/>
        </w:trPr>
        <w:tc>
          <w:tcPr>
            <w:tcW w:w="59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i w:val="1"/>
                <w:iCs w:val="1"/>
                <w:color w:val="auto"/>
              </w:rPr>
              <w:t>Net assets acquired</w:t>
            </w:r>
          </w:p>
        </w:tc>
        <w:tc>
          <w:tcPr>
            <w:tcW w:w="4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217,637</w:t>
            </w: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Intangible assets of $56.6 million have been allocated to amortizable intangible assets consisting of client relationships, amortized over 16 years using an accelerated amortization method; software technology, amortized over five years using a straight-line amortization method; and a trade name, amortized over four years using a straight-line amortization method.</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Goodwill totaling $173.9 million represents the excess of the purchase price over the fair value of the net tangible and intangible assets acquired. Goodwill generated from the BISAM acquisition is included in the U.S. and European segments and is not deductible for income tax purposes. The results of operations of BISAM have been included in the Company’s Consolidated Statements of Income since the completion of the acquisition on March 17, 2017. Pro forma information has not been presented because the effect of the BISAM acquisition is not material to the Company’s consolidated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Vermilion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8, 2016, FactSet acquired Vermilion Holdings Limited (“Vermilion”) for a total purchase price of $67.9 million. Vermilion is a global provider of client reporting and communications software and services to the financial services industry. Client reporting is a growing area of the market as regulatory requirements rise; and with the acquisition of Vermilion and its Vermilion Reporting Suite (“VRS”), FactSet now offers a workflow around all elements of the client reporting process, which it expects will expand as investors grow increasingly sophisticated. This factor contributed to a purchase price in excess of fair value of Vermilion’s net tangible and intangible assets, leading to the recognition of goodwill. At the time of acquisition, Vermilion employed 59 individuals in its London, Boston and Singapore offices. Total transaction costs of $0.7 million were recorded within SG&amp;A expenses in the Consolidated Statements of Income during fiscal 2017.</w:t>
      </w:r>
    </w:p>
    <w:p>
      <w:pPr>
        <w:spacing w:after="0" w:line="18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Allocation of the purchase price to the assets acquired and liabilities assumed was finalized during the third quarter of fiscal 2017. There were no significant adjustments between the preliminary and final allocation. The total purchase price was allocated to Vermilion’s net tangible and intangible assets based upon their estimated fair value as of the date of acquisition. Based upon the purchase price and the valuation, the allocation is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Tangible assets acquired</w:t>
            </w:r>
          </w:p>
        </w:tc>
        <w:tc>
          <w:tcPr>
            <w:tcW w:w="430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3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Software technology</w:t>
            </w:r>
          </w:p>
        </w:tc>
        <w:tc>
          <w:tcPr>
            <w:tcW w:w="3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10,916</w:t>
            </w: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Client relationships</w:t>
            </w:r>
          </w:p>
        </w:tc>
        <w:tc>
          <w:tcPr>
            <w:tcW w:w="3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5,954</w:t>
            </w:r>
          </w:p>
        </w:tc>
      </w:tr>
      <w:tr>
        <w:trPr>
          <w:trHeight w:val="216"/>
        </w:trPr>
        <w:tc>
          <w:tcPr>
            <w:tcW w:w="6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3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6080" w:type="dxa"/>
            <w:vAlign w:val="bottom"/>
          </w:tcPr>
          <w:p>
            <w:pPr>
              <w:ind w:left="500"/>
              <w:spacing w:after="0"/>
              <w:rPr>
                <w:sz w:val="20"/>
                <w:szCs w:val="20"/>
                <w:color w:val="auto"/>
              </w:rPr>
            </w:pPr>
            <w:r>
              <w:rPr>
                <w:rFonts w:ascii="Arial" w:cs="Arial" w:eastAsia="Arial" w:hAnsi="Arial"/>
                <w:sz w:val="18"/>
                <w:szCs w:val="18"/>
                <w:color w:val="auto"/>
              </w:rPr>
              <w:t>Trade name</w:t>
            </w:r>
          </w:p>
        </w:tc>
        <w:tc>
          <w:tcPr>
            <w:tcW w:w="3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r>
      <w:tr>
        <w:trPr>
          <w:trHeight w:val="216"/>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080" w:type="dxa"/>
            <w:vAlign w:val="bottom"/>
          </w:tcPr>
          <w:p>
            <w:pPr>
              <w:ind w:left="500"/>
              <w:spacing w:after="0"/>
              <w:rPr>
                <w:sz w:val="20"/>
                <w:szCs w:val="20"/>
                <w:color w:val="auto"/>
              </w:rPr>
            </w:pPr>
            <w:r>
              <w:rPr>
                <w:rFonts w:ascii="Arial" w:cs="Arial" w:eastAsia="Arial" w:hAnsi="Arial"/>
                <w:sz w:val="18"/>
                <w:szCs w:val="18"/>
                <w:i w:val="1"/>
                <w:iCs w:val="1"/>
                <w:color w:val="auto"/>
              </w:rPr>
              <w:t>Total assets acquired</w:t>
            </w:r>
          </w:p>
        </w:tc>
        <w:tc>
          <w:tcPr>
            <w:tcW w:w="4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77,320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(9,434)</w:t>
            </w:r>
          </w:p>
        </w:tc>
      </w:tr>
      <w:tr>
        <w:trPr>
          <w:trHeight w:val="20"/>
        </w:trPr>
        <w:tc>
          <w:tcPr>
            <w:tcW w:w="608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6080" w:type="dxa"/>
            <w:vAlign w:val="bottom"/>
          </w:tcPr>
          <w:p>
            <w:pPr>
              <w:ind w:left="500"/>
              <w:spacing w:after="0"/>
              <w:rPr>
                <w:sz w:val="20"/>
                <w:szCs w:val="20"/>
                <w:color w:val="auto"/>
              </w:rPr>
            </w:pPr>
            <w:r>
              <w:rPr>
                <w:rFonts w:ascii="Arial" w:cs="Arial" w:eastAsia="Arial" w:hAnsi="Arial"/>
                <w:sz w:val="18"/>
                <w:szCs w:val="18"/>
                <w:i w:val="1"/>
                <w:iCs w:val="1"/>
                <w:color w:val="auto"/>
              </w:rPr>
              <w:t>Net assets acquired</w:t>
            </w:r>
          </w:p>
        </w:tc>
        <w:tc>
          <w:tcPr>
            <w:tcW w:w="43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67,886</w:t>
            </w:r>
          </w:p>
        </w:tc>
      </w:tr>
    </w:tbl>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Intangible assets of $18.2 million have been allocated to amortizable intangible assets consisting of client relationships, amortized over 15 years using an accelerated amortization method; software technology, amortized over six years using a straight-line amortization method; non-compete agreements, amortized over three years using a straight-line amortization method; and a trade name, amortized over four years using a straight-line amortization method.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Goodwill totaling $51.2 million represents the excess of the purchase price over the fair value of the net tangible and intangible assets acquired. Goodwill generated from the Vermilion acquisition is included in the European segment and is not deductible for income tax purposes. The results of operations of Vermilion have been included in the Company’s Consolidated Statements of Income since the completion of the acquisition on November 8, 2016. Pro forma information has not been presented because the effect of the Vermilion acquisition is not material to the Company’s consolidated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9. GOODWILL</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20" w:type="dxa"/>
            <w:vAlign w:val="bottom"/>
            <w:gridSpan w:val="10"/>
          </w:tcPr>
          <w:p>
            <w:pPr>
              <w:spacing w:after="0"/>
              <w:rPr>
                <w:sz w:val="20"/>
                <w:szCs w:val="20"/>
                <w:color w:val="auto"/>
              </w:rPr>
            </w:pPr>
            <w:r>
              <w:rPr>
                <w:rFonts w:ascii="Arial" w:cs="Arial" w:eastAsia="Arial" w:hAnsi="Arial"/>
                <w:sz w:val="18"/>
                <w:szCs w:val="18"/>
                <w:color w:val="auto"/>
                <w:w w:val="98"/>
              </w:rPr>
              <w:t>Changes in the carrying amount of goodwill by segment for the nine months ended May 31, 2018, are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U.S.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Europe</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Asia Pacific</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22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386,835</w:t>
            </w:r>
          </w:p>
        </w:tc>
        <w:tc>
          <w:tcPr>
            <w:tcW w:w="3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317,759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w:t>
            </w:r>
          </w:p>
        </w:tc>
        <w:tc>
          <w:tcPr>
            <w:tcW w:w="4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Foreign currency translations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adjustments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Balance at May 31, 2018</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386,195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315,607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3,004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704,807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U.S., Europe and Asia Pacific, which reflect the level of internal reporting the Company uses to manage its business and operations. The three reporting units are consistent with the operating segments reported as there is no discrete financial information available for the subsidiaries within each operating segment. The Company performed its annual goodwill impairment test during the fourth quarter of fiscal 2017, consistent with the timing of previous years, at which time it was determined that there was no impairment, with the fair value of each of the Company’s reporting units significantly exceeding carrying value.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FactSet’s identifiable intangible assets consist of acquired content databases, client relationships, software technology, non-compete agreements and trade names resulting from previous acquisitions, which have been fully integrated into the Company’s operations. The weighted average useful life of FactSet’s acquired identifiable intangible assets at May 31, 2018 was 11.5 years. The Company amortizes intangible assets over their estimated useful lives, which are evaluated quarterly to determine whether events and circumstances warrant a revision to the remaining period of amortization. There have been no changes to the estimate of the remaining useful lives during the first nine months of fiscal 2018. Amortizable intangible assets are tested for impairment, if indicators of impairment are present, based on undiscounted cash flows, and, if impaired, written down to fair value based on discounted cash flows. No impairment of intangible assets has been identified during any of the periods presented. The intangible assets have no assigned residual values.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totals related to the Company’s identifiable intangible assets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At May 31, 2018</w:t>
            </w: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60"/>
              <w:spacing w:after="0"/>
              <w:rPr>
                <w:sz w:val="20"/>
                <w:szCs w:val="20"/>
                <w:color w:val="auto"/>
              </w:rPr>
            </w:pPr>
            <w:r>
              <w:rPr>
                <w:rFonts w:ascii="Arial" w:cs="Arial" w:eastAsia="Arial" w:hAnsi="Arial"/>
                <w:sz w:val="18"/>
                <w:szCs w:val="18"/>
                <w:color w:val="auto"/>
              </w:rPr>
              <w:t>Gross Carrying Amount</w:t>
            </w:r>
          </w:p>
        </w:tc>
        <w:tc>
          <w:tcPr>
            <w:tcW w:w="26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Net Carrying 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34,454</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20,676</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Client relationships</w:t>
            </w:r>
          </w:p>
        </w:tc>
        <w:tc>
          <w:tcPr>
            <w:tcW w:w="6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99,249</w:t>
            </w:r>
          </w:p>
        </w:tc>
        <w:tc>
          <w:tcPr>
            <w:tcW w:w="2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27,721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71,528</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65,884</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2,680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w:t>
            </w: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i w:val="1"/>
                <w:iCs w:val="1"/>
                <w:color w:val="auto"/>
              </w:rPr>
              <w:t>Total</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249,510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93,734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155,776</w:t>
            </w:r>
          </w:p>
        </w:tc>
      </w:tr>
      <w:tr>
        <w:trPr>
          <w:trHeight w:val="404"/>
        </w:trPr>
        <w:tc>
          <w:tcPr>
            <w:tcW w:w="5380" w:type="dxa"/>
            <w:vAlign w:val="bottom"/>
            <w:gridSpan w:val="2"/>
          </w:tcPr>
          <w:p>
            <w:pPr>
              <w:spacing w:after="0"/>
              <w:rPr>
                <w:sz w:val="20"/>
                <w:szCs w:val="20"/>
                <w:color w:val="auto"/>
              </w:rPr>
            </w:pPr>
            <w:r>
              <w:rPr>
                <w:rFonts w:ascii="Arial" w:cs="Arial" w:eastAsia="Arial" w:hAnsi="Arial"/>
                <w:sz w:val="18"/>
                <w:szCs w:val="18"/>
                <w:color w:val="auto"/>
              </w:rPr>
              <w:t>At August 31, 2017</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80" w:type="dxa"/>
            <w:vAlign w:val="bottom"/>
            <w:gridSpan w:val="3"/>
          </w:tcPr>
          <w:p>
            <w:pPr>
              <w:ind w:left="20"/>
              <w:spacing w:after="0"/>
              <w:rPr>
                <w:sz w:val="20"/>
                <w:szCs w:val="20"/>
                <w:color w:val="auto"/>
              </w:rPr>
            </w:pPr>
            <w:r>
              <w:rPr>
                <w:rFonts w:ascii="Arial" w:cs="Arial" w:eastAsia="Arial" w:hAnsi="Arial"/>
                <w:sz w:val="18"/>
                <w:szCs w:val="18"/>
                <w:color w:val="auto"/>
              </w:rPr>
              <w:t>Gross Carrying Amount</w:t>
            </w:r>
          </w:p>
        </w:tc>
        <w:tc>
          <w:tcPr>
            <w:tcW w:w="26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color w:val="auto"/>
              </w:rPr>
              <w:t>Net Carrying 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Data content</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18,899</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Client relationships</w:t>
            </w:r>
          </w:p>
        </w:tc>
        <w:tc>
          <w:tcPr>
            <w:tcW w:w="6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99,779</w:t>
            </w:r>
          </w:p>
        </w:tc>
        <w:tc>
          <w:tcPr>
            <w:tcW w:w="2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22,339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77,440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75,074</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Non-compete agreements</w:t>
            </w:r>
          </w:p>
        </w:tc>
        <w:tc>
          <w:tcPr>
            <w:tcW w:w="6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3,315</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ind w:left="320"/>
              <w:spacing w:after="0"/>
              <w:rPr>
                <w:sz w:val="20"/>
                <w:szCs w:val="20"/>
                <w:color w:val="auto"/>
              </w:rPr>
            </w:pPr>
            <w:r>
              <w:rPr>
                <w:rFonts w:ascii="Arial" w:cs="Arial" w:eastAsia="Arial" w:hAnsi="Arial"/>
                <w:sz w:val="18"/>
                <w:szCs w:val="18"/>
                <w:i w:val="1"/>
                <w:iCs w:val="1"/>
                <w:color w:val="auto"/>
              </w:rPr>
              <w:t>Total</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248,771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75,228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173,543</w:t>
            </w:r>
          </w:p>
        </w:tc>
      </w:tr>
    </w:tbl>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Amortization expense recorded for intangible assets was $6.2 million and $5.8 million for the three months ended May 31, 2018 and 2017, respectively. Amortization expense recorded for intangible assets was $18.6 million and $13.8 million for the nine months ended May 31, 2018 and 2017, respectively. As of May 31, 2018, estimated intangible asset amortization expense for each of the next five years and thereafter is as follows: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 xml:space="preserve">Fiscal Year </w:t>
            </w:r>
            <w:r>
              <w:rPr>
                <w:rFonts w:ascii="Arial" w:cs="Arial" w:eastAsia="Arial" w:hAnsi="Arial"/>
                <w:sz w:val="18"/>
                <w:szCs w:val="18"/>
                <w:i w:val="1"/>
                <w:iCs w:val="1"/>
                <w:color w:val="auto"/>
              </w:rPr>
              <w:t>(in thousands)</w:t>
            </w:r>
          </w:p>
        </w:tc>
        <w:tc>
          <w:tcPr>
            <w:tcW w:w="2480" w:type="dxa"/>
            <w:vAlign w:val="bottom"/>
            <w:gridSpan w:val="3"/>
          </w:tcPr>
          <w:p>
            <w:pPr>
              <w:spacing w:after="0"/>
              <w:rPr>
                <w:sz w:val="20"/>
                <w:szCs w:val="20"/>
                <w:color w:val="auto"/>
              </w:rPr>
            </w:pPr>
            <w:r>
              <w:rPr>
                <w:rFonts w:ascii="Arial" w:cs="Arial" w:eastAsia="Arial" w:hAnsi="Arial"/>
                <w:sz w:val="18"/>
                <w:szCs w:val="18"/>
                <w:color w:val="auto"/>
                <w:w w:val="94"/>
              </w:rPr>
              <w:t>Estimated Amortization Expense</w:t>
            </w:r>
          </w:p>
        </w:tc>
      </w:tr>
      <w:tr>
        <w:trPr>
          <w:trHeight w:val="210"/>
        </w:trPr>
        <w:tc>
          <w:tcPr>
            <w:tcW w:w="20" w:type="dxa"/>
            <w:vAlign w:val="bottom"/>
          </w:tcPr>
          <w:p>
            <w:pPr>
              <w:spacing w:after="0"/>
              <w:rPr>
                <w:sz w:val="18"/>
                <w:szCs w:val="18"/>
                <w:color w:val="auto"/>
              </w:rPr>
            </w:pPr>
          </w:p>
        </w:tc>
        <w:tc>
          <w:tcPr>
            <w:tcW w:w="8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three months)</w:t>
            </w: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2019</w:t>
            </w:r>
          </w:p>
        </w:tc>
        <w:tc>
          <w:tcPr>
            <w:tcW w:w="9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24,051</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9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2021</w:t>
            </w:r>
          </w:p>
        </w:tc>
        <w:tc>
          <w:tcPr>
            <w:tcW w:w="9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21,386</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19,091</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61,852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rPr>
              <w:t>Total</w:t>
            </w: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155,776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 AND EARNINGS PER SHARE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May 7, 2018, FactSet’s Board of Directors approved a regular quarterly dividend of $0.64 per share. The cash dividend of $24.6 million was paid on June 19, 2018 to common stockholders of record at the close of business on May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Shares of common stock outstanding were as follows:</w:t>
            </w:r>
          </w:p>
        </w:tc>
        <w:tc>
          <w:tcPr>
            <w:tcW w:w="3300" w:type="dxa"/>
            <w:vAlign w:val="bottom"/>
            <w:gridSpan w:val="5"/>
            <w:vMerge w:val="restart"/>
          </w:tcPr>
          <w:p>
            <w:pPr>
              <w:jc w:val="center"/>
              <w:ind w:right="120"/>
              <w:spacing w:after="0"/>
              <w:rPr>
                <w:sz w:val="20"/>
                <w:szCs w:val="20"/>
                <w:color w:val="auto"/>
              </w:rPr>
            </w:pPr>
            <w:r>
              <w:rPr>
                <w:rFonts w:ascii="Arial" w:cs="Arial" w:eastAsia="Arial" w:hAnsi="Arial"/>
                <w:sz w:val="18"/>
                <w:szCs w:val="18"/>
                <w:color w:val="auto"/>
                <w:w w:val="90"/>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3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208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May 31,</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September 1</w:t>
            </w:r>
          </w:p>
        </w:tc>
        <w:tc>
          <w:tcPr>
            <w:tcW w:w="172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39,023</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Common stock issued for employee stock plans</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Repurchase of common stock from employees</w:t>
            </w:r>
            <w:r>
              <w:rPr>
                <w:rFonts w:ascii="Arial" w:cs="Arial" w:eastAsia="Arial" w:hAnsi="Arial"/>
                <w:sz w:val="29"/>
                <w:szCs w:val="29"/>
                <w:color w:val="auto"/>
                <w:vertAlign w:val="superscript"/>
              </w:rPr>
              <w:t>(1)</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Repurchase of common stock under the share repurchase program</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(1,205)</w:t>
            </w: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 under accelerated share repurchase agreement</w:t>
            </w:r>
          </w:p>
        </w:tc>
        <w:tc>
          <w:tcPr>
            <w:tcW w:w="2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Balance at May 31, 2018 and 2017, respectively</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38,385</w:t>
            </w:r>
          </w:p>
        </w:tc>
        <w:tc>
          <w:tcPr>
            <w:tcW w:w="3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39,198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hanging="328"/>
        <w:spacing w:after="0" w:line="194" w:lineRule="auto"/>
        <w:tabs>
          <w:tab w:leader="none" w:pos="660" w:val="left"/>
        </w:tabs>
        <w:numPr>
          <w:ilvl w:val="0"/>
          <w:numId w:val="11"/>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For the nine months ended May 31, 2018 and 2017, the Company repurchased 5,563 and 37,042 shares, or $1.0 million and $5.7 million, of common stock, respectively, in settlement of employee tax withholding obligations due upon the vesting of restricted stock.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weighted average shares outstanding used in the basic and diluted earnings per share (“EPS”) computations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Weighted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Common Shares</w:t>
            </w:r>
          </w:p>
        </w:tc>
        <w:tc>
          <w:tcPr>
            <w:tcW w:w="32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Per Share</w:t>
            </w: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20" w:type="dxa"/>
            <w:vAlign w:val="bottom"/>
          </w:tcPr>
          <w:p>
            <w:pPr>
              <w:spacing w:after="0"/>
              <w:rPr>
                <w:sz w:val="20"/>
                <w:szCs w:val="20"/>
                <w:color w:val="auto"/>
              </w:rPr>
            </w:pPr>
          </w:p>
        </w:tc>
        <w:tc>
          <w:tcPr>
            <w:tcW w:w="1560" w:type="dxa"/>
            <w:vAlign w:val="bottom"/>
          </w:tcPr>
          <w:p>
            <w:pPr>
              <w:jc w:val="right"/>
              <w:ind w:right="470"/>
              <w:spacing w:after="0"/>
              <w:rPr>
                <w:sz w:val="20"/>
                <w:szCs w:val="20"/>
                <w:color w:val="auto"/>
              </w:rPr>
            </w:pPr>
            <w:r>
              <w:rPr>
                <w:rFonts w:ascii="Arial" w:cs="Arial" w:eastAsia="Arial" w:hAnsi="Arial"/>
                <w:sz w:val="18"/>
                <w:szCs w:val="18"/>
                <w:color w:val="auto"/>
              </w:rPr>
              <w:t>(Numerator)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(Denominator)</w:t>
            </w:r>
          </w:p>
        </w:tc>
        <w:tc>
          <w:tcPr>
            <w:tcW w:w="3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Amount</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May 31, 2018</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74,746</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38,594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74,746</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39,104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three months ended May 31, 2017</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65,414</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39,317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65,414</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39,457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nine months ended May 31, 2018</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198,262</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38,890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198,262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39,543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r>
      <w:tr>
        <w:trPr>
          <w:trHeight w:val="210"/>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nine months ended May 31, 2017</w:t>
            </w:r>
          </w:p>
        </w:tc>
        <w:tc>
          <w:tcPr>
            <w:tcW w:w="1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Basic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available to common stockholders</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198,707</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Diluted EPS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stock options and restricted stock</w:t>
            </w:r>
          </w:p>
        </w:tc>
        <w:tc>
          <w:tcPr>
            <w:tcW w:w="1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3"/>
              </w:rPr>
              <w:t>Income available to common stockholders plus assumed conversions</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70"/>
              <w:spacing w:after="0"/>
              <w:rPr>
                <w:sz w:val="20"/>
                <w:szCs w:val="20"/>
                <w:color w:val="auto"/>
              </w:rPr>
            </w:pPr>
            <w:r>
              <w:rPr>
                <w:rFonts w:ascii="Arial" w:cs="Arial" w:eastAsia="Arial" w:hAnsi="Arial"/>
                <w:sz w:val="18"/>
                <w:szCs w:val="18"/>
                <w:color w:val="auto"/>
              </w:rPr>
              <w:t>198,707</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39,736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453"/>
        </w:trPr>
        <w:tc>
          <w:tcPr>
            <w:tcW w:w="20" w:type="dxa"/>
            <w:vAlign w:val="bottom"/>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rPr>
              <w:t>17</w:t>
            </w:r>
          </w:p>
        </w:tc>
        <w:tc>
          <w:tcPr>
            <w:tcW w:w="15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98" w:right="239" w:bottom="1440" w:gutter="0" w:footer="0" w:header="0"/>
        </w:sectPr>
      </w:pPr>
    </w:p>
    <w:bookmarkStart w:id="17" w:name="page18"/>
    <w:bookmarkEnd w:id="17"/>
    <w:p>
      <w:pPr>
        <w:ind w:right="180"/>
        <w:spacing w:after="0" w:line="312" w:lineRule="auto"/>
        <w:rPr>
          <w:sz w:val="20"/>
          <w:szCs w:val="20"/>
          <w:color w:val="auto"/>
        </w:rPr>
      </w:pPr>
      <w:r>
        <w:rPr>
          <w:rFonts w:ascii="Arial" w:cs="Arial" w:eastAsia="Arial" w:hAnsi="Arial"/>
          <w:sz w:val="16"/>
          <w:szCs w:val="16"/>
          <w:color w:val="auto"/>
        </w:rPr>
        <w:t>Dilutive potential common shares consist of stock options and unvested restricted stock awards. The were no stock options excluded from the calculation of diluted EPS for the three months ended May 31, 2018 as no options would have been anti-dilutive. The number of stock options excluded from the calculation of diluted EPS for the three months ended May 31, 2017 was 492,649 because their inclusion would have been anti-dilutive.</w:t>
      </w:r>
    </w:p>
    <w:p>
      <w:pPr>
        <w:spacing w:after="0" w:line="14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For the three months ended May 31, 2018 and 2017, the number of performance-based stock options excluded from the calculation of diluted EPS was 249,443 and 754,561, respectively. Performance-based stock options are omitted from the calculation of diluted EPS until the performance criteria are probable of being achieved.</w:t>
      </w:r>
    </w:p>
    <w:p>
      <w:pPr>
        <w:spacing w:after="0" w:line="200" w:lineRule="exact"/>
        <w:rPr>
          <w:sz w:val="20"/>
          <w:szCs w:val="20"/>
          <w:color w:val="auto"/>
        </w:rPr>
      </w:pPr>
    </w:p>
    <w:p>
      <w:pPr>
        <w:spacing w:after="0" w:line="220" w:lineRule="exact"/>
        <w:rPr>
          <w:sz w:val="20"/>
          <w:szCs w:val="20"/>
          <w:color w:val="auto"/>
        </w:rPr>
      </w:pPr>
    </w:p>
    <w:p>
      <w:pPr>
        <w:ind w:right="8820" w:firstLine="8"/>
        <w:spacing w:after="0" w:line="503" w:lineRule="auto"/>
        <w:tabs>
          <w:tab w:leader="none" w:pos="27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May 31, 2018 and August 31, 2017, there were 10,000,000 shares of preferred stock ($0.01 par value per share) authorized, of which no shares were issued and outstanding. FactSet’s Board of Directors may from time to time authorize the issuance of one or more series of preferred stock and, in connection with the creation of such series, determine the characteristics of each such series including, without limitation, the preference and relative, participating, optional or other special rights, and the qualifications, limitations or restrictions of the series.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At May 31, 2018 and August 31, 2017, there were 150,000,000 shares of common stock ($0.01 par value per share) authorized, of which 39,124,581 and 51,845,132 shares were issued, respectively. The authorized shares of common stock are issuable for any proper corporate purpose, including future stock splits, stock dividends, acquisitions, raising equity capital or to adopt additional employee benefit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On January 31, 2018, FactSet retired 13,292,689 shares of treasury stock. These retired shares are now included in the Company’s pool of authorized but unissued shares. The retired treasury stock was initially recorded using the cost method and had a carrying value of $1.7 billion at January 31, 2018. The Company’s accounting policy upon the formal retirement of treasury stock is to deduct its par value from common stock ($0.1 million), reduce additional paid-in capital (“APIC”) by the average amount recorded in APIC when stock was originally issued ($186.7 million) and any remaining excess of cost as a deduction from retained earnings ($1.5 billion). As of May 31, 2018, there were 740,000 shares of treasury stock (at cost) outstanding, a decrease compared to 12,822,100 as of August 31, 2017 due to the aforementioned treasury stock retirement on January 31,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Repurchases will be made from time to time in the open market and privately negotiated transactions, subject to market conditions. During the first nine months of fiscal 2018, the Company repurchased 1,204,920 shares for $234.8 million compared to 1,284,822 shares for $208.8 million in the prior year comparable period.</w:t>
      </w:r>
    </w:p>
    <w:p>
      <w:pPr>
        <w:spacing w:after="0" w:line="18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On March 26, 2018, the Board of Directors of FactSet approved a $300.0 million expansion to the existing share repurchase program. Subsequent to this expansion $309.3 million remain authorized for future share repurchases as of May 31, 2018. No minimum number of shares to be repurchased has been fixed. There is no timeframe to complete the repurchase program and it is expected that share repurchases will be paid using existing and future cash generated by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Vesting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Restricted stock awards entitle the holder to shares of common stock as the awards vest over time. During the first nine months of fiscal 2018, 15,063 of previously granted restricted stock awards vested and were included in common stock outstanding as of May 31, 2018 (less 5,563 shares repurchased from employees to cover their cost of taxes upon vesting of the restricted stock). During the same period a year ago, 101,234 of previously granted restricted stock awards vested and were included in common stock outstanding as of May 31, 2017 (less 37,042 shares repurchased from employees to cover their cost of taxes upon vesting of the restricted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Dividends</w:t>
            </w:r>
          </w:p>
        </w:tc>
        <w:tc>
          <w:tcPr>
            <w:tcW w:w="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32"/>
        </w:trPr>
        <w:tc>
          <w:tcPr>
            <w:tcW w:w="6240" w:type="dxa"/>
            <w:vAlign w:val="bottom"/>
            <w:gridSpan w:val="5"/>
          </w:tcPr>
          <w:p>
            <w:pPr>
              <w:spacing w:after="0"/>
              <w:rPr>
                <w:sz w:val="20"/>
                <w:szCs w:val="20"/>
                <w:color w:val="auto"/>
              </w:rPr>
            </w:pPr>
            <w:r>
              <w:rPr>
                <w:rFonts w:ascii="Arial" w:cs="Arial" w:eastAsia="Arial" w:hAnsi="Arial"/>
                <w:sz w:val="18"/>
                <w:szCs w:val="18"/>
                <w:color w:val="auto"/>
              </w:rPr>
              <w:t>The Company’s Board of Directors declared the following historical dividends:</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color w:val="auto"/>
                <w:w w:val="91"/>
              </w:rPr>
              <w:t>Dividends Per</w:t>
            </w: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color w:val="auto"/>
                <w:w w:val="91"/>
              </w:rPr>
              <w:t>Share of</w:t>
            </w:r>
          </w:p>
        </w:tc>
        <w:tc>
          <w:tcPr>
            <w:tcW w:w="1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94"/>
              </w:rPr>
              <w:t>Total $ Amount</w:t>
            </w:r>
          </w:p>
        </w:tc>
        <w:tc>
          <w:tcPr>
            <w:tcW w:w="1640" w:type="dxa"/>
            <w:vAlign w:val="bottom"/>
          </w:tcPr>
          <w:p>
            <w:pPr>
              <w:spacing w:after="0"/>
              <w:rPr>
                <w:sz w:val="18"/>
                <w:szCs w:val="18"/>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Declaration Date</w:t>
            </w:r>
          </w:p>
        </w:tc>
        <w:tc>
          <w:tcPr>
            <w:tcW w:w="960" w:type="dxa"/>
            <w:vAlign w:val="bottom"/>
          </w:tcPr>
          <w:p>
            <w:pPr>
              <w:spacing w:after="0"/>
              <w:rPr>
                <w:sz w:val="20"/>
                <w:szCs w:val="20"/>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color w:val="auto"/>
                <w:w w:val="92"/>
              </w:rPr>
              <w:t>Common Stock</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Type</w:t>
            </w:r>
          </w:p>
        </w:tc>
        <w:tc>
          <w:tcPr>
            <w:tcW w:w="1820" w:type="dxa"/>
            <w:vAlign w:val="bottom"/>
          </w:tcPr>
          <w:p>
            <w:pPr>
              <w:ind w:left="200"/>
              <w:spacing w:after="0"/>
              <w:rPr>
                <w:sz w:val="20"/>
                <w:szCs w:val="20"/>
                <w:color w:val="auto"/>
              </w:rPr>
            </w:pPr>
            <w:r>
              <w:rPr>
                <w:rFonts w:ascii="Arial" w:cs="Arial" w:eastAsia="Arial" w:hAnsi="Arial"/>
                <w:sz w:val="18"/>
                <w:szCs w:val="18"/>
                <w:color w:val="auto"/>
              </w:rPr>
              <w:t>Record Date</w:t>
            </w:r>
          </w:p>
        </w:tc>
        <w:tc>
          <w:tcPr>
            <w:tcW w:w="32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i w:val="1"/>
                <w:iCs w:val="1"/>
                <w:color w:val="auto"/>
                <w:w w:val="96"/>
              </w:rPr>
              <w:t>(in thousands)</w:t>
            </w:r>
          </w:p>
        </w:tc>
        <w:tc>
          <w:tcPr>
            <w:tcW w:w="1640" w:type="dxa"/>
            <w:vAlign w:val="bottom"/>
          </w:tcPr>
          <w:p>
            <w:pPr>
              <w:ind w:left="340"/>
              <w:spacing w:after="0"/>
              <w:rPr>
                <w:sz w:val="20"/>
                <w:szCs w:val="20"/>
                <w:color w:val="auto"/>
              </w:rPr>
            </w:pPr>
            <w:r>
              <w:rPr>
                <w:rFonts w:ascii="Arial" w:cs="Arial" w:eastAsia="Arial" w:hAnsi="Arial"/>
                <w:sz w:val="18"/>
                <w:szCs w:val="18"/>
                <w:color w:val="auto"/>
              </w:rPr>
              <w:t>Payment Date</w:t>
            </w: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7,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0.64</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May 31, 2018</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24,566</w:t>
            </w:r>
          </w:p>
        </w:tc>
        <w:tc>
          <w:tcPr>
            <w:tcW w:w="1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June 19, 2018</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February 7, 2018</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0.56</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tcPr>
          <w:p>
            <w:pPr>
              <w:ind w:left="200"/>
              <w:spacing w:after="0"/>
              <w:rPr>
                <w:sz w:val="20"/>
                <w:szCs w:val="20"/>
                <w:color w:val="auto"/>
              </w:rPr>
            </w:pPr>
            <w:r>
              <w:rPr>
                <w:rFonts w:ascii="Arial" w:cs="Arial" w:eastAsia="Arial" w:hAnsi="Arial"/>
                <w:sz w:val="18"/>
                <w:szCs w:val="18"/>
                <w:color w:val="auto"/>
              </w:rPr>
              <w:t>February 28, 2018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21,799</w:t>
            </w:r>
          </w:p>
        </w:tc>
        <w:tc>
          <w:tcPr>
            <w:tcW w:w="1640" w:type="dxa"/>
            <w:vAlign w:val="bottom"/>
          </w:tcPr>
          <w:p>
            <w:pPr>
              <w:ind w:left="40"/>
              <w:spacing w:after="0"/>
              <w:rPr>
                <w:sz w:val="20"/>
                <w:szCs w:val="20"/>
                <w:color w:val="auto"/>
              </w:rPr>
            </w:pPr>
            <w:r>
              <w:rPr>
                <w:rFonts w:ascii="Arial" w:cs="Arial" w:eastAsia="Arial" w:hAnsi="Arial"/>
                <w:sz w:val="18"/>
                <w:szCs w:val="18"/>
                <w:color w:val="auto"/>
              </w:rPr>
              <w:t>March 20, 2018</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November 8,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0.56</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30, 2017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December 19, 2017</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August 10, 2017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0.56</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tcPr>
          <w:p>
            <w:pPr>
              <w:ind w:left="200"/>
              <w:spacing w:after="0"/>
              <w:rPr>
                <w:sz w:val="20"/>
                <w:szCs w:val="20"/>
                <w:color w:val="auto"/>
              </w:rPr>
            </w:pPr>
            <w:r>
              <w:rPr>
                <w:rFonts w:ascii="Arial" w:cs="Arial" w:eastAsia="Arial" w:hAnsi="Arial"/>
                <w:sz w:val="18"/>
                <w:szCs w:val="18"/>
                <w:color w:val="auto"/>
              </w:rPr>
              <w:t>August 31, 2017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21,853</w:t>
            </w:r>
          </w:p>
        </w:tc>
        <w:tc>
          <w:tcPr>
            <w:tcW w:w="1640" w:type="dxa"/>
            <w:vAlign w:val="bottom"/>
          </w:tcPr>
          <w:p>
            <w:pPr>
              <w:ind w:left="40"/>
              <w:spacing w:after="0"/>
              <w:rPr>
                <w:sz w:val="20"/>
                <w:szCs w:val="20"/>
                <w:color w:val="auto"/>
              </w:rPr>
            </w:pPr>
            <w:r>
              <w:rPr>
                <w:rFonts w:ascii="Arial" w:cs="Arial" w:eastAsia="Arial" w:hAnsi="Arial"/>
                <w:sz w:val="18"/>
                <w:szCs w:val="18"/>
                <w:color w:val="auto"/>
                <w:w w:val="96"/>
              </w:rPr>
              <w:t>September 19, 2017</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May 5, 2017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0.56</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31, 2017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21,951</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20, 2017</w:t>
            </w: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February 6, 2017</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tcPr>
          <w:p>
            <w:pPr>
              <w:ind w:left="200"/>
              <w:spacing w:after="0"/>
              <w:rPr>
                <w:sz w:val="20"/>
                <w:szCs w:val="20"/>
                <w:color w:val="auto"/>
              </w:rPr>
            </w:pPr>
            <w:r>
              <w:rPr>
                <w:rFonts w:ascii="Arial" w:cs="Arial" w:eastAsia="Arial" w:hAnsi="Arial"/>
                <w:sz w:val="18"/>
                <w:szCs w:val="18"/>
                <w:color w:val="auto"/>
              </w:rPr>
              <w:t>February 28, 2017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19,709</w:t>
            </w:r>
          </w:p>
        </w:tc>
        <w:tc>
          <w:tcPr>
            <w:tcW w:w="1640" w:type="dxa"/>
            <w:vAlign w:val="bottom"/>
          </w:tcPr>
          <w:p>
            <w:pPr>
              <w:ind w:left="40"/>
              <w:spacing w:after="0"/>
              <w:rPr>
                <w:sz w:val="20"/>
                <w:szCs w:val="20"/>
                <w:color w:val="auto"/>
              </w:rPr>
            </w:pPr>
            <w:r>
              <w:rPr>
                <w:rFonts w:ascii="Arial" w:cs="Arial" w:eastAsia="Arial" w:hAnsi="Arial"/>
                <w:sz w:val="18"/>
                <w:szCs w:val="18"/>
                <w:color w:val="auto"/>
              </w:rPr>
              <w:t>March 21, 2017</w:t>
            </w: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November 10, 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30, 2016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1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December 20, 2016</w:t>
            </w:r>
          </w:p>
        </w:tc>
      </w:tr>
      <w:tr>
        <w:trPr>
          <w:trHeight w:val="230"/>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August 5, 2016</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0.50</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Regular (cash)</w:t>
            </w:r>
          </w:p>
        </w:tc>
        <w:tc>
          <w:tcPr>
            <w:tcW w:w="1820" w:type="dxa"/>
            <w:vAlign w:val="bottom"/>
          </w:tcPr>
          <w:p>
            <w:pPr>
              <w:ind w:left="200"/>
              <w:spacing w:after="0"/>
              <w:rPr>
                <w:sz w:val="20"/>
                <w:szCs w:val="20"/>
                <w:color w:val="auto"/>
              </w:rPr>
            </w:pPr>
            <w:r>
              <w:rPr>
                <w:rFonts w:ascii="Arial" w:cs="Arial" w:eastAsia="Arial" w:hAnsi="Arial"/>
                <w:sz w:val="18"/>
                <w:szCs w:val="18"/>
                <w:color w:val="auto"/>
              </w:rPr>
              <w:t>August 31, 2016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20,019</w:t>
            </w:r>
          </w:p>
        </w:tc>
        <w:tc>
          <w:tcPr>
            <w:tcW w:w="1640" w:type="dxa"/>
            <w:vAlign w:val="bottom"/>
          </w:tcPr>
          <w:p>
            <w:pPr>
              <w:ind w:left="40"/>
              <w:spacing w:after="0"/>
              <w:rPr>
                <w:sz w:val="20"/>
                <w:szCs w:val="20"/>
                <w:color w:val="auto"/>
              </w:rPr>
            </w:pPr>
            <w:r>
              <w:rPr>
                <w:rFonts w:ascii="Arial" w:cs="Arial" w:eastAsia="Arial" w:hAnsi="Arial"/>
                <w:sz w:val="18"/>
                <w:szCs w:val="18"/>
                <w:color w:val="auto"/>
                <w:w w:val="96"/>
              </w:rPr>
              <w:t>September 20, 2016</w:t>
            </w:r>
          </w:p>
        </w:tc>
      </w:tr>
    </w:tbl>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All of the above cash dividends were paid from existing cash resources. Future dividend payments will depend on the Company’s earnings, capital requirements, financial condition and other factors considered relevant by the Company and is subject to final determination by the Company’s Board of Directors.</w:t>
      </w:r>
    </w:p>
    <w:p>
      <w:pPr>
        <w:spacing w:after="0" w:line="200" w:lineRule="exact"/>
        <w:rPr>
          <w:sz w:val="20"/>
          <w:szCs w:val="20"/>
          <w:color w:val="auto"/>
        </w:rPr>
      </w:pPr>
    </w:p>
    <w:p>
      <w:pPr>
        <w:spacing w:after="0" w:line="220" w:lineRule="exact"/>
        <w:rPr>
          <w:sz w:val="20"/>
          <w:szCs w:val="20"/>
          <w:color w:val="auto"/>
        </w:rPr>
      </w:pPr>
    </w:p>
    <w:p>
      <w:pPr>
        <w:ind w:right="6340" w:firstLine="8"/>
        <w:spacing w:after="0" w:line="503" w:lineRule="auto"/>
        <w:tabs>
          <w:tab w:leader="none" w:pos="27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OPTION AND RETIREMENT PLANS Stock Option Awards</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December 19, 2017, the Company’s stockholders approved the amended and restated FactSet Research Systems Inc. 2004 Stock Option and Award Plan, as Amended and Restated, which was renamed the Stock Option and Award Plan, as Amended and Restated (the “Long Term Incentive Plan” or “LTIP”). As part of the approved amendment, an additional 5,750,000 shares of common stock were added to the LTIP’s share reserve and the expiration date was extended to December 19, 2027. The LTIP provides for the grant of share-based awards, including stock options and restricted stock awards to employees of FactSet. Stock options granted under the LTIP expire not more than ten years from the date of grant and the majority vest ratably over a period of five years. Options become vested and exercisable provided the employee continues employment with the Company through the applicable vesting date and remain exercisable until expiration or cancellation. Options are not transferable or assignable other than by will or the laws of descent and distribution. During the grantee’s lifetime, the options may be exercised only by the grantee.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nine months of fiscal 2018, FactSet granted 569,305 stock options at a weighted average exercise price of $190.04 to existing employees of the Company. As of May 31, 2018, a total of 3,279,096 stock options were outstanding, at a weighted average exercise price of $151.79. Unamortized stock-based compensation of $65 million is expected to be recognized as stock-based compensation expense over the remaining weighted average vesting period of 3.3 years.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A summary of stock option activity is as follows:</w:t>
            </w:r>
          </w:p>
        </w:tc>
        <w:tc>
          <w:tcPr>
            <w:tcW w:w="3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Weighted Average</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Number</w:t>
            </w:r>
          </w:p>
        </w:tc>
        <w:tc>
          <w:tcPr>
            <w:tcW w:w="3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Exercise Price Per</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exercise price per share)</w:t>
            </w:r>
          </w:p>
        </w:tc>
        <w:tc>
          <w:tcPr>
            <w:tcW w:w="306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Outstanding</w:t>
            </w:r>
          </w:p>
        </w:tc>
        <w:tc>
          <w:tcPr>
            <w:tcW w:w="3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Share</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494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3,366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Granted – non performance-based</w:t>
            </w:r>
          </w:p>
        </w:tc>
        <w:tc>
          <w:tcPr>
            <w:tcW w:w="4940" w:type="dxa"/>
            <w:vAlign w:val="bottom"/>
            <w:gridSpan w:val="3"/>
          </w:tcPr>
          <w:p>
            <w:pPr>
              <w:jc w:val="right"/>
              <w:ind w:right="140"/>
              <w:spacing w:after="0"/>
              <w:rPr>
                <w:sz w:val="20"/>
                <w:szCs w:val="20"/>
                <w:color w:val="auto"/>
              </w:rPr>
            </w:pPr>
            <w:r>
              <w:rPr>
                <w:rFonts w:ascii="Arial" w:cs="Arial" w:eastAsia="Arial" w:hAnsi="Arial"/>
                <w:sz w:val="18"/>
                <w:szCs w:val="18"/>
                <w:color w:val="auto"/>
              </w:rPr>
              <w:t>554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189.98</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4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104.90</w:t>
            </w: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8"/>
                <w:szCs w:val="18"/>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133.89</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2017</w:t>
            </w:r>
          </w:p>
        </w:tc>
        <w:tc>
          <w:tcPr>
            <w:tcW w:w="306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149.09</w:t>
            </w: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Granted – non performance-based</w:t>
            </w:r>
          </w:p>
        </w:tc>
        <w:tc>
          <w:tcPr>
            <w:tcW w:w="494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192.11</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non-employee Directors grant</w:t>
            </w:r>
          </w:p>
        </w:tc>
        <w:tc>
          <w:tcPr>
            <w:tcW w:w="4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197.75</w:t>
            </w: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4940" w:type="dxa"/>
            <w:vAlign w:val="bottom"/>
            <w:gridSpan w:val="3"/>
          </w:tcPr>
          <w:p>
            <w:pPr>
              <w:jc w:val="right"/>
              <w:ind w:right="80"/>
              <w:spacing w:after="0"/>
              <w:rPr>
                <w:sz w:val="20"/>
                <w:szCs w:val="20"/>
                <w:color w:val="auto"/>
              </w:rPr>
            </w:pPr>
            <w:r>
              <w:rPr>
                <w:rFonts w:ascii="Arial" w:cs="Arial" w:eastAsia="Arial" w:hAnsi="Arial"/>
                <w:sz w:val="18"/>
                <w:szCs w:val="18"/>
                <w:color w:val="auto"/>
              </w:rPr>
              <w:t>(220)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118.75</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30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164.59</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February 28, 2018</w:t>
            </w:r>
          </w:p>
        </w:tc>
        <w:tc>
          <w:tcPr>
            <w:tcW w:w="3060" w:type="dxa"/>
            <w:vAlign w:val="bottom"/>
            <w:tcBorders>
              <w:top w:val="single" w:sz="8" w:color="CCEEFF"/>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151.15</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4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113.39</w:t>
            </w: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060" w:type="dxa"/>
            <w:vAlign w:val="bottom"/>
          </w:tcPr>
          <w:p>
            <w:pPr>
              <w:spacing w:after="0"/>
              <w:rPr>
                <w:sz w:val="18"/>
                <w:szCs w:val="18"/>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154.41</w:t>
            </w: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2018</w:t>
            </w:r>
          </w:p>
        </w:tc>
        <w:tc>
          <w:tcPr>
            <w:tcW w:w="306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151.79</w:t>
            </w:r>
          </w:p>
        </w:tc>
      </w:tr>
      <w:tr>
        <w:trPr>
          <w:trHeight w:val="43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60" w:type="dxa"/>
            <w:vAlign w:val="bottom"/>
          </w:tcPr>
          <w:p>
            <w:pPr>
              <w:jc w:val="right"/>
              <w:ind w:right="1770"/>
              <w:spacing w:after="0"/>
              <w:rPr>
                <w:sz w:val="20"/>
                <w:szCs w:val="20"/>
                <w:color w:val="auto"/>
              </w:rPr>
            </w:pPr>
            <w:r>
              <w:rPr>
                <w:rFonts w:ascii="Arial" w:cs="Arial" w:eastAsia="Arial" w:hAnsi="Arial"/>
                <w:sz w:val="18"/>
                <w:szCs w:val="18"/>
                <w:color w:val="auto"/>
              </w:rPr>
              <w:t>19</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458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ind w:right="80"/>
        <w:spacing w:after="0" w:line="272" w:lineRule="auto"/>
        <w:rPr>
          <w:sz w:val="20"/>
          <w:szCs w:val="20"/>
          <w:color w:val="auto"/>
        </w:rPr>
      </w:pPr>
      <w:r>
        <w:rPr>
          <w:rFonts w:ascii="Arial" w:cs="Arial" w:eastAsia="Arial" w:hAnsi="Arial"/>
          <w:sz w:val="17"/>
          <w:szCs w:val="17"/>
          <w:color w:val="auto"/>
        </w:rPr>
        <w:t>The total number of in-the-money options exercisable as of May 31, 2018 was 1.1 million with a weighted average exercise price of $124.52. The total number of in-the-money options exercisable as of August 31, 2017 was 0.9 million with a weighted average exercise price of $105.14. As of May 31, 2018 and August 31, 2017, the aggregate intrinsic value of in-the-money stock options exercisable was $84.1 million and $49.7 million, respectively. Aggregate intrinsic value represents the difference between the Company’s closing stock prices of $201.01 and $157.18 on May 31, 2018 and August 31, 2017, respectively, and the exercise price multiplied by the number of options exercisable as of that date. The total pre-tax intrinsic value of stock options exercised during the three months ended May 31, 2018 and 2017 was $5.2 million and $4.3 million, respectively. The total pre-tax intrinsic value of stock options exercised during the nine months ended May 31, 2018 and 2017 was $40.3 million and $34.8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Performance-based stock options require management to make assumptions regarding the likelihood of achieving Company performance targets. The number of performance-based options that vest will be predicated on the Company achieving performance levels during the measurement period subsequent to the date of grant. Dependent on the financial performance levels attained by FactSet, a percentage of the performance-based stock options will vest to the grantees of those stock options. However, there is no current guarantee that such options will vest in whole or in part.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2015 Performance-based Option Grant Review</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acquisition of Code Red, FactSet granted 68,761 performance-based options during the second quarter of fiscal 2015 that are eligible to cliff vest based on a four-year measurement period ending February 28, 2019. In the second quarter of fiscal 2018, FactSet modified the vesting criteria of the grant, which resulted in 40% of the options deemed eligible to vest, with the remaining options forfeited. No cumulative catch-up adjustment was required because FactSet had expected the 40% level to be achieved. The option holders must remain employed by FactSet through February 28, 2019 in order for the options to vest. As of May 31, 2018, total unamortized stock-based compensation of $0.2 million will be recognized as expense over the remaining vesting period of 0.7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2017 Performance-based Option Grant Review</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connection with the acquisition of Vermilion, FactSet granted 61,744 performance-based stock options in January 2017. These performance-based options will vest 40% on the second anniversary date of the grant and 20% on each subsequent anniversary date if certain Vermilion revenue and operating income targets are achieved by November 30, 2018. The option holders must also remain employed by FactSet for the options to be eligible to vest. As of May 31, 2018, FactSet does not believe these growth targets are probable of being achieved, and as such, no stock-based compensation expense is expected to be recognized in connection with these performance-based options. A change in the actual financial performance levels achieved by Vermilion in future periods could result in the following changes to the current estimate of the vesting percentage and related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780" w:type="dxa"/>
            <w:vAlign w:val="bottom"/>
          </w:tcPr>
          <w:p>
            <w:pPr>
              <w:jc w:val="right"/>
              <w:ind w:right="390"/>
              <w:spacing w:after="0"/>
              <w:rPr>
                <w:sz w:val="20"/>
                <w:szCs w:val="20"/>
                <w:color w:val="auto"/>
              </w:rPr>
            </w:pPr>
            <w:r>
              <w:rPr>
                <w:rFonts w:ascii="Arial" w:cs="Arial" w:eastAsia="Arial" w:hAnsi="Arial"/>
                <w:sz w:val="18"/>
                <w:szCs w:val="18"/>
                <w:color w:val="auto"/>
              </w:rPr>
              <w:t>Cumulative</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color w:val="auto"/>
              </w:rPr>
              <w:t>Remaining Expense</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Vesting Percentage (in thousands)</w:t>
            </w:r>
          </w:p>
        </w:tc>
        <w:tc>
          <w:tcPr>
            <w:tcW w:w="3780" w:type="dxa"/>
            <w:vAlign w:val="bottom"/>
          </w:tcPr>
          <w:p>
            <w:pPr>
              <w:jc w:val="right"/>
              <w:spacing w:after="0"/>
              <w:rPr>
                <w:sz w:val="20"/>
                <w:szCs w:val="20"/>
                <w:color w:val="auto"/>
              </w:rPr>
            </w:pPr>
            <w:r>
              <w:rPr>
                <w:rFonts w:ascii="Arial" w:cs="Arial" w:eastAsia="Arial" w:hAnsi="Arial"/>
                <w:sz w:val="18"/>
                <w:szCs w:val="18"/>
                <w:color w:val="auto"/>
              </w:rPr>
              <w:t>Catch-up Adjustment*</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0" w:type="dxa"/>
            <w:vAlign w:val="bottom"/>
            <w:gridSpan w:val="2"/>
          </w:tcPr>
          <w:p>
            <w:pPr>
              <w:jc w:val="right"/>
              <w:ind w:right="840"/>
              <w:spacing w:after="0"/>
              <w:rPr>
                <w:sz w:val="20"/>
                <w:szCs w:val="20"/>
                <w:color w:val="auto"/>
              </w:rPr>
            </w:pPr>
            <w:r>
              <w:rPr>
                <w:rFonts w:ascii="Arial" w:cs="Arial" w:eastAsia="Arial" w:hAnsi="Arial"/>
                <w:sz w:val="18"/>
                <w:szCs w:val="18"/>
                <w:color w:val="auto"/>
              </w:rPr>
              <w:t>to be Recognized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0% (current expectation)</w:t>
            </w:r>
          </w:p>
        </w:tc>
        <w:tc>
          <w:tcPr>
            <w:tcW w:w="37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100%</w:t>
            </w:r>
          </w:p>
        </w:tc>
        <w:tc>
          <w:tcPr>
            <w:tcW w:w="3780" w:type="dxa"/>
            <w:vAlign w:val="bottom"/>
          </w:tcPr>
          <w:p>
            <w:pPr>
              <w:jc w:val="right"/>
              <w:ind w:right="197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744</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Amounts represent the cumulative catch-up adjustment to be recorded if there was a change in the vesting percentage as of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2017 Performance-based Option Grant Review</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acquisition of BISAM, FactSet granted 206,417 performance-based stock options in June 2017. These performance-based options will vest 40% on the second anniversary date of the grant and 20% on each subsequent anniversary date if certain BISAM revenue and operating income targets are achieved by March 31, 2019. The option holders must also remain employed by FactSet for the options to be eligible to vest. As of May 31, 2018, FactSet does not believe these growth targets are probable of being achieved, and as such, no stock-based compensation expense is expected to be recognized in connection with these performance-based options. A change in the actual financial performance levels achieved by BISAM in future fiscal years could result in the following changes to the current estimate of the vesting percentage and related expense: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720" w:type="dxa"/>
            <w:vAlign w:val="bottom"/>
          </w:tcPr>
          <w:p>
            <w:pPr>
              <w:jc w:val="right"/>
              <w:ind w:right="330"/>
              <w:spacing w:after="0"/>
              <w:rPr>
                <w:sz w:val="20"/>
                <w:szCs w:val="20"/>
                <w:color w:val="auto"/>
              </w:rPr>
            </w:pPr>
            <w:r>
              <w:rPr>
                <w:rFonts w:ascii="Arial" w:cs="Arial" w:eastAsia="Arial" w:hAnsi="Arial"/>
                <w:sz w:val="18"/>
                <w:szCs w:val="18"/>
                <w:color w:val="auto"/>
              </w:rPr>
              <w:t>Cumulative</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0" w:type="dxa"/>
            <w:vAlign w:val="bottom"/>
            <w:gridSpan w:val="2"/>
          </w:tcPr>
          <w:p>
            <w:pPr>
              <w:jc w:val="right"/>
              <w:ind w:right="740"/>
              <w:spacing w:after="0"/>
              <w:rPr>
                <w:sz w:val="20"/>
                <w:szCs w:val="20"/>
                <w:color w:val="auto"/>
              </w:rPr>
            </w:pPr>
            <w:r>
              <w:rPr>
                <w:rFonts w:ascii="Arial" w:cs="Arial" w:eastAsia="Arial" w:hAnsi="Arial"/>
                <w:sz w:val="18"/>
                <w:szCs w:val="18"/>
                <w:color w:val="auto"/>
              </w:rPr>
              <w:t>Remaining Expense</w:t>
            </w: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Vesting Percentage (in thousands)</w:t>
            </w:r>
          </w:p>
        </w:tc>
        <w:tc>
          <w:tcPr>
            <w:tcW w:w="3720" w:type="dxa"/>
            <w:vAlign w:val="bottom"/>
          </w:tcPr>
          <w:p>
            <w:pPr>
              <w:jc w:val="right"/>
              <w:spacing w:after="0"/>
              <w:rPr>
                <w:sz w:val="20"/>
                <w:szCs w:val="20"/>
                <w:color w:val="auto"/>
              </w:rPr>
            </w:pPr>
            <w:r>
              <w:rPr>
                <w:rFonts w:ascii="Arial" w:cs="Arial" w:eastAsia="Arial" w:hAnsi="Arial"/>
                <w:sz w:val="18"/>
                <w:szCs w:val="18"/>
                <w:color w:val="auto"/>
              </w:rPr>
              <w:t>Catch-up Adjustment*</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0" w:type="dxa"/>
            <w:vAlign w:val="bottom"/>
            <w:gridSpan w:val="2"/>
          </w:tcPr>
          <w:p>
            <w:pPr>
              <w:jc w:val="right"/>
              <w:ind w:right="840"/>
              <w:spacing w:after="0"/>
              <w:rPr>
                <w:sz w:val="20"/>
                <w:szCs w:val="20"/>
                <w:color w:val="auto"/>
              </w:rPr>
            </w:pPr>
            <w:r>
              <w:rPr>
                <w:rFonts w:ascii="Arial" w:cs="Arial" w:eastAsia="Arial" w:hAnsi="Arial"/>
                <w:sz w:val="18"/>
                <w:szCs w:val="18"/>
                <w:color w:val="auto"/>
              </w:rPr>
              <w:t>to be Recognized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0% (current expectation)</w:t>
            </w:r>
          </w:p>
        </w:tc>
        <w:tc>
          <w:tcPr>
            <w:tcW w:w="372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80%</w:t>
            </w:r>
          </w:p>
        </w:tc>
        <w:tc>
          <w:tcPr>
            <w:tcW w:w="372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1,303</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90%</w:t>
            </w:r>
          </w:p>
        </w:tc>
        <w:tc>
          <w:tcPr>
            <w:tcW w:w="3720" w:type="dxa"/>
            <w:vAlign w:val="bottom"/>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8"/>
              </w:rPr>
              <w:t>1,466</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100%</w:t>
            </w:r>
          </w:p>
        </w:tc>
        <w:tc>
          <w:tcPr>
            <w:tcW w:w="3720" w:type="dxa"/>
            <w:vAlign w:val="bottom"/>
          </w:tcPr>
          <w:p>
            <w:pPr>
              <w:jc w:val="right"/>
              <w:ind w:right="191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1,629</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7,255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Amounts represent the cumulative catch-up adjustment to be recorded if there was a change in the vesting percentage as of May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Stock Unit Awards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Option Plan permits the issuance of restricted stock and restricted stock units. Restricted stock awards are subject to continued employment over a specified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Stock and Stock Unit Awards Activity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first nine months of fiscal 2018, FactSet granted 961 restricted stock awards to employees of the Company at a weighted average grant date fair value of $182.17. These restricted stock awards vest over a weighted average period of 5.0 years from grant date.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May 31, 2018, a total of 153,842 shares of restricted stock and restricted stock units were unvested and outstanding, which results in unamortized stock-based compensation of $13.3 million to be recognized as stock-based compensation expense over the remaining weighted average vesting period of 3 years.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A summary of restricted stock award activity is as follows:</w:t>
            </w: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gridSpan w:val="2"/>
          </w:tcPr>
          <w:p>
            <w:pPr>
              <w:ind w:left="220"/>
              <w:spacing w:after="0"/>
              <w:rPr>
                <w:sz w:val="20"/>
                <w:szCs w:val="20"/>
                <w:color w:val="auto"/>
              </w:rPr>
            </w:pPr>
            <w:r>
              <w:rPr>
                <w:rFonts w:ascii="Arial" w:cs="Arial" w:eastAsia="Arial" w:hAnsi="Arial"/>
                <w:sz w:val="18"/>
                <w:szCs w:val="18"/>
                <w:color w:val="auto"/>
              </w:rPr>
              <w:t>Weighted Average</w:t>
            </w: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award data)</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Number Outstanding</w:t>
            </w:r>
          </w:p>
        </w:tc>
        <w:tc>
          <w:tcPr>
            <w:tcW w:w="2560" w:type="dxa"/>
            <w:vAlign w:val="bottom"/>
            <w:gridSpan w:val="3"/>
          </w:tcPr>
          <w:p>
            <w:pPr>
              <w:ind w:left="80"/>
              <w:spacing w:after="0"/>
              <w:rPr>
                <w:sz w:val="20"/>
                <w:szCs w:val="20"/>
                <w:color w:val="auto"/>
              </w:rPr>
            </w:pPr>
            <w:r>
              <w:rPr>
                <w:rFonts w:ascii="Arial" w:cs="Arial" w:eastAsia="Arial" w:hAnsi="Arial"/>
                <w:sz w:val="18"/>
                <w:szCs w:val="18"/>
                <w:color w:val="auto"/>
                <w:w w:val="93"/>
              </w:rPr>
              <w:t>Grant Date Fair Value Per Award</w:t>
            </w:r>
          </w:p>
        </w:tc>
      </w:tr>
      <w:tr>
        <w:trPr>
          <w:trHeight w:val="210"/>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22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3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Granted</w:t>
            </w: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182.17</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114.37</w:t>
            </w: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Vested</w:t>
            </w:r>
          </w:p>
        </w:tc>
        <w:tc>
          <w:tcPr>
            <w:tcW w:w="22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157.37</w:t>
            </w: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2017</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139.12</w:t>
            </w: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22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120.28</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135.97</w:t>
            </w: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February 28, 2018</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139.55</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115.07</w:t>
            </w:r>
          </w:p>
        </w:tc>
      </w:tr>
      <w:tr>
        <w:trPr>
          <w:trHeight w:val="224"/>
        </w:trPr>
        <w:tc>
          <w:tcPr>
            <w:tcW w:w="20" w:type="dxa"/>
            <w:vAlign w:val="bottom"/>
          </w:tcPr>
          <w:p>
            <w:pPr>
              <w:spacing w:after="0"/>
              <w:rPr>
                <w:sz w:val="19"/>
                <w:szCs w:val="19"/>
                <w:color w:val="auto"/>
              </w:rPr>
            </w:pPr>
          </w:p>
        </w:tc>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May 31, 2018</w:t>
            </w: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139.74</w:t>
            </w:r>
          </w:p>
        </w:tc>
      </w:tr>
    </w:tbl>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May 31, 2018 and August 31, 2017, the aggregate fair value of unvested restricted stock was $30.9 million and $28.6 million, respectively. Aggregate fair value of unvested restricted stock represents the Company’s closing stock prices of $201.01 and $157.18 on May 31, 2018 and August 31, 2017, respectively, multiplied by the number of unvested restricted stock as of that date.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total pre-tax fair value of restricted stock that vested during the three months ended May 31, 2018 and 2017 was less than $0.1 million in each period, respectively. The total pre-tax fair value of restricted stock that vested during the nine months ended May 31, 2018 and 2017 was $2.8 million and $15.6 million,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Share-based Awards Available for Grant</w:t>
            </w:r>
          </w:p>
        </w:tc>
        <w:tc>
          <w:tcPr>
            <w:tcW w:w="23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gridSpan w:val="2"/>
          </w:tcPr>
          <w:p>
            <w:pPr>
              <w:spacing w:after="0"/>
              <w:rPr>
                <w:sz w:val="20"/>
                <w:szCs w:val="20"/>
                <w:color w:val="auto"/>
              </w:rPr>
            </w:pPr>
            <w:r>
              <w:rPr>
                <w:rFonts w:ascii="Arial" w:cs="Arial" w:eastAsia="Arial" w:hAnsi="Arial"/>
                <w:sz w:val="18"/>
                <w:szCs w:val="18"/>
                <w:color w:val="auto"/>
              </w:rPr>
              <w:t>A summary of share-based awards available for grant is as follows:</w:t>
            </w:r>
          </w:p>
        </w:tc>
        <w:tc>
          <w:tcPr>
            <w:tcW w:w="2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8"/>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320" w:type="dxa"/>
            <w:vAlign w:val="bottom"/>
            <w:gridSpan w:val="2"/>
          </w:tcPr>
          <w:p>
            <w:pPr>
              <w:jc w:val="center"/>
              <w:ind w:right="60"/>
              <w:spacing w:after="0"/>
              <w:rPr>
                <w:sz w:val="20"/>
                <w:szCs w:val="20"/>
                <w:color w:val="auto"/>
              </w:rPr>
            </w:pPr>
            <w:r>
              <w:rPr>
                <w:rFonts w:ascii="Arial" w:cs="Arial" w:eastAsia="Arial" w:hAnsi="Arial"/>
                <w:sz w:val="18"/>
                <w:szCs w:val="18"/>
                <w:color w:val="auto"/>
                <w:w w:val="86"/>
              </w:rPr>
              <w:t>Share-based Awards</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Pr>
          <w:p>
            <w:pPr>
              <w:jc w:val="center"/>
              <w:ind w:right="150"/>
              <w:spacing w:after="0"/>
              <w:rPr>
                <w:sz w:val="20"/>
                <w:szCs w:val="20"/>
                <w:color w:val="auto"/>
              </w:rPr>
            </w:pPr>
            <w:r>
              <w:rPr>
                <w:rFonts w:ascii="Arial" w:cs="Arial" w:eastAsia="Arial" w:hAnsi="Arial"/>
                <w:sz w:val="18"/>
                <w:szCs w:val="18"/>
                <w:color w:val="auto"/>
                <w:w w:val="86"/>
              </w:rPr>
              <w:t>Share-based Awards</w:t>
            </w:r>
          </w:p>
        </w:tc>
        <w:tc>
          <w:tcPr>
            <w:tcW w:w="2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Available for Grant under</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340" w:type="dxa"/>
            <w:vAlign w:val="bottom"/>
          </w:tcPr>
          <w:p>
            <w:pPr>
              <w:jc w:val="center"/>
              <w:ind w:right="150"/>
              <w:spacing w:after="0"/>
              <w:rPr>
                <w:sz w:val="20"/>
                <w:szCs w:val="20"/>
                <w:color w:val="auto"/>
              </w:rPr>
            </w:pPr>
            <w:r>
              <w:rPr>
                <w:rFonts w:ascii="Arial" w:cs="Arial" w:eastAsia="Arial" w:hAnsi="Arial"/>
                <w:sz w:val="18"/>
                <w:szCs w:val="18"/>
                <w:color w:val="auto"/>
                <w:w w:val="92"/>
              </w:rPr>
              <w:t>Available for Grant under</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the Non-Employee Directors</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340" w:type="dxa"/>
            <w:vAlign w:val="bottom"/>
          </w:tcPr>
          <w:p>
            <w:pPr>
              <w:jc w:val="center"/>
              <w:ind w:right="150"/>
              <w:spacing w:after="0"/>
              <w:rPr>
                <w:sz w:val="20"/>
                <w:szCs w:val="20"/>
                <w:color w:val="auto"/>
              </w:rPr>
            </w:pPr>
            <w:r>
              <w:rPr>
                <w:rFonts w:ascii="Arial" w:cs="Arial" w:eastAsia="Arial" w:hAnsi="Arial"/>
                <w:sz w:val="18"/>
                <w:szCs w:val="18"/>
                <w:color w:val="auto"/>
                <w:w w:val="90"/>
              </w:rPr>
              <w:t>the Employee Option Plan</w:t>
            </w:r>
          </w:p>
        </w:tc>
        <w:tc>
          <w:tcPr>
            <w:tcW w:w="23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Plan</w:t>
            </w:r>
          </w:p>
        </w:tc>
      </w:tr>
      <w:tr>
        <w:trPr>
          <w:trHeight w:val="210"/>
        </w:trPr>
        <w:tc>
          <w:tcPr>
            <w:tcW w:w="2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23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897</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Granted – nonperformance-based options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Granted – restricted stock awards</w:t>
            </w:r>
            <w:r>
              <w:rPr>
                <w:rFonts w:ascii="Arial" w:cs="Arial" w:eastAsia="Arial" w:hAnsi="Arial"/>
                <w:sz w:val="29"/>
                <w:szCs w:val="29"/>
                <w:color w:val="auto"/>
                <w:vertAlign w:val="superscript"/>
              </w:rPr>
              <w:t>(1)</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740" w:type="dxa"/>
            <w:vAlign w:val="bottom"/>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2017</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392</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57"/>
        </w:trPr>
        <w:tc>
          <w:tcPr>
            <w:tcW w:w="20" w:type="dxa"/>
            <w:vAlign w:val="bottom"/>
          </w:tcPr>
          <w:p>
            <w:pPr>
              <w:spacing w:after="0"/>
              <w:rPr>
                <w:sz w:val="22"/>
                <w:szCs w:val="22"/>
                <w:color w:val="auto"/>
              </w:rPr>
            </w:pPr>
          </w:p>
        </w:tc>
        <w:tc>
          <w:tcPr>
            <w:tcW w:w="6740" w:type="dxa"/>
            <w:vAlign w:val="bottom"/>
          </w:tcPr>
          <w:p>
            <w:pPr>
              <w:ind w:left="160"/>
              <w:spacing w:after="0" w:line="256" w:lineRule="exact"/>
              <w:rPr>
                <w:sz w:val="20"/>
                <w:szCs w:val="20"/>
                <w:color w:val="auto"/>
              </w:rPr>
            </w:pPr>
            <w:r>
              <w:rPr>
                <w:rFonts w:ascii="Arial" w:cs="Arial" w:eastAsia="Arial" w:hAnsi="Arial"/>
                <w:sz w:val="18"/>
                <w:szCs w:val="18"/>
                <w:color w:val="auto"/>
              </w:rPr>
              <w:t>Increase in the number of shares available for issuance</w:t>
            </w:r>
            <w:r>
              <w:rPr>
                <w:rFonts w:ascii="Arial" w:cs="Arial" w:eastAsia="Arial" w:hAnsi="Arial"/>
                <w:sz w:val="29"/>
                <w:szCs w:val="29"/>
                <w:color w:val="auto"/>
                <w:vertAlign w:val="superscript"/>
              </w:rPr>
              <w:t>(3) (4)</w:t>
            </w:r>
          </w:p>
        </w:tc>
        <w:tc>
          <w:tcPr>
            <w:tcW w:w="2340" w:type="dxa"/>
            <w:vAlign w:val="bottom"/>
          </w:tcPr>
          <w:p>
            <w:pPr>
              <w:jc w:val="right"/>
              <w:ind w:right="70"/>
              <w:spacing w:after="0"/>
              <w:rPr>
                <w:sz w:val="20"/>
                <w:szCs w:val="20"/>
                <w:color w:val="auto"/>
              </w:rPr>
            </w:pPr>
            <w:r>
              <w:rPr>
                <w:rFonts w:ascii="Arial" w:cs="Arial" w:eastAsia="Arial" w:hAnsi="Arial"/>
                <w:sz w:val="18"/>
                <w:szCs w:val="18"/>
                <w:color w:val="auto"/>
              </w:rPr>
              <w:t>5,750</w:t>
            </w:r>
          </w:p>
        </w:tc>
        <w:tc>
          <w:tcPr>
            <w:tcW w:w="232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 – non performance-based options</w:t>
            </w:r>
          </w:p>
        </w:tc>
        <w:tc>
          <w:tcPr>
            <w:tcW w:w="2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2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20" w:type="dxa"/>
            <w:vAlign w:val="bottom"/>
          </w:tcPr>
          <w:p>
            <w:pPr>
              <w:spacing w:after="0"/>
              <w:rPr>
                <w:sz w:val="21"/>
                <w:szCs w:val="21"/>
                <w:color w:val="auto"/>
              </w:rPr>
            </w:pPr>
          </w:p>
        </w:tc>
        <w:tc>
          <w:tcPr>
            <w:tcW w:w="6740" w:type="dxa"/>
            <w:vAlign w:val="bottom"/>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28, 2018</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6,215</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43"/>
        </w:trPr>
        <w:tc>
          <w:tcPr>
            <w:tcW w:w="20" w:type="dxa"/>
            <w:vAlign w:val="bottom"/>
          </w:tcPr>
          <w:p>
            <w:pPr>
              <w:spacing w:after="0"/>
              <w:rPr>
                <w:sz w:val="21"/>
                <w:szCs w:val="21"/>
                <w:color w:val="auto"/>
              </w:rPr>
            </w:pPr>
          </w:p>
        </w:tc>
        <w:tc>
          <w:tcPr>
            <w:tcW w:w="6740" w:type="dxa"/>
            <w:vAlign w:val="bottom"/>
          </w:tcPr>
          <w:p>
            <w:pPr>
              <w:ind w:left="160"/>
              <w:spacing w:after="0" w:line="243" w:lineRule="exact"/>
              <w:rPr>
                <w:sz w:val="20"/>
                <w:szCs w:val="20"/>
                <w:color w:val="auto"/>
              </w:rPr>
            </w:pPr>
            <w:r>
              <w:rPr>
                <w:rFonts w:ascii="Arial" w:cs="Arial" w:eastAsia="Arial" w:hAnsi="Arial"/>
                <w:sz w:val="17"/>
                <w:szCs w:val="17"/>
                <w:color w:val="auto"/>
              </w:rPr>
              <w:t>Share-based awards canceled/forfeited</w:t>
            </w:r>
            <w:r>
              <w:rPr>
                <w:rFonts w:ascii="Arial" w:cs="Arial" w:eastAsia="Arial" w:hAnsi="Arial"/>
                <w:sz w:val="28"/>
                <w:szCs w:val="28"/>
                <w:color w:val="auto"/>
                <w:vertAlign w:val="superscript"/>
              </w:rPr>
              <w:t>(2)</w:t>
            </w:r>
          </w:p>
        </w:tc>
        <w:tc>
          <w:tcPr>
            <w:tcW w:w="2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2018</w:t>
            </w:r>
          </w:p>
        </w:tc>
        <w:tc>
          <w:tcPr>
            <w:tcW w:w="2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6,279</w:t>
            </w: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bl>
    <w:p>
      <w:pPr>
        <w:spacing w:after="0" w:line="87"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Each restricted stock award granted is equivalent to 2.5 shares granted under the Company’s Option Plan.</w:t>
      </w:r>
    </w:p>
    <w:p>
      <w:pPr>
        <w:spacing w:after="0" w:line="242" w:lineRule="exact"/>
        <w:rPr>
          <w:rFonts w:ascii="Arial" w:cs="Arial" w:eastAsia="Arial" w:hAnsi="Arial"/>
          <w:sz w:val="30"/>
          <w:szCs w:val="30"/>
          <w:i w:val="1"/>
          <w:iCs w:val="1"/>
          <w:color w:val="auto"/>
          <w:vertAlign w:val="superscript"/>
        </w:rPr>
      </w:pPr>
    </w:p>
    <w:p>
      <w:pPr>
        <w:ind w:left="500" w:right="40" w:hanging="330"/>
        <w:spacing w:after="0" w:line="194" w:lineRule="auto"/>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Under the Company’s Option Plan, for each restricted stock award canceled/forfeited, an equivalent of 2.5 shares is added back to the available share-based awards balance.</w:t>
      </w:r>
    </w:p>
    <w:p>
      <w:pPr>
        <w:spacing w:after="0" w:line="53" w:lineRule="exact"/>
        <w:rPr>
          <w:rFonts w:ascii="Arial" w:cs="Arial" w:eastAsia="Arial" w:hAnsi="Arial"/>
          <w:sz w:val="30"/>
          <w:szCs w:val="30"/>
          <w:i w:val="1"/>
          <w:iCs w:val="1"/>
          <w:color w:val="auto"/>
          <w:vertAlign w:val="superscript"/>
        </w:rPr>
      </w:pPr>
    </w:p>
    <w:p>
      <w:pPr>
        <w:ind w:left="500" w:right="40" w:hanging="330"/>
        <w:spacing w:after="0" w:line="194" w:lineRule="auto"/>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On December 19, 2017, the Company’s stockholders approved the LTIP. As part of the approval, an additional 5,750,000 shares of common stock were added to the LTIP’s share reserve.</w:t>
      </w:r>
    </w:p>
    <w:p>
      <w:pPr>
        <w:spacing w:after="0" w:line="202" w:lineRule="exact"/>
        <w:rPr>
          <w:rFonts w:ascii="Arial" w:cs="Arial" w:eastAsia="Arial" w:hAnsi="Arial"/>
          <w:sz w:val="30"/>
          <w:szCs w:val="30"/>
          <w:i w:val="1"/>
          <w:iCs w:val="1"/>
          <w:color w:val="auto"/>
          <w:vertAlign w:val="superscript"/>
        </w:rPr>
      </w:pPr>
    </w:p>
    <w:p>
      <w:pPr>
        <w:ind w:left="500" w:right="20" w:hanging="330"/>
        <w:spacing w:after="0" w:line="209" w:lineRule="auto"/>
        <w:tabs>
          <w:tab w:leader="none" w:pos="500" w:val="left"/>
        </w:tabs>
        <w:numPr>
          <w:ilvl w:val="0"/>
          <w:numId w:val="14"/>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On December 19, 2017, the Company’s stockholders approved the amended and restated 2008 Non-Employee Directors’ Stock Option Plan, which was renamed the Non-Employee Directors’ Stock Option and Award Plan, as Amended and Restated (the “Director Plan”). As part of the approval, an additional 250,000 shares of commons stock were added to the Director Plan share reserve.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On December 19, 2017, the Company’s stockholders approved the amended and restated 2008 Employee Stock Purchase Plan, as Amended and Restated, which was renamed the Employee Stock Purchase Plan, as Amended and Restated (the “ESPP”). Shares of FactSet common stock may be purchased by eligible employees under the ESPP in three-month intervals at a purchase price equal to at least 85% of the lesser of the fair market value of the Company’s common stock on either the first day or the last day of each three-month offering period. Employee purchases may not exceed 10% of their gross compensation and a $25,000 contribution limit during an offering period.</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months ended May 31, 2018 employees purchased 16,312 shares at a weighted average price of $170.86 as compared to 17,314 shares at a weighted average price of $140.84 for the three months ended May 31, 2017. During the nine months ended May 31, 2018, employees purchased 50,706 shares at a weighted average price of $156.88 as compared to 54,554 shares at a weighted average price of $137.38 for the nine months ended May 31, 2017. At May 31, 2018, the ESPP had 282,466 shares reserved for future issuance.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established its 401(k) Plan in fiscal 1993. The 401(k) Plan is a defined contribution plan covering all full-time, U.S. employees of the Company and is subject to the provisions of the Employee Retirement Income Security Act of 1974 and the Internal Revenue Code of 1986 (“IRC”). Each year, participants may contribute up to 60% of their eligible annual compensation, subject to annual limitations established by the IRC. The Company matches up to 4% of employees’ earnings, capped at the Internal Revenue Service annual maximum. Company matching contributions are subject to a five year graduated vesting schedule. All full-time, U.S. employees are eligible for the matching contribution by the Company. The Company contributed $8.5 million and $7.3 million in matching contributions to employee 401(k) accounts during the nine months ended May 31, 2018 and 2017,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recognized total stock-based compensation expense of $7.8 million and $23.2 million during the three and nine months ended May 31, 2018, respectively. Similarly, the Company recognized total stock-based compensation expense of $7.3 million and $20.9 million during the three and nine months ended May 31, 2017, respectively. As of May 31, 2018, $78.3 million of total unrecognized compensation expense related to non-vested equity awards is expected to be recognized over a weighted average period of 3.2 years. There was no stock-based compensation capitalized as of May 31, 2018 or August 31, 2017,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Fair Value Determinations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lattice-binomial option-pricing model (“binomial model”) to estimate the fair value of new employee stock option grants. The Company’s determination of fair value of stock option awards on the date of grant using the binomial model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Q1 2018</w:t>
            </w:r>
          </w:p>
        </w:tc>
        <w:tc>
          <w:tcPr>
            <w:tcW w:w="1034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3"/>
              </w:rPr>
              <w:t>553,942 nonperformance-based employee stock options were granted at a weighted average exercise price of $189.98 and a weighted</w:t>
            </w: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3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average estimated fair value of $48.27 per share.</w:t>
            </w:r>
          </w:p>
        </w:tc>
        <w:tc>
          <w:tcPr>
            <w:tcW w:w="2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940" w:type="dxa"/>
            <w:vAlign w:val="bottom"/>
          </w:tcPr>
          <w:p>
            <w:pPr>
              <w:ind w:left="20"/>
              <w:spacing w:after="0" w:line="195" w:lineRule="exact"/>
              <w:rPr>
                <w:sz w:val="20"/>
                <w:szCs w:val="20"/>
                <w:color w:val="auto"/>
              </w:rPr>
            </w:pPr>
            <w:r>
              <w:rPr>
                <w:rFonts w:ascii="Arial" w:cs="Arial" w:eastAsia="Arial" w:hAnsi="Arial"/>
                <w:sz w:val="18"/>
                <w:szCs w:val="18"/>
                <w:color w:val="auto"/>
              </w:rPr>
              <w:t>Q2 2018</w:t>
            </w:r>
          </w:p>
        </w:tc>
        <w:tc>
          <w:tcPr>
            <w:tcW w:w="10340" w:type="dxa"/>
            <w:vAlign w:val="bottom"/>
          </w:tcPr>
          <w:p>
            <w:pPr>
              <w:ind w:left="300"/>
              <w:spacing w:after="0" w:line="195" w:lineRule="exact"/>
              <w:rPr>
                <w:sz w:val="20"/>
                <w:szCs w:val="20"/>
                <w:color w:val="auto"/>
              </w:rPr>
            </w:pPr>
            <w:r>
              <w:rPr>
                <w:rFonts w:ascii="Arial" w:cs="Arial" w:eastAsia="Arial" w:hAnsi="Arial"/>
                <w:sz w:val="18"/>
                <w:szCs w:val="18"/>
                <w:color w:val="auto"/>
                <w:w w:val="94"/>
              </w:rPr>
              <w:t>15,363 nonperformance-based employee stock options were granted at a weighted average exercise price of $192.11 and a weighted</w:t>
            </w:r>
          </w:p>
        </w:tc>
        <w:tc>
          <w:tcPr>
            <w:tcW w:w="2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average estimated fair value of $48.82 per share.</w:t>
            </w:r>
          </w:p>
        </w:tc>
        <w:tc>
          <w:tcPr>
            <w:tcW w:w="20" w:type="dxa"/>
            <w:vAlign w:val="bottom"/>
          </w:tcPr>
          <w:p>
            <w:pPr>
              <w:spacing w:after="0"/>
              <w:rPr>
                <w:sz w:val="20"/>
                <w:szCs w:val="20"/>
                <w:color w:val="auto"/>
              </w:rPr>
            </w:pPr>
          </w:p>
        </w:tc>
      </w:tr>
      <w:tr>
        <w:trPr>
          <w:trHeight w:val="210"/>
        </w:trPr>
        <w:tc>
          <w:tcPr>
            <w:tcW w:w="120" w:type="dxa"/>
            <w:vAlign w:val="bottom"/>
          </w:tcPr>
          <w:p>
            <w:pPr>
              <w:spacing w:after="0"/>
              <w:rPr>
                <w:sz w:val="18"/>
                <w:szCs w:val="18"/>
                <w:color w:val="auto"/>
              </w:rPr>
            </w:pP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Q3 2018</w:t>
            </w:r>
          </w:p>
        </w:tc>
        <w:tc>
          <w:tcPr>
            <w:tcW w:w="103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There were no employee stock options granted during the three months ended May 31, 2018.</w:t>
            </w:r>
          </w:p>
        </w:tc>
        <w:tc>
          <w:tcPr>
            <w:tcW w:w="20" w:type="dxa"/>
            <w:vAlign w:val="bottom"/>
          </w:tcPr>
          <w:p>
            <w:pPr>
              <w:spacing w:after="0"/>
              <w:rPr>
                <w:sz w:val="18"/>
                <w:szCs w:val="18"/>
                <w:color w:val="auto"/>
              </w:rPr>
            </w:pPr>
          </w:p>
        </w:tc>
      </w:tr>
      <w:tr>
        <w:trPr>
          <w:trHeight w:val="195"/>
        </w:trPr>
        <w:tc>
          <w:tcPr>
            <w:tcW w:w="120" w:type="dxa"/>
            <w:vAlign w:val="bottom"/>
          </w:tcPr>
          <w:p>
            <w:pPr>
              <w:spacing w:after="0"/>
              <w:rPr>
                <w:sz w:val="16"/>
                <w:szCs w:val="16"/>
                <w:color w:val="auto"/>
              </w:rPr>
            </w:pPr>
          </w:p>
        </w:tc>
        <w:tc>
          <w:tcPr>
            <w:tcW w:w="940" w:type="dxa"/>
            <w:vAlign w:val="bottom"/>
          </w:tcPr>
          <w:p>
            <w:pPr>
              <w:ind w:left="20"/>
              <w:spacing w:after="0" w:line="195" w:lineRule="exact"/>
              <w:rPr>
                <w:sz w:val="20"/>
                <w:szCs w:val="20"/>
                <w:color w:val="auto"/>
              </w:rPr>
            </w:pPr>
            <w:r>
              <w:rPr>
                <w:rFonts w:ascii="Arial" w:cs="Arial" w:eastAsia="Arial" w:hAnsi="Arial"/>
                <w:sz w:val="18"/>
                <w:szCs w:val="18"/>
                <w:color w:val="auto"/>
              </w:rPr>
              <w:t>Q1 2017</w:t>
            </w:r>
          </w:p>
        </w:tc>
        <w:tc>
          <w:tcPr>
            <w:tcW w:w="10340" w:type="dxa"/>
            <w:vAlign w:val="bottom"/>
          </w:tcPr>
          <w:p>
            <w:pPr>
              <w:ind w:left="300"/>
              <w:spacing w:after="0" w:line="195" w:lineRule="exact"/>
              <w:rPr>
                <w:sz w:val="20"/>
                <w:szCs w:val="20"/>
                <w:color w:val="auto"/>
              </w:rPr>
            </w:pPr>
            <w:r>
              <w:rPr>
                <w:rFonts w:ascii="Arial" w:cs="Arial" w:eastAsia="Arial" w:hAnsi="Arial"/>
                <w:sz w:val="18"/>
                <w:szCs w:val="18"/>
                <w:color w:val="auto"/>
                <w:w w:val="95"/>
              </w:rPr>
              <w:t>671,263 non performance-based employee stock options and 22,460 performance-based employee stock options were granted at a</w:t>
            </w:r>
          </w:p>
        </w:tc>
        <w:tc>
          <w:tcPr>
            <w:tcW w:w="2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weighted average exercise price of $152.51 and a weighted average estimated fair value of $39.60 per share.</w:t>
            </w:r>
          </w:p>
        </w:tc>
        <w:tc>
          <w:tcPr>
            <w:tcW w:w="2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Q2 2017</w:t>
            </w:r>
          </w:p>
        </w:tc>
        <w:tc>
          <w:tcPr>
            <w:tcW w:w="10340" w:type="dxa"/>
            <w:vAlign w:val="bottom"/>
            <w:shd w:val="clear" w:color="auto" w:fill="CCEEFF"/>
          </w:tcPr>
          <w:p>
            <w:pPr>
              <w:ind w:left="300"/>
              <w:spacing w:after="0" w:line="195" w:lineRule="exact"/>
              <w:rPr>
                <w:sz w:val="20"/>
                <w:szCs w:val="20"/>
                <w:color w:val="auto"/>
              </w:rPr>
            </w:pPr>
            <w:r>
              <w:rPr>
                <w:rFonts w:ascii="Arial" w:cs="Arial" w:eastAsia="Arial" w:hAnsi="Arial"/>
                <w:sz w:val="18"/>
                <w:szCs w:val="18"/>
                <w:color w:val="auto"/>
                <w:w w:val="90"/>
              </w:rPr>
              <w:t>61,744 performance-based employee stock options were granted at a weighted average exercise price of $169.16 and a weighted average</w:t>
            </w:r>
          </w:p>
        </w:tc>
        <w:tc>
          <w:tcPr>
            <w:tcW w:w="2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3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estimated fair value of $43.81 per share.</w:t>
            </w:r>
          </w:p>
        </w:tc>
        <w:tc>
          <w:tcPr>
            <w:tcW w:w="20" w:type="dxa"/>
            <w:vAlign w:val="bottom"/>
          </w:tcPr>
          <w:p>
            <w:pPr>
              <w:spacing w:after="0"/>
              <w:rPr>
                <w:sz w:val="20"/>
                <w:szCs w:val="20"/>
                <w:color w:val="auto"/>
              </w:rPr>
            </w:pPr>
          </w:p>
        </w:tc>
      </w:tr>
      <w:tr>
        <w:trPr>
          <w:trHeight w:val="195"/>
        </w:trPr>
        <w:tc>
          <w:tcPr>
            <w:tcW w:w="120" w:type="dxa"/>
            <w:vAlign w:val="bottom"/>
          </w:tcPr>
          <w:p>
            <w:pPr>
              <w:spacing w:after="0"/>
              <w:rPr>
                <w:sz w:val="16"/>
                <w:szCs w:val="16"/>
                <w:color w:val="auto"/>
              </w:rPr>
            </w:pPr>
          </w:p>
        </w:tc>
        <w:tc>
          <w:tcPr>
            <w:tcW w:w="940" w:type="dxa"/>
            <w:vAlign w:val="bottom"/>
          </w:tcPr>
          <w:p>
            <w:pPr>
              <w:ind w:left="20"/>
              <w:spacing w:after="0" w:line="195" w:lineRule="exact"/>
              <w:rPr>
                <w:sz w:val="20"/>
                <w:szCs w:val="20"/>
                <w:color w:val="auto"/>
              </w:rPr>
            </w:pPr>
            <w:r>
              <w:rPr>
                <w:rFonts w:ascii="Arial" w:cs="Arial" w:eastAsia="Arial" w:hAnsi="Arial"/>
                <w:sz w:val="18"/>
                <w:szCs w:val="18"/>
                <w:color w:val="auto"/>
              </w:rPr>
              <w:t>Q3 2017</w:t>
            </w:r>
          </w:p>
        </w:tc>
        <w:tc>
          <w:tcPr>
            <w:tcW w:w="10340" w:type="dxa"/>
            <w:vAlign w:val="bottom"/>
          </w:tcPr>
          <w:p>
            <w:pPr>
              <w:ind w:left="300"/>
              <w:spacing w:after="0" w:line="195" w:lineRule="exact"/>
              <w:rPr>
                <w:sz w:val="20"/>
                <w:szCs w:val="20"/>
                <w:color w:val="auto"/>
              </w:rPr>
            </w:pPr>
            <w:r>
              <w:rPr>
                <w:rFonts w:ascii="Arial" w:cs="Arial" w:eastAsia="Arial" w:hAnsi="Arial"/>
                <w:sz w:val="18"/>
                <w:szCs w:val="18"/>
                <w:color w:val="auto"/>
                <w:w w:val="94"/>
              </w:rPr>
              <w:t>11,604 nonperformance-based employee stock options were granted at a weighted average exercise price of $163.05 and a weighted</w:t>
            </w:r>
          </w:p>
        </w:tc>
        <w:tc>
          <w:tcPr>
            <w:tcW w:w="2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3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average estimated fair value of $42.23 per share.</w:t>
            </w:r>
          </w:p>
        </w:tc>
        <w:tc>
          <w:tcPr>
            <w:tcW w:w="20" w:type="dxa"/>
            <w:vAlign w:val="bottom"/>
          </w:tcPr>
          <w:p>
            <w:pPr>
              <w:spacing w:after="0"/>
              <w:rPr>
                <w:sz w:val="20"/>
                <w:szCs w:val="20"/>
                <w:color w:val="auto"/>
              </w:rPr>
            </w:pPr>
          </w:p>
        </w:tc>
      </w:tr>
      <w:tr>
        <w:trPr>
          <w:trHeight w:val="426"/>
        </w:trPr>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340" w:type="dxa"/>
            <w:vAlign w:val="bottom"/>
          </w:tcPr>
          <w:p>
            <w:pPr>
              <w:ind w:left="45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r>
      <w:tr>
        <w:trPr>
          <w:trHeight w:val="115"/>
        </w:trPr>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2" w:name="page23"/>
    <w:bookmarkEnd w:id="22"/>
    <w:p>
      <w:pPr>
        <w:ind w:right="100"/>
        <w:spacing w:after="0" w:line="277" w:lineRule="auto"/>
        <w:rPr>
          <w:sz w:val="20"/>
          <w:szCs w:val="20"/>
          <w:color w:val="auto"/>
        </w:rPr>
      </w:pPr>
      <w:r>
        <w:rPr>
          <w:rFonts w:ascii="Arial" w:cs="Arial" w:eastAsia="Arial" w:hAnsi="Arial"/>
          <w:sz w:val="18"/>
          <w:szCs w:val="18"/>
          <w:color w:val="auto"/>
        </w:rPr>
        <w:t>The weighted average estimated fair value of employee stock options granted was determined using the binomial model with the following weighted average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Three months ended May 31,</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20"/>
                <w:szCs w:val="20"/>
                <w:color w:val="auto"/>
              </w:rPr>
            </w:pPr>
          </w:p>
        </w:tc>
        <w:tc>
          <w:tcPr>
            <w:tcW w:w="1020" w:type="dxa"/>
            <w:vAlign w:val="bottom"/>
            <w:gridSpan w:val="2"/>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10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Expected life (years)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 yield</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$163.05</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i w:val="1"/>
                <w:iCs w:val="1"/>
                <w:color w:val="auto"/>
                <w:w w:val="97"/>
              </w:rPr>
              <w:t>* There were no employee stock options granted during the three months ended May 31, 2018.</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00" w:type="dxa"/>
            <w:vAlign w:val="bottom"/>
            <w:gridSpan w:val="2"/>
          </w:tcPr>
          <w:p>
            <w:pPr>
              <w:spacing w:after="0"/>
              <w:rPr>
                <w:sz w:val="20"/>
                <w:szCs w:val="20"/>
                <w:color w:val="auto"/>
              </w:rPr>
            </w:pPr>
            <w:r>
              <w:rPr>
                <w:rFonts w:ascii="Arial" w:cs="Arial" w:eastAsia="Arial" w:hAnsi="Arial"/>
                <w:sz w:val="18"/>
                <w:szCs w:val="18"/>
                <w:color w:val="auto"/>
              </w:rPr>
              <w:t>Nine months ended May 31,</w:t>
            </w:r>
          </w:p>
        </w:tc>
        <w:tc>
          <w:tcPr>
            <w:tcW w:w="106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structure of risk-free interest rate</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Expected life (years)</w:t>
            </w:r>
          </w:p>
        </w:tc>
        <w:tc>
          <w:tcPr>
            <w:tcW w:w="10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5"/>
              </w:rPr>
              <w:t>7.4</w:t>
            </w: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7.4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Term structure of volatility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Dividend yield</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$48.29</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w w:val="92"/>
              </w:rPr>
              <w:t>$190.04</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$154.01</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Fair value as a percentage of exercise price</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w:t>
            </w: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risk-free interest rate assumption for periods within the contractual life of the option is based on the U.S. Treasury yield curve in effect at the time of grant. Expected volatility is based on a combination of historical volatility of the Company’s stock and implied volatilities of publicly traded options to buy FactSet common stock with contractual terms closest to the expected life of options granted to employees. The approach to utilize a mix of historical and implied volatility was based upon the availability of actively traded options on the Company’s stock and the Company’s assessment that a combination of implied volatility and historical volatility is best representative of future stock price trends. The Company uses historical data to estimate option exercises and employee termination within the valuation model. The dividend yield assumption is based on the Company’s history and expectation of dividend payouts. The expected life of employee stock options represents the weighted average period the stock options are expected to remain outstanding and is a derived output of the binomial model. The binomial model estimates employees exercise behavior based on the option’s remaining vested life and the extent to which the option is in-the-money. The binomial model estimates the probability of exercise as a function of these two variables based on the entire history of exercises and cancellations of all past option grants made by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Stock Option Fair Value Determinations</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On December 19, 2017, the Company’s stockholders approved the Director Plan. The Director Plan provides for the grant of share-based awards, including stock options, to non-employee directors of FactSet. As part of the stockholder approval, the expiration date of the Director Plan was extended to December 19, 2027 and the number of shares reserved for issuance under the Director Plan was increased by 250,000. As of May 31, 2018, shares available for future grant were 273,222.</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utilizes the Black-Scholes model to estimate the fair value of non-employee Director stock option grants. The Company’s determination of fair value of share-based payment awards on the date of grant is affected by the Company’s stock price as well as assumptions regarding a number of variables. These variables include, but are not limited to the Company’s expected stock price volatility over the term of the awards, interest rates, option forfeitures and employee stock option exercise behaviors.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w:t>
      </w:r>
    </w:p>
    <w:p>
      <w:pPr>
        <w:spacing w:after="0" w:line="23"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On January 12, 2018, FactSet granted 18,963 stock options to the Company’s non-employee Directors. These options have a weighted average estimated fair value of $38.76 per share, using the Black-Scholes option-pricing model with the following weighted average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0" w:type="dxa"/>
            <w:vAlign w:val="bottom"/>
            <w:shd w:val="clear" w:color="auto" w:fill="000000"/>
          </w:tcPr>
          <w:p>
            <w:pPr>
              <w:spacing w:after="0" w:line="20" w:lineRule="exact"/>
              <w:rPr>
                <w:sz w:val="1"/>
                <w:szCs w:val="1"/>
                <w:color w:val="auto"/>
              </w:rPr>
            </w:pPr>
          </w:p>
        </w:tc>
        <w:tc>
          <w:tcPr>
            <w:tcW w:w="7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Expected life (years)</w:t>
            </w:r>
          </w:p>
        </w:tc>
        <w:tc>
          <w:tcPr>
            <w:tcW w:w="782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Dividend yield</w:t>
            </w:r>
          </w:p>
        </w:tc>
        <w:tc>
          <w:tcPr>
            <w:tcW w:w="782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r>
      <w:tr>
        <w:trPr>
          <w:trHeight w:val="418"/>
        </w:trPr>
        <w:tc>
          <w:tcPr>
            <w:tcW w:w="3600" w:type="dxa"/>
            <w:vAlign w:val="bottom"/>
          </w:tcPr>
          <w:p>
            <w:pPr>
              <w:spacing w:after="0"/>
              <w:rPr>
                <w:sz w:val="24"/>
                <w:szCs w:val="24"/>
                <w:color w:val="auto"/>
              </w:rPr>
            </w:pPr>
          </w:p>
        </w:tc>
        <w:tc>
          <w:tcPr>
            <w:tcW w:w="7660" w:type="dxa"/>
            <w:vAlign w:val="bottom"/>
          </w:tcPr>
          <w:p>
            <w:pPr>
              <w:jc w:val="right"/>
              <w:ind w:right="537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7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Fiscal 2017</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13, 2017, FactSet granted 23,846 stock options to the Company’s non-employee Directors, including one-time new Director grants of 2,104 stock options each for Malcolm Frank and Sheila B. Jordan, who were elected to FactSet’s Board of Directors on December 20, 2016. All of the options granted on January 13, 2017 have a weighted average estimated fair value of $35.65 per share, using the Black-Scholes option-pricing model with the following weighted average assumptions: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260" w:type="dxa"/>
            <w:vAlign w:val="bottom"/>
            <w:shd w:val="clear" w:color="auto" w:fill="000000"/>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Expected life (years)</w:t>
            </w:r>
          </w:p>
        </w:tc>
        <w:tc>
          <w:tcPr>
            <w:tcW w:w="51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Dividend yield</w:t>
            </w:r>
          </w:p>
        </w:tc>
        <w:tc>
          <w:tcPr>
            <w:tcW w:w="51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Fair Value Determinations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Restricted stock granted to employees entitles the holder to shares of common stock as the award vests over time, but not to dividends declared on the underlying shares while the restricted stock is unvested. The grant date fair value of restricted stock awards is measured by reducing the grant date price of FactSet’s share by the present value of the dividends expected to be paid on the underlying stock during the requisite service period, discounted at the appropriate risk-free interest rate. Restricted stock awards are amortized to expense over the vesting period. During the first nine months of fiscal 2018, there were 961 restricted stock awards granted with a weighted average grant date fair value of $182.17. During the first nine months of fiscal 2017, there were 12,927 restricted stock awards granted with a weighted average grant date fair value of $157.50.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 Fair Value Determinations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three months ended May 31, 2018, employees purchased 16,312 shares at a weighted average price of $170.86 as compared to 17,314 shares at a weighted average price of $140.84 for the three months ended May 31, 2017. During the nine months ended May 31, 2018, employees purchased 50,706 shares at a weighted average price of $156.88 as compared to 54,554 shares at a weighted average price of $137.38 for the nine months ended May 31, 2017. Stock-based compensation expense recorded during the three months ended May 31, 2018 and 2017, relating to the ESPP, was $0.6 million and $0.5 million, respectively. Stock-based compensation expense recorded for the nine months ended May 31, 2018 and 2017, relating to the ESPP, was $1.6 million and $1.5 million, respectively.</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weighted average estimated fair value for the shares repurchased under the ESPP was calculated using the Black-Scholes model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Three months ended May 31,</w:t>
            </w:r>
          </w:p>
        </w:tc>
        <w:tc>
          <w:tcPr>
            <w:tcW w:w="322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32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3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34.39</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Nine months ended May 31,</w:t>
            </w:r>
          </w:p>
        </w:tc>
        <w:tc>
          <w:tcPr>
            <w:tcW w:w="322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Expected life (months)</w:t>
            </w:r>
          </w:p>
        </w:tc>
        <w:tc>
          <w:tcPr>
            <w:tcW w:w="322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Dividend yield</w:t>
            </w:r>
          </w:p>
        </w:tc>
        <w:tc>
          <w:tcPr>
            <w:tcW w:w="3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estimated fair value</w:t>
            </w:r>
          </w:p>
        </w:tc>
        <w:tc>
          <w:tcPr>
            <w:tcW w:w="32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31.25</w:t>
            </w:r>
          </w:p>
        </w:tc>
        <w:tc>
          <w:tcPr>
            <w:tcW w:w="6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Accuracy of Fair Value Estimates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is responsible for determining the assumptions used in estimating the fair value of its share-based payment awards. The Company’s determination of fair value of share-based payment awards on the date of grant using an option-pricing model is affected by the Company’s stock price as well as assumptions regarding a number of highly complex and subjective variables. These variables include, but are not limited to the Company’s expected stock price volatility over the term of the awards, interest rates, option forfeiture rates and actual and projected employee stock option exercise behaviors. Option-pricing models were developed for use in estimating the value of traded options that have no vesting or hedging restrictions and are fully transferable.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Income tax expense is based on taxable income determined in accordance with current enacted laws and tax rates. Deferred income taxes are recorded for the temporary differences between the financial statement and tax bases of assets and liabilities using currently enacted tax rates.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The provision for income taxes is as follows:</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Three months ended</w:t>
            </w: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gridSpan w:val="4"/>
          </w:tcPr>
          <w:p>
            <w:pPr>
              <w:jc w:val="right"/>
              <w:ind w:right="740"/>
              <w:spacing w:after="0"/>
              <w:rPr>
                <w:sz w:val="20"/>
                <w:szCs w:val="20"/>
                <w:color w:val="auto"/>
              </w:rPr>
            </w:pPr>
            <w:r>
              <w:rPr>
                <w:rFonts w:ascii="Arial" w:cs="Arial" w:eastAsia="Arial" w:hAnsi="Arial"/>
                <w:sz w:val="18"/>
                <w:szCs w:val="18"/>
                <w:color w:val="auto"/>
              </w:rPr>
              <w:t>Nine months ended</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20" w:type="dxa"/>
            <w:vAlign w:val="bottom"/>
            <w:gridSpan w:val="2"/>
          </w:tcPr>
          <w:p>
            <w:pPr>
              <w:jc w:val="right"/>
              <w:ind w:right="370"/>
              <w:spacing w:after="0"/>
              <w:rPr>
                <w:sz w:val="20"/>
                <w:szCs w:val="20"/>
                <w:color w:val="auto"/>
              </w:rPr>
            </w:pPr>
            <w:r>
              <w:rPr>
                <w:rFonts w:ascii="Arial" w:cs="Arial" w:eastAsia="Arial" w:hAnsi="Arial"/>
                <w:sz w:val="18"/>
                <w:szCs w:val="18"/>
                <w:color w:val="auto"/>
              </w:rPr>
              <w:t>May 31,</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May 31,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4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2018</w:t>
            </w:r>
          </w:p>
        </w:tc>
        <w:tc>
          <w:tcPr>
            <w:tcW w:w="68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2017</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89,511</w:t>
            </w:r>
          </w:p>
        </w:tc>
        <w:tc>
          <w:tcPr>
            <w:tcW w:w="6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85,229</w:t>
            </w:r>
          </w:p>
        </w:tc>
        <w:tc>
          <w:tcPr>
            <w:tcW w:w="3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267,903</w:t>
            </w:r>
          </w:p>
        </w:tc>
        <w:tc>
          <w:tcPr>
            <w:tcW w:w="42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14,765</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w w:val="87"/>
              </w:rPr>
              <w:t>19,815</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69,641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65,832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Effective tax rate</w:t>
            </w:r>
          </w:p>
        </w:tc>
        <w:tc>
          <w:tcPr>
            <w:tcW w:w="1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On December 22, 2017, the U.S. government enacted comprehensive tax legislation through the TCJA. The TCJA significantly revises the U.S. corporate income tax including, lowering the statutory U.S. corporate income tax rate from 35% to 21%, effective January 1, 2018, implementing a modified territorial tax system and imposing a mandatory one-time transition tax on accumulated earnings and profits (“E&amp;P”) of foreign subsidiaries that were previously deferred from U.S. income taxes. While the Company has not finalized the accounting for the tax effects of the enactment of the TCJA, FactSet has made a reasonable estimate of the effects on the existing U.S. deferred tax balances and the one-time transition tax. The Company will continue to refine its calculations as additional analyses are completed. In addition, the estimates may also be affected by changes in interpretations at the federal and state levels, and any additional regulatory guidance that may be issued.</w:t>
      </w:r>
    </w:p>
    <w:p>
      <w:pPr>
        <w:spacing w:after="0" w:line="1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FactSet had approximately $250 million in undistributed foreign E&amp;P generated prior to December 31, 2017, which resulted in a one-time transition tax expense of $23.2 million recorded during the second quarter of fiscal 2018, payable over an eight-year period. This amount may change as the Company finalizes the calculation of foreign E&amp;P previously deferred from U.S. federal taxation, as well as the analysis of available foreign tax credits. Due to the changes in taxation of undistributed foreign earnings under the TCJA, FactSet will continue to analyze foreign subsidiary earnings, as well as global working capital requirements, and may repatriate earnings when the amounts are remitted substantially free of additional tax.</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Due to FactSet’s August 31 fiscal year-end, the lower tax rate was phased in, resulting in a blended U.S. statutory federal rate of 25.7% for the full fiscal 2018 year and a 21% rate for subsequent years. The reduction in the statutory federal rate also required the remeasurement of the Company’s net U.S. deferred tax position, which resulted in a non-recurring tax charge of $2.2 million recorded during the second quarter of fiscal 2018. The provisional expense related to the one-time transition tax on the undistributed foreign earnings and the non-recurring tax charge from the remeasurement of deferred taxes were partially offset by the lower blended U.S. statutory rate and the recognition of excess tax benefits from the adoption of the employee share-based payment accounting standard.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deferred tax assets that are recorded in the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May 31, 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2017</w:t>
            </w: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Receivable reserve</w:t>
            </w:r>
          </w:p>
        </w:tc>
        <w:tc>
          <w:tcPr>
            <w:tcW w:w="2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Depreciation on property, equipment and leasehold improvements</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w:t>
            </w:r>
          </w:p>
        </w:tc>
      </w:tr>
      <w:tr>
        <w:trPr>
          <w:trHeight w:val="216"/>
        </w:trPr>
        <w:tc>
          <w:tcPr>
            <w:tcW w:w="2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Deferred rent</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7,874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11,615</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20,117</w:t>
            </w:r>
          </w:p>
        </w:tc>
      </w:tr>
      <w:tr>
        <w:trPr>
          <w:trHeight w:val="216"/>
        </w:trPr>
        <w:tc>
          <w:tcPr>
            <w:tcW w:w="20" w:type="dxa"/>
            <w:vAlign w:val="bottom"/>
          </w:tcPr>
          <w:p>
            <w:pPr>
              <w:spacing w:after="0"/>
              <w:rPr>
                <w:sz w:val="18"/>
                <w:szCs w:val="18"/>
                <w:color w:val="auto"/>
              </w:rPr>
            </w:pPr>
          </w:p>
        </w:tc>
        <w:tc>
          <w:tcPr>
            <w:tcW w:w="5420" w:type="dxa"/>
            <w:vAlign w:val="bottom"/>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(22,947)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(32,742)</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2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8,059</w:t>
            </w: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420" w:type="dxa"/>
            <w:vAlign w:val="bottom"/>
          </w:tcPr>
          <w:p>
            <w:pPr>
              <w:ind w:left="640"/>
              <w:spacing w:after="0"/>
              <w:rPr>
                <w:sz w:val="20"/>
                <w:szCs w:val="20"/>
                <w:color w:val="auto"/>
              </w:rPr>
            </w:pPr>
            <w:r>
              <w:rPr>
                <w:rFonts w:ascii="Arial" w:cs="Arial" w:eastAsia="Arial" w:hAnsi="Arial"/>
                <w:sz w:val="18"/>
                <w:szCs w:val="18"/>
                <w:i w:val="1"/>
                <w:iCs w:val="1"/>
                <w:color w:val="auto"/>
              </w:rPr>
              <w:t>Total deferred tax assets</w:t>
            </w:r>
          </w:p>
        </w:tc>
        <w:tc>
          <w:tcPr>
            <w:tcW w:w="2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7,916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10,080</w:t>
            </w:r>
          </w:p>
        </w:tc>
      </w:tr>
      <w:tr>
        <w:trPr>
          <w:trHeight w:val="41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720" w:type="dxa"/>
            <w:vAlign w:val="bottom"/>
          </w:tcPr>
          <w:p>
            <w:pPr>
              <w:jc w:val="right"/>
              <w:ind w:right="227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Pr>
          <w:p>
            <w:pPr>
              <w:spacing w:after="0"/>
              <w:rPr>
                <w:sz w:val="10"/>
                <w:szCs w:val="10"/>
                <w:color w:val="auto"/>
              </w:rPr>
            </w:pPr>
          </w:p>
        </w:tc>
        <w:tc>
          <w:tcPr>
            <w:tcW w:w="542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significant components of deferred tax liabilities that are recorded in the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May 31, 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August 31, 2017</w:t>
            </w: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1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(924)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(815)</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on property, equipment and leasehold improvements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20" w:type="dxa"/>
            <w:vAlign w:val="bottom"/>
          </w:tcPr>
          <w:p>
            <w:pPr>
              <w:spacing w:after="0"/>
              <w:rPr>
                <w:sz w:val="18"/>
                <w:szCs w:val="18"/>
                <w:color w:val="auto"/>
              </w:rPr>
            </w:pPr>
          </w:p>
        </w:tc>
        <w:tc>
          <w:tcPr>
            <w:tcW w:w="6660" w:type="dxa"/>
            <w:vAlign w:val="bottom"/>
          </w:tcPr>
          <w:p>
            <w:pPr>
              <w:ind w:left="480"/>
              <w:spacing w:after="0"/>
              <w:rPr>
                <w:sz w:val="20"/>
                <w:szCs w:val="20"/>
                <w:color w:val="auto"/>
              </w:rPr>
            </w:pPr>
            <w:r>
              <w:rPr>
                <w:rFonts w:ascii="Arial" w:cs="Arial" w:eastAsia="Arial" w:hAnsi="Arial"/>
                <w:sz w:val="18"/>
                <w:szCs w:val="18"/>
                <w:color w:val="auto"/>
              </w:rPr>
              <w:t>Purchased intangible assets, including acquired technology</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23,289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26,231</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r>
      <w:tr>
        <w:trPr>
          <w:trHeight w:val="20"/>
        </w:trPr>
        <w:tc>
          <w:tcPr>
            <w:tcW w:w="20" w:type="dxa"/>
            <w:vAlign w:val="bottom"/>
          </w:tcPr>
          <w:p>
            <w:pPr>
              <w:spacing w:after="0" w:line="20" w:lineRule="exact"/>
              <w:rPr>
                <w:sz w:val="1"/>
                <w:szCs w:val="1"/>
                <w:color w:val="auto"/>
              </w:rPr>
            </w:pPr>
          </w:p>
        </w:tc>
        <w:tc>
          <w:tcPr>
            <w:tcW w:w="66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tcPr>
          <w:p>
            <w:pPr>
              <w:ind w:left="640"/>
              <w:spacing w:after="0"/>
              <w:rPr>
                <w:sz w:val="20"/>
                <w:szCs w:val="20"/>
                <w:color w:val="auto"/>
              </w:rPr>
            </w:pPr>
            <w:r>
              <w:rPr>
                <w:rFonts w:ascii="Arial" w:cs="Arial" w:eastAsia="Arial" w:hAnsi="Arial"/>
                <w:sz w:val="18"/>
                <w:szCs w:val="18"/>
                <w:i w:val="1"/>
                <w:iCs w:val="1"/>
                <w:color w:val="auto"/>
              </w:rPr>
              <w:t>Total deferred tax liabilities</w:t>
            </w:r>
          </w:p>
        </w:tc>
        <w:tc>
          <w:tcPr>
            <w:tcW w:w="14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23,627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27,274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Unrecognized Tax Positions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Applicable accounting guidance prescribes a comprehensive model for the financial statement recognition, measurement, classification and disclosure of uncertain tax positions that a company has taken or expects to take on a tax return. A company can recognize the financial effect of an income tax position only if it is more likely than not (greater than 50%) that the tax position will prevail upon tax examination, based solely on the technical merits of the tax position. Otherwise, no benefit or expense can be recognized in the consolidated financial statements. The tax benefits recognized are measured based on the largest benefit that has a greater than fifty percent likelihood of being realized upon ultimate settlement. Additionally, companies are required to accrue interest on all tax exposures for which reserves have been established, consistent with jurisdictional tax laws.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As of May 31, 2018, the Company had gross unrecognized tax benefits totaling $8.6 million, including $1 million of accrued interest, recorded as </w:t>
      </w:r>
      <w:r>
        <w:rPr>
          <w:rFonts w:ascii="Arial" w:cs="Arial" w:eastAsia="Arial" w:hAnsi="Arial"/>
          <w:sz w:val="17"/>
          <w:szCs w:val="17"/>
          <w:i w:val="1"/>
          <w:iCs w:val="1"/>
          <w:color w:val="auto"/>
        </w:rPr>
        <w:t xml:space="preserve">Non-current taxes payable </w:t>
      </w:r>
      <w:r>
        <w:rPr>
          <w:rFonts w:ascii="Arial" w:cs="Arial" w:eastAsia="Arial" w:hAnsi="Arial"/>
          <w:sz w:val="17"/>
          <w:szCs w:val="17"/>
          <w:color w:val="auto"/>
        </w:rPr>
        <w:t>within the Consolidated Balance Sheet. Unrecognized tax benefits represent tax positions taken on tax returns but not yet recognized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consolidated financial statements. When applicable, the Company adjusts the previously recorded tax expense to reflect examination results when the position is ultimately settled. The Company regularly engages in discussions and negotiations with tax authorities regarding tax matters in various jurisdictions. It is reasonably possible that certain federal, foreign, and state tax matters may be concluded in the next 12 months. However, FactSet has no reason to believe that such audits will result in the payment of additional taxes and/or penalties that would have a material adverse effect on the Company’s results of operations or financial position, beyond current estimates. Any changes in accounting estimates resulting from new developments with respect to uncertain tax positions will be recorded as appropriate. The Company does not currently anticipate that the total amounts of unrecognized tax benefits will significantly change within the next 12 months.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balance of gross unrecognized tax benefits during the first nine months of 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Unrecognized income tax benefits at August 31, 2017</w:t>
            </w:r>
          </w:p>
        </w:tc>
        <w:tc>
          <w:tcPr>
            <w:tcW w:w="880" w:type="dxa"/>
            <w:vAlign w:val="bottom"/>
            <w:tcBorders>
              <w:top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20"/>
              <w:spacing w:after="0"/>
              <w:rPr>
                <w:sz w:val="20"/>
                <w:szCs w:val="20"/>
                <w:color w:val="auto"/>
              </w:rPr>
            </w:pPr>
            <w:r>
              <w:rPr>
                <w:rFonts w:ascii="Arial" w:cs="Arial" w:eastAsia="Arial" w:hAnsi="Arial"/>
                <w:sz w:val="18"/>
                <w:szCs w:val="18"/>
                <w:color w:val="auto"/>
              </w:rPr>
              <w:t>Additions based on tax positions related to the current year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for tax positions of prior years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20"/>
              <w:spacing w:after="0"/>
              <w:rPr>
                <w:sz w:val="20"/>
                <w:szCs w:val="20"/>
                <w:color w:val="auto"/>
              </w:rPr>
            </w:pPr>
            <w:r>
              <w:rPr>
                <w:rFonts w:ascii="Arial" w:cs="Arial" w:eastAsia="Arial" w:hAnsi="Arial"/>
                <w:sz w:val="18"/>
                <w:szCs w:val="18"/>
                <w:color w:val="auto"/>
              </w:rPr>
              <w:t>Statute of limitations lapse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Reductions from settlements with taxing authorities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3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Unrecognized income tax benefits May 31, 2018</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8,606</w:t>
            </w:r>
          </w:p>
        </w:tc>
        <w:tc>
          <w:tcPr>
            <w:tcW w:w="0" w:type="dxa"/>
            <w:vAlign w:val="bottom"/>
          </w:tcPr>
          <w:p>
            <w:pPr>
              <w:spacing w:after="0"/>
              <w:rPr>
                <w:sz w:val="1"/>
                <w:szCs w:val="1"/>
                <w:color w:val="auto"/>
              </w:rPr>
            </w:pPr>
          </w:p>
        </w:tc>
      </w:tr>
      <w:tr>
        <w:trPr>
          <w:trHeight w:val="418"/>
        </w:trPr>
        <w:tc>
          <w:tcPr>
            <w:tcW w:w="9360" w:type="dxa"/>
            <w:vAlign w:val="bottom"/>
            <w:gridSpan w:val="2"/>
          </w:tcPr>
          <w:p>
            <w:pPr>
              <w:spacing w:after="0"/>
              <w:rPr>
                <w:sz w:val="20"/>
                <w:szCs w:val="20"/>
                <w:color w:val="auto"/>
              </w:rPr>
            </w:pPr>
            <w:r>
              <w:rPr>
                <w:rFonts w:ascii="Arial" w:cs="Arial" w:eastAsia="Arial" w:hAnsi="Arial"/>
                <w:sz w:val="18"/>
                <w:szCs w:val="18"/>
                <w:color w:val="auto"/>
                <w:w w:val="95"/>
              </w:rPr>
              <w:t>In the normal course of business, the Company’s tax filings are subject to audit by federal, state and foreign tax authorities.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At May 31, 2018, the Company remained subject to examination in the following major tax jurisdictions: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Major Tax Jurisdictions</w:t>
            </w:r>
          </w:p>
        </w:tc>
        <w:tc>
          <w:tcPr>
            <w:tcW w:w="480" w:type="dxa"/>
            <w:vAlign w:val="bottom"/>
          </w:tcPr>
          <w:p>
            <w:pPr>
              <w:spacing w:after="0"/>
              <w:rPr>
                <w:sz w:val="24"/>
                <w:szCs w:val="24"/>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Open Tax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80"/>
              <w:spacing w:after="0"/>
              <w:rPr>
                <w:sz w:val="20"/>
                <w:szCs w:val="20"/>
                <w:color w:val="auto"/>
              </w:rPr>
            </w:pPr>
            <w:r>
              <w:rPr>
                <w:rFonts w:ascii="Arial" w:cs="Arial" w:eastAsia="Arial" w:hAnsi="Arial"/>
                <w:sz w:val="18"/>
                <w:szCs w:val="18"/>
                <w:color w:val="auto"/>
              </w:rPr>
              <w:t>Federal</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94"/>
              </w:rPr>
              <w:t>2015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through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State (various)</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4"/>
              </w:rPr>
              <w:t>2015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through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Europe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4"/>
              </w:rPr>
              <w:t>2015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through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80"/>
              <w:spacing w:after="0"/>
              <w:rPr>
                <w:sz w:val="20"/>
                <w:szCs w:val="20"/>
                <w:color w:val="auto"/>
              </w:rPr>
            </w:pPr>
            <w:r>
              <w:rPr>
                <w:rFonts w:ascii="Arial" w:cs="Arial" w:eastAsia="Arial" w:hAnsi="Arial"/>
                <w:sz w:val="18"/>
                <w:szCs w:val="18"/>
                <w:color w:val="auto"/>
              </w:rPr>
              <w:t>United Kingdom</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94"/>
              </w:rPr>
              <w:t>2016</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through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Germany</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4"/>
              </w:rPr>
              <w:t>2017</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through 2018</w:t>
            </w:r>
          </w:p>
        </w:tc>
        <w:tc>
          <w:tcPr>
            <w:tcW w:w="0" w:type="dxa"/>
            <w:vAlign w:val="bottom"/>
          </w:tcPr>
          <w:p>
            <w:pPr>
              <w:spacing w:after="0"/>
              <w:rPr>
                <w:sz w:val="1"/>
                <w:szCs w:val="1"/>
                <w:color w:val="auto"/>
              </w:rPr>
            </w:pPr>
          </w:p>
        </w:tc>
      </w:tr>
      <w:tr>
        <w:trPr>
          <w:trHeight w:val="432"/>
        </w:trPr>
        <w:tc>
          <w:tcPr>
            <w:tcW w:w="9360" w:type="dxa"/>
            <w:vAlign w:val="bottom"/>
            <w:gridSpan w:val="2"/>
          </w:tcPr>
          <w:p>
            <w:pPr>
              <w:jc w:val="right"/>
              <w:ind w:right="347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16. LONG-TERM DEBT</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FactSet’s debt obligations consisted of the following:</w:t>
            </w: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May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August 31,</w:t>
            </w: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Revolving Credit Facility</w:t>
            </w:r>
          </w:p>
        </w:tc>
        <w:tc>
          <w:tcPr>
            <w:tcW w:w="2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574,739</w:t>
            </w:r>
          </w:p>
        </w:tc>
        <w:tc>
          <w:tcPr>
            <w:tcW w:w="3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Total Outstanding Debt</w:t>
            </w:r>
          </w:p>
        </w:tc>
        <w:tc>
          <w:tcPr>
            <w:tcW w:w="2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574,739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575,000</w:t>
            </w:r>
          </w:p>
        </w:tc>
      </w:tr>
    </w:tbl>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March 17, 2017, the Company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FactSet may request borrowings under the 2017 Revolving Credit Facility until its maturity date of March 17, 2020. The 2017 Credit Agreement also allows FactSet, subject to certain requirements, to arrange for additional borrowings with PNC for an aggregate amount of up to $225.0 million, provided that any such request for additional borrowings must be in a minimum amount of $25.0 million. Borrowings under the loan bear interest on the outstanding principal amount at a rate equal to the daily LIBOR rate plus 1.00%. Interest on the loan outstanding is payable quarterly in arrears and on the maturity date. There are no prepayment penalties if the Company elects to prepay the outstanding loan amounts prior to the scheduled maturity date. The principal balance is payable in full on the maturity date.</w:t>
      </w:r>
    </w:p>
    <w:p>
      <w:pPr>
        <w:spacing w:after="0" w:line="17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conjunction with FactSet’s entrance into the 2017 Credit Agreement, the Company borrowed $575.0 million in the form of a LIBOR rate loan under the 2017 Revolving Credit Facility. Proceeds from the 2017 Revolving Credit Facility were also used to fund FactSet’s acquisition of BISAM.</w:t>
      </w:r>
    </w:p>
    <w:p>
      <w:pPr>
        <w:spacing w:after="0" w:line="14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All outstanding loan amounts are reported as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 Consolidated Balance Sheet, and net of related amortized loan origination fees at May 31, 2018. The loan origination fees are amortized into interest expense over the term of the loan using the effective interest method. During the three months ended May 31, 2018 and 2017, the Company paid approximately $4.3 million and $2.9 million in interest on its outstanding debt amounts, respectively. During the nine months ended May 31, 2018 and 2017, the Company paid approximately $11.3 million and $5.3 million in interest on its outstanding debt amounts, respectively. As of May 31, 2018, no commitment fee was owed by FactSet since it borrowed the full amount under the 2017 Credit Agreement.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2017 Credit Agreement contained covenants restricting certain FactSet activities, which are usual and customary for this type of loan. In addition, the 2017 Credit Agreement required that FactSet maintain a consolidated leverage ratio, as measured by total funded debt/EBITDA below a specified level as of the end of each fiscal quarter. The Company was in compliance with all of the covenants of the 2017 Credit Agreement as of May 31, 2018 and August 31, 2017.</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Commitments represent obligations, such as those for future purchases of goods or services that are not yet recorded on the balance sheet as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FactSet records liabilities for commitments when incurred (</w:t>
      </w:r>
      <w:r>
        <w:rPr>
          <w:rFonts w:ascii="Arial" w:cs="Arial" w:eastAsia="Arial" w:hAnsi="Arial"/>
          <w:sz w:val="18"/>
          <w:szCs w:val="18"/>
          <w:i w:val="1"/>
          <w:iCs w:val="1"/>
          <w:color w:val="auto"/>
        </w:rPr>
        <w:t>i.e.</w:t>
      </w:r>
      <w:r>
        <w:rPr>
          <w:rFonts w:ascii="Arial" w:cs="Arial" w:eastAsia="Arial" w:hAnsi="Arial"/>
          <w:sz w:val="18"/>
          <w:szCs w:val="18"/>
          <w:color w:val="auto"/>
        </w:rPr>
        <w:t>, when the goods or services are received).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At May 31, 2018, FactSet leased approximately 202,000 square feet of existing office space for its headquarters at 601 Merritt 7, Norwalk, Connecticut. On February 14, 2018, the Company entered into a new lease to relocate its corporate headquarters to 45 Glover Avenue in Norwalk, Connecticut. The new location will comprise approximately 173,000 square feet of office space. FactSet expects to take possession of the newly leased property on or around January 1, 2019, for fit-out purposes. The Company will continue to occupy its existing headquarters space until the new headquarters property is ready for occupancy, currently estimated to be in the second quarter of fiscal 2020. Including new lease agreements executed during fiscal 2018, the Company’s worldwide leased office space increased to approximately 1,760,000 square feet at May 31, 2018, up 617,000 square feet, or 54.0%, from August 31, 2017. This increase was primarily related to the lease of additional office space in the Philippines and the new headquarters lease signed in February 2018. The Company’s significant locations are listed under Item 2, Properties, within the Annual Report on Form 10-K for the fiscal year ended August 31, 2017. The Company’s non-cancelable operating leases expire on various dates through 2035. The Company believes the amount of leased office space as of May 31, 2018 is adequate for its current needs and that additional space is available for lease to meet any future needs.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7" w:name="page28"/>
    <w:bookmarkEnd w:id="27"/>
    <w:p>
      <w:pPr>
        <w:ind w:right="340"/>
        <w:spacing w:after="0" w:line="264" w:lineRule="auto"/>
        <w:rPr>
          <w:sz w:val="20"/>
          <w:szCs w:val="20"/>
          <w:color w:val="auto"/>
        </w:rPr>
      </w:pPr>
      <w:r>
        <w:rPr>
          <w:rFonts w:ascii="Arial" w:cs="Arial" w:eastAsia="Arial" w:hAnsi="Arial"/>
          <w:sz w:val="18"/>
          <w:szCs w:val="18"/>
          <w:color w:val="auto"/>
        </w:rPr>
        <w:t>Total minimum rental payments associated with the leases are recorded as rent expense (a component of SG&amp;A expense) on a straight-line basis over the periods of the respective non-cancelable lease terms. Future minimum commitments for the Company’s operating leases in place as of May 31, 2018, including the fully executed lease for its new headquarters in Norwalk, Connecticut are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Minimum Lease</w:t>
            </w: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 xml:space="preserve">Years ended August 31, </w:t>
            </w:r>
            <w:r>
              <w:rPr>
                <w:rFonts w:ascii="Arial" w:cs="Arial" w:eastAsia="Arial" w:hAnsi="Arial"/>
                <w:sz w:val="18"/>
                <w:szCs w:val="18"/>
                <w:i w:val="1"/>
                <w:iCs w:val="1"/>
                <w:color w:val="auto"/>
              </w:rPr>
              <w:t>(in thousands)</w:t>
            </w:r>
          </w:p>
        </w:tc>
        <w:tc>
          <w:tcPr>
            <w:tcW w:w="258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Payments</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(remaining three months)</w:t>
            </w:r>
          </w:p>
        </w:tc>
        <w:tc>
          <w:tcPr>
            <w:tcW w:w="2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41,186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34,807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25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259,801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416,279</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Rent expense (including operating costs) for all operating leases amounted to $14.1 million and $12.4 million during the three months ended May 31, 2018 and 2017, respectively. Rent expense for all operating leases amounted to $40.6 million and $35.3 million during the nine months ended May 31, 2018 and 2017, respectively. At May 31, 2018, and August 31, 2017, deferred rent reported within the Consolidated Balance Sheets totaled $38.7 million and $37.4 million, of which $34.4 million and $33.5 million, respectively, was reported as a non-current liability within the line item </w:t>
      </w:r>
      <w:r>
        <w:rPr>
          <w:rFonts w:ascii="Arial" w:cs="Arial" w:eastAsia="Arial" w:hAnsi="Arial"/>
          <w:sz w:val="18"/>
          <w:szCs w:val="18"/>
          <w:i w:val="1"/>
          <w:iCs w:val="1"/>
          <w:color w:val="auto"/>
        </w:rPr>
        <w:t>Deferred Rent and Other Non-Current Liabilities.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Approximately $2.2 million of standby letters of credit have been issued during the ordinary course of business in connection with the Company’s leased office space as of May 31, 2018. These standby letters of credit contain covenants that, among other things, require FactSet to maintain minimum levels of consolidated net worth and certain leverage and fixed charge ratios. As of May 31, 2018, FactSet was in compliance with all covenants contained in the standby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 with Suppliers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that specify all significant terms, including: fixed or minimum quantities to be purchased; fixed, minimum or variable price provisions; and the approximate timing of the transaction. As of August 31, 2017, the Company had total purchase commitments with suppliers of $81.0 million. There were no material changes in the Company’s purchase commitments with suppliers during the first nine months of fiscal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Uncertain income tax positions are accounted for in accordance with applicable accounting guidance (see Note 15).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FactSet accrues non income-tax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of the matters against the Company is subject to future resolution, including the uncertainties of litigation. Based on information available at May 31, 2018,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Sales Tax Matters</w:t>
      </w:r>
    </w:p>
    <w:p>
      <w:pPr>
        <w:spacing w:after="0" w:line="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the third quarter of fiscal 2018, FactSet received a letter from the Massachusetts Department of Revenue relating to prior tax periods. The letter requested additional sales information in order to determine if a notice of intent to assess should be issued to FactSet. Based upon a preliminary review of their request, the Company believes the state may assess sales tax, and underpayment penalties and interest, on previously recorded sales transactions. FactSet disagrees with the preliminary conclusions reached by the state auditor and intends to dispute vigorously these matters. Due to the uncertainty surrounding the assessment process, the Company is unable to reasonably estimate the ultimate outcome of this matter and as such, has not recorded a liability as of May 31, 2018. While FactSet believes that it will ultimately prevail, if the Company is presented with a formal assessment and is required to pay it, the amount could have a material impact on the Company’s consolidated financial position, cash flows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2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 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Cash and cash equivalents are maintained primarily with five financial institutions. Deposits held with banks may exceed the amount of insurance provided on such deposits. These deposits may be redeemed upon demand and are maintained with financial institutions with reputable credit and therefore bear minimal credit risk. The Company seeks to mitigate its credit risks by spreading such risks across multiple counterparties and monitoring the risk profiles of these counterparties.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Accounts receivable are unsecured and derived from revenues earned from clients located around the globe. FactSet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10% or more of FactSet’s total revenues in any period presented. At May 31, 2018, the Company’s largest individual client accounted for approximately 2% of total annual subscriptions, and subscriptions from the ten largest clients did not surpass 15% of total annual subscriptions, consistent with August 31, 2017. As of May 31, 2018, the receivable reserve was $3.4 million compared to a reserve of $2.7 million as of August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a result of the use of derivative instruments, the Company is exposed to counterparty credit risk. FactSet has incorporated counterparty risk into the fair value of its derivative assets and its own credit risk into the value of the Company’s derivative liabilities, when applicable. FactSet calculates credit risk from observable data related to CDS as quoted by publicly available information. Counterparty risk is represented by CDS spreads related to the senior secured debt of the respective bank with whom FactSet has executed these derivative transactions. Because CDS spread information is not available for FactSet, the Company’s credit risk is determined based on using a simple average of CDS spreads for peer companies as determined by FactSet. To mitigate counterparty credit risk, FactSet enters into contracts with large financial institutions and regularly reviews credit exposure balances as well as the creditworthiness of the counterparties.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22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On July 5, 2018, the Company entered into a separation of employment and general release agreement with Edward Baker-Greene (the “Agreement”), pursuant to which Mr. Baker-Greene will remain in his current position as Chief Human Resources Officer (“CHRO”) until his successor is appointed, participate in an orderly transition of duties to the new CHRO and remain an employee of FactSet until his effective termination date of November 30, 2018. In exchange for fulfilling these obligations to the Company, Mr. Baker-Greene will receive, under the terms of the Agreement, the following: (i) a lump sum separation payment of $387,500 on the first scheduled payroll after December 1, 2018; (ii) continued base salary of $300,000 through November 30, 2018;</w:t>
      </w:r>
    </w:p>
    <w:p>
      <w:pPr>
        <w:spacing w:after="0" w:line="2" w:lineRule="exact"/>
        <w:rPr>
          <w:sz w:val="20"/>
          <w:szCs w:val="20"/>
          <w:color w:val="auto"/>
        </w:rPr>
      </w:pPr>
    </w:p>
    <w:p>
      <w:pPr>
        <w:ind w:right="160" w:firstLine="8"/>
        <w:spacing w:after="0" w:line="255" w:lineRule="auto"/>
        <w:tabs>
          <w:tab w:leader="none" w:pos="3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acceleration of the vesting of certain outstanding stock options; and (iv) certain other ancillary benefits. The foregoing description of the Agreement is a summary only and is qualified in its entirety by reference to the full text of the Agreement which is attached hereto as Exhibit 10.2 to this Quarterly Report on Form 10-Q and incorporated herein by reference.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9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Key Metrics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 Repurchase Program</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Contractual Obligations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Dividends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Accounting Policies and Critical Accounting Estimates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Trends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Factors</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Developments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are a global provider of integrated financial information, analytical applications and industry-leading service for the global investment community. We deliver insight and information to investment professionals through our analytics, service, content, and technology. These professionals include portfolio managers, investment research professionals, investment bankers, risk and performance analysts, and wealth advisors. From streaming real-time data to historical information, including quotes, estimates, news and commentary, we offer unique and third-party content through desktop, web, mobile and off-platform solutions. Our broad application suite offers tools and resources including company and industry analyses, full screening tools, portfolio analysis, risk profiles, alpha-testing, portfolio optimization and research management solutions. With recent acquisitions, we have continued to expand our solutions across the investment lifecycle from idea generation to performance and client reporting. Our revenues are derived from subscriptions to products and services such as workstations, analytics, enterprise data, research management, and trade execution.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Third Quarter in Review</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Revenues in the third quarter were $339.9 million, an increase of 8.9% from the prior year comparable period. Excluding the effects of acquisitions and dispositions completed in the last 12 months and foreign currency, organic revenues grew 5.7% over the previous year. Annual subscription value (“ASV”) during the quarter grew 5.3% organically and totaled $1.36 billion as of May 31, 2018. The increase is primarily driven by higher sales of our analytics products, content and technology solutions (“CTS”) and wealth management solutions in addition to our annual international price increase.</w:t>
      </w:r>
    </w:p>
    <w:p>
      <w:pPr>
        <w:spacing w:after="0" w:line="162"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Operating income increased 6.4% and diluted earnings per share (“EPS”) increased 15.1% compared to the prior year period. The increase in operating income was due primarily to an increase in revenue of 8.9%, partially offset by restructuring charges and certain one-time administrative expenses. The increase in EPS was primarily attributable to the lower tax rate from the TCJA and our share repurchase program.</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May 31, 2018, employee count was 9,197, up 3.5% in the past 12 months including workforces acquired in the last 12 months. Of our total employees, 2,403 are in the U.S., 1,230 in Europe and 5,564 in the Asia Pacific region.</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Additionally, FactSet received 5 industry awards, recognizing the strength of FactSet’s products and people. Awards included Best Data Analytics Provider from Waters Technology IMD/IRN, Best Middle Office solution from FTF News’ Technology Innovation Awards, and Best Buy-Side EMS from Markets Choice Awards.</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82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Key Metrics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40" w:type="dxa"/>
            <w:vAlign w:val="bottom"/>
            <w:gridSpan w:val="2"/>
          </w:tcPr>
          <w:p>
            <w:pPr>
              <w:spacing w:after="0"/>
              <w:rPr>
                <w:sz w:val="20"/>
                <w:szCs w:val="20"/>
                <w:color w:val="auto"/>
              </w:rPr>
            </w:pPr>
            <w:r>
              <w:rPr>
                <w:rFonts w:ascii="Arial" w:cs="Arial" w:eastAsia="Arial" w:hAnsi="Arial"/>
                <w:sz w:val="18"/>
                <w:szCs w:val="18"/>
                <w:color w:val="auto"/>
              </w:rPr>
              <w:t>The following is a review of our key metrics:</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As of and for the</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millions, except client and user counts)</w:t>
            </w:r>
          </w:p>
        </w:tc>
        <w:tc>
          <w:tcPr>
            <w:tcW w:w="300" w:type="dxa"/>
            <w:vAlign w:val="bottom"/>
          </w:tcPr>
          <w:p>
            <w:pPr>
              <w:spacing w:after="0"/>
              <w:rPr>
                <w:sz w:val="20"/>
                <w:szCs w:val="20"/>
                <w:color w:val="auto"/>
              </w:rPr>
            </w:pPr>
          </w:p>
        </w:tc>
        <w:tc>
          <w:tcPr>
            <w:tcW w:w="3200" w:type="dxa"/>
            <w:vAlign w:val="bottom"/>
            <w:gridSpan w:val="4"/>
          </w:tcPr>
          <w:p>
            <w:pPr>
              <w:jc w:val="right"/>
              <w:ind w:right="860"/>
              <w:spacing w:after="0"/>
              <w:rPr>
                <w:sz w:val="20"/>
                <w:szCs w:val="20"/>
                <w:color w:val="auto"/>
              </w:rPr>
            </w:pPr>
            <w:r>
              <w:rPr>
                <w:rFonts w:ascii="Arial" w:cs="Arial" w:eastAsia="Arial" w:hAnsi="Arial"/>
                <w:sz w:val="18"/>
                <w:szCs w:val="18"/>
                <w:color w:val="auto"/>
                <w:w w:val="98"/>
              </w:rPr>
              <w:t>Three months ended May 31,</w:t>
            </w:r>
          </w:p>
        </w:tc>
        <w:tc>
          <w:tcPr>
            <w:tcW w:w="1580" w:type="dxa"/>
            <w:vAlign w:val="bottom"/>
            <w:gridSpan w:val="2"/>
            <w:vMerge w:val="restart"/>
          </w:tcPr>
          <w:p>
            <w:pPr>
              <w:jc w:val="right"/>
              <w:ind w:right="7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6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89"/>
              </w:rPr>
              <w:t>2017</w:t>
            </w:r>
          </w:p>
        </w:tc>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c>
          <w:tcPr>
            <w:tcW w:w="6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93.3</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87.6</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65.4</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EPS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1.66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As reported ASV</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1,356.2</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1,282.2</w:t>
            </w:r>
          </w:p>
        </w:tc>
        <w:tc>
          <w:tcPr>
            <w:tcW w:w="3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60"/>
              <w:spacing w:after="0" w:line="250" w:lineRule="exact"/>
              <w:rPr>
                <w:sz w:val="20"/>
                <w:szCs w:val="20"/>
                <w:color w:val="auto"/>
              </w:rPr>
            </w:pPr>
            <w:r>
              <w:rPr>
                <w:rFonts w:ascii="Arial" w:cs="Arial" w:eastAsia="Arial" w:hAnsi="Arial"/>
                <w:sz w:val="17"/>
                <w:szCs w:val="17"/>
                <w:color w:val="auto"/>
              </w:rPr>
              <w:t>5.8%</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Clients</w:t>
            </w:r>
          </w:p>
        </w:tc>
        <w:tc>
          <w:tcPr>
            <w:tcW w:w="3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4,975</w:t>
            </w:r>
          </w:p>
        </w:tc>
        <w:tc>
          <w:tcPr>
            <w:tcW w:w="6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4,629</w:t>
            </w:r>
          </w:p>
        </w:tc>
        <w:tc>
          <w:tcPr>
            <w:tcW w:w="340" w:type="dxa"/>
            <w:vAlign w:val="bottom"/>
          </w:tcPr>
          <w:p>
            <w:pPr>
              <w:spacing w:after="0"/>
              <w:rPr>
                <w:sz w:val="22"/>
                <w:szCs w:val="22"/>
                <w:color w:val="auto"/>
              </w:rPr>
            </w:pPr>
          </w:p>
        </w:tc>
        <w:tc>
          <w:tcPr>
            <w:tcW w:w="158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7.5%</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Users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89,506</w:t>
            </w:r>
          </w:p>
        </w:tc>
        <w:tc>
          <w:tcPr>
            <w:tcW w:w="6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86,025</w:t>
            </w:r>
          </w:p>
        </w:tc>
        <w:tc>
          <w:tcPr>
            <w:tcW w:w="158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8"/>
                <w:szCs w:val="18"/>
                <w:color w:val="auto"/>
              </w:rPr>
              <w:t>4.0%</w:t>
            </w:r>
            <w:r>
              <w:rPr>
                <w:rFonts w:ascii="Arial" w:cs="Arial" w:eastAsia="Arial" w:hAnsi="Arial"/>
                <w:sz w:val="29"/>
                <w:szCs w:val="29"/>
                <w:color w:val="auto"/>
                <w:vertAlign w:val="superscript"/>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0" w:hanging="332"/>
        <w:spacing w:after="0" w:line="221" w:lineRule="auto"/>
        <w:tabs>
          <w:tab w:leader="none" w:pos="340" w:val="left"/>
        </w:tabs>
        <w:numPr>
          <w:ilvl w:val="0"/>
          <w:numId w:val="17"/>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In the second quarter of fiscal 2017, FactSet changed its client count definition to capture clients with ASV greater than $10,000 versus the previous metric of clients with ASV greater than $24,000. The prior year client count was restated to reflect this change for comparison purposes.</w:t>
      </w:r>
    </w:p>
    <w:p>
      <w:pPr>
        <w:spacing w:after="0" w:line="203" w:lineRule="exact"/>
        <w:rPr>
          <w:rFonts w:ascii="Arial" w:cs="Arial" w:eastAsia="Arial" w:hAnsi="Arial"/>
          <w:sz w:val="26"/>
          <w:szCs w:val="26"/>
          <w:i w:val="1"/>
          <w:iCs w:val="1"/>
          <w:color w:val="auto"/>
          <w:vertAlign w:val="superscript"/>
        </w:rPr>
      </w:pPr>
    </w:p>
    <w:p>
      <w:pPr>
        <w:ind w:left="340" w:right="200" w:hanging="332"/>
        <w:spacing w:after="0" w:line="209" w:lineRule="auto"/>
        <w:tabs>
          <w:tab w:leader="none" w:pos="340" w:val="left"/>
        </w:tabs>
        <w:numPr>
          <w:ilvl w:val="0"/>
          <w:numId w:val="17"/>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 the second quarter of fiscal 2017, FactSet changed its user count definition to account for users from workstations previously not captured due to certain product bundling and also users of the StreetAccount web product. The prior year user count was restated to reflect this change for comparison purposes.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Subscription Value</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Annual subscription value at any given point in time represents the forward-looking revenues for the next twelve months from all subscription services currently being supplied to clients. With proper notice to us, our clients are able to add to, delete portions of, or terminate service at any time, subject to certain contractual limitations. ASV totaled $1.36 billion at May 31, 2018 and excludes professional services fees billed in the last 12 months, which are not subscription-based. We grew organic ASV by $67.5 million, or 5.3%, from a year ago. Organic ASV excludes ASV from acquisitions and dispositions completed within the past 12 months and the effects of foreign currency. The increase in ASV during the past three months was driven by higher sales of our analytics products, content and technology solutions (“CTS”) and wealth management solutions as well as our annual international price increase.</w:t>
      </w:r>
    </w:p>
    <w:p>
      <w:pPr>
        <w:spacing w:after="0" w:line="16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Buy-side and sell-side ASV growth rates for the third quarter of fiscal 2018 were 5.3% and 5.0%, respectively. Buy-side clients account for 84.4% of ASV, while the remainder is derived from sell-side firms that perform mergers and acquisitions advisory work, capital markets services and equity research. Our buy-side and sell-side client growth rates for the third quarter of fiscal 2018 were both down year over year due to continuing cost pressure on our clients, cancellations from firm closures and consolidations and an uptick in the length of our selling cycle due to offering more workflow solutions, combined with economic and market uncertainty.</w:t>
      </w:r>
    </w:p>
    <w:p>
      <w:pPr>
        <w:spacing w:after="0" w:line="18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ASV from U.S. operations was $843.6 million, increasing 4.4% over prior year and 4.4% organically. The increase is driven by higher sales of our analytics products and CTS products primarily sold to institutional asset managers. ASV from international operations was $512.6 million, increasing 8.1% over prior year and 6.7% organically. International ASV now represents 37.8% of total ASV, compared with 37.0% reported a year ago. This shift in ASV to international operations was due primarily to acquisitions completed in the last 12 months, growth in the fixed income and risk analytics products within the European segment, an increase in new business sales of analytics products and CTS in Asia Pacific, and our annual international price increase.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Client and User Additions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Our total client count was 4,975 as of May 31, 2018, representing a net increase of 80 clients in the past three months. In the second quarter of fiscal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FactSet changed its client count definition to capture clients with ASV greater than $10,000 versus the previous metric of clients with ASV greater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$24,000. The prior year client count was restated to reflect this change for comparison purposes. Client count has increased by 7.5% in the last 12 months.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 to focus on expanding and cultivating relationships with our current client base as it is essential to our long-term growth strategy and assists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upsell of workstations, applications and content at our existing clients.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May 31, 2018, there were 89,506 professionals using FactSet. In the second quarter of fiscal 2017, FactSet also changed its user count definition to account for users from workstations previously not captured due to certain product bundling and to include StreetAccount web product users. The prior year user count was restated to reflect this change for comparison purposes. User count increased by 860 in the past three months primarily driven by an increase in wealth workstation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ind w:right="140"/>
        <w:spacing w:after="0" w:line="259" w:lineRule="auto"/>
        <w:rPr>
          <w:sz w:val="20"/>
          <w:szCs w:val="20"/>
          <w:color w:val="auto"/>
        </w:rPr>
      </w:pPr>
      <w:r>
        <w:rPr>
          <w:rFonts w:ascii="Arial" w:cs="Arial" w:eastAsia="Arial" w:hAnsi="Arial"/>
          <w:sz w:val="18"/>
          <w:szCs w:val="18"/>
          <w:color w:val="auto"/>
        </w:rPr>
        <w:t>Annual client retention as of May 31, 2018 was greater than 95% of ASV and 90% when expressed as a percentage of clients. Our retention success demonstrates that a majority of our clients maintain their subscriptions to FactSet year over year, highlighting the strength of our business model. As of May 31, 2018, our largest individual client accounted for approximately 2% of total subscriptions and annual subscriptions from our ten largest clients did not surpass 15% of total client subscriptions.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Returning Value to Stockholders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May 7, 2018, our Board of Directors approved a regular quarterly dividend of $0.64 per share. The cash dividend of $24.6 million was paid on June 19, 2018 to common stockholders of record at the close of business on May 31, 2018. We repurchased 620,000 shares for $122.0 million during the third quarter of fiscal 2018 under our existing share repurchase program. Over the last 12 months, we have returned $368.9 million to stockholders in the form of share repurchases and cash dividends, funded by cash generated from operations. As of May 31, 2018, $309.3 million remained available for future share repurchases.</w:t>
      </w:r>
    </w:p>
    <w:p>
      <w:pPr>
        <w:spacing w:after="0" w:line="1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March 26, 2018, our Board of Directors approved a $300.0 million expansion of the existing share repurchase program. Subsequent to this expansion, $431.2 million was available for future share repurchases.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3"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Capital expenditures in the third quarter of fiscal 2018 were $6.0 million, compared with $7.9 million a year ago. Approximately $3.8 million, or 63.8%, of our capital expenditures was for upgrades to existing computer systems in Norwalk, additional server equipment for our data centers located in New Jersey and Virginia, as well as laptop computers and peripherals for new and existing employees. The remainder of our capital expenditures was primarily for the build out of office space including $1.2 million in Hong Kong.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an understanding of the significant factors that influenced our performance for the nine months ended May 31, 2018 and 2017, respectively, the following discussion should be read in conjunction with the Consolidated Financial Statements and the Notes to Consolidated Financial Statements presented in this Quarterly Report on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 May 31,</w:t>
            </w:r>
          </w:p>
        </w:tc>
        <w:tc>
          <w:tcPr>
            <w:tcW w:w="8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May 31,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8"/>
                <w:szCs w:val="18"/>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2017</w:t>
            </w:r>
          </w:p>
        </w:tc>
        <w:tc>
          <w:tcPr>
            <w:tcW w:w="860" w:type="dxa"/>
            <w:vAlign w:val="bottom"/>
          </w:tcPr>
          <w:p>
            <w:pPr>
              <w:ind w:left="2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8"/>
                <w:szCs w:val="18"/>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2017</w:t>
            </w:r>
          </w:p>
        </w:tc>
        <w:tc>
          <w:tcPr>
            <w:tcW w:w="860" w:type="dxa"/>
            <w:vAlign w:val="bottom"/>
          </w:tcPr>
          <w:p>
            <w:pPr>
              <w:ind w:left="2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339,911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312,120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1,004,283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894,537</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Cost of services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165,073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146,426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489,829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405,311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81,573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78,052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236,606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219,519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93,265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87,642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277,848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269,707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74,746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65,414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198,262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198,707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Diluted EPS</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1.66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5.00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Diluted weighted average common shares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39,104</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39,457</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39,543</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39,736</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Revenues for the three months ended May 31, 2018 were $339.9 million, up 8.9% compared to the same period a year ago. The increase is primarily driven by higher sales of our analytics products, content and technology solutions (“CTS”) and wealth management solutions in addition to our annual international price increase. Within analytics, we saw strong contributions from our risk offering as well as fixed income and equity products. CTS had a strong third quarter and continued momentum around our new platform offering both core financial and alternative data sets. Wealth Management also had a strong quarter with workstation deployments across top tier clients. Offsetting these positive growth factors were cancellations, but at a decreased rate. Most of the cancellations were due to firm closures and firm consolidations of services leading to redundancies. Excluding the effects of revenue from acquisitions of $7.0 million and $1.9 million in foreign currency, our organic revenue growth rate was 5.7%.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Revenues for the nine months ended May 31, 2018 were $1,004.3 billion, up 12.3% compared to the same period a year ago. The increase in revenue was driven by acquisitions, continued momentum from our analytics and CTS products and a solid performance from our wealth products.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Revenues by Geographic Region</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5"/>
            <w:vMerge w:val="restart"/>
          </w:tcPr>
          <w:p>
            <w:pPr>
              <w:jc w:val="center"/>
              <w:ind w:left="550"/>
              <w:spacing w:after="0"/>
              <w:rPr>
                <w:sz w:val="20"/>
                <w:szCs w:val="20"/>
                <w:color w:val="auto"/>
              </w:rPr>
            </w:pPr>
            <w:r>
              <w:rPr>
                <w:rFonts w:ascii="Arial" w:cs="Arial" w:eastAsia="Arial" w:hAnsi="Arial"/>
                <w:sz w:val="18"/>
                <w:szCs w:val="18"/>
                <w:color w:val="auto"/>
                <w:w w:val="90"/>
              </w:rPr>
              <w:t>Three months ended May 31,</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5"/>
            <w:vMerge w:val="restart"/>
          </w:tcPr>
          <w:p>
            <w:pPr>
              <w:jc w:val="center"/>
              <w:ind w:left="550"/>
              <w:spacing w:after="0"/>
              <w:rPr>
                <w:sz w:val="20"/>
                <w:szCs w:val="20"/>
                <w:color w:val="auto"/>
              </w:rPr>
            </w:pPr>
            <w:r>
              <w:rPr>
                <w:rFonts w:ascii="Arial" w:cs="Arial" w:eastAsia="Arial" w:hAnsi="Arial"/>
                <w:sz w:val="18"/>
                <w:szCs w:val="18"/>
                <w:color w:val="auto"/>
                <w:w w:val="90"/>
              </w:rPr>
              <w:t>Nine months ended May 31,</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210,308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197,834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580,090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80"/>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61.9%</w:t>
            </w:r>
          </w:p>
        </w:tc>
        <w:tc>
          <w:tcPr>
            <w:tcW w:w="2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63.4%</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62.5%</w:t>
            </w:r>
          </w:p>
        </w:tc>
        <w:tc>
          <w:tcPr>
            <w:tcW w:w="2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64.8%</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98,856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87,327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235,464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Asia Pacific</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30,747</w:t>
            </w: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26,959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89,518</w:t>
            </w: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78,983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114,286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314,447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480"/>
              <w:spacing w:after="0"/>
              <w:rPr>
                <w:sz w:val="20"/>
                <w:szCs w:val="20"/>
                <w:color w:val="auto"/>
              </w:rPr>
            </w:pPr>
            <w:r>
              <w:rPr>
                <w:rFonts w:ascii="Arial" w:cs="Arial" w:eastAsia="Arial" w:hAnsi="Arial"/>
                <w:sz w:val="18"/>
                <w:szCs w:val="18"/>
                <w:i w:val="1"/>
                <w:iCs w:val="1"/>
                <w:color w:val="auto"/>
              </w:rPr>
              <w:t>% of revenues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38.1%</w:t>
            </w:r>
          </w:p>
        </w:tc>
        <w:tc>
          <w:tcPr>
            <w:tcW w:w="2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36.6%</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37.5%</w:t>
            </w:r>
          </w:p>
        </w:tc>
        <w:tc>
          <w:tcPr>
            <w:tcW w:w="24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35.2%</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339,911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312,120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1,004,283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894,537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from our U.S. segment increased 6.3% to $210.3 million during the three months ended May 31, 2018, compared to the same period a year ago, primarily from the analytics and CTS products sold to institutional asset managers. Excluding the effects of acquisitions and dispositions completed in the last 12 months, organic revenues in the U.S. were up 5.0% compared to the same period a year ago. Revenues from our U.S. operations accounted for 61.9% of our consolidated revenues during the third quarter of fiscal 2018, a decrease from 63.4% in the prior year. This shift in revenues was due primarily to additional revenue from recent acquisitions largely impacting the European segment, as well as international sales growth that outpaced the growth in the U.S. segment.</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European revenues grew 13.2%, compared to the same period a year ago, due primarily to recent acquisitions with significant operations in the European markets, competitive wins in analytics, CTS, increases in workstation sales and our international price increase. Foreign currency exchange rate fluctuations reduced our European revenue growth rate by 200 basis points. Year over year organic growth rates in Europe were negatively impacted by regulatory environment and political events, resulting in delayed purchasing decisions.</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Asia Pacific revenue growth of 14.1% was primarily due to an increase in new business with asset managers focused on our risk analytics products and increased sales to existing clients. We also opened a new office in Shanghai, strengthening our position in the growing Chinese market. Foreign currency exchange rate fluctuations increased our Asia Pacific revenue growth rate by 70 basis points.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Revenues from our U.S. segment increased 8.3% to $628.0 million during the nine months ended May 31, 2018, compared to the same period a year ago. Our U.S. revenue growth rate of 8.3% for the first nine months of fiscal 2018 reflects the performance of our analytics suite, data feed products and incremental revenue from acquisitions completed in the last 12 months. Excluding the effects of acquisitions and dispositions, organic revenues in the U.S. were up 5.0% compared to the prior year period. Revenues from our U.S. operations accounted for 62.5% of our consolidated revenues during the first nine months of fiscal 2018, a decrease from 64.8% in the prior year.</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European revenues grew 21.8% during the nine months ended May 31, 2018, compared to the same period a year ago due primarily from recent acquisitions, along with increased sales from analytics and CTS products. Excluding the effects of acquisitions and dispositions completed in the last 12 months and foreign currency, European revenues grew 5.3% for the nine months ended May 31, 2018, compared to the same period a year ago. Foreign currency exchange rate fluctuations reduced our European revenue growth rate by 200 basis points.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Asia Pacific revenue growth of 13.3% during the nine months ended May 31, 2018, compared to the same period a year ago was primarily due to growth from analytics, both fixed income and equity products, and CTS. Excluding the effects of acquisitions and dispositions completed in the last 12 months and foreign currency, Asia Pacific revenues grew 13.1% for the nine months ended May 31, 2018, compared to the same period a year ago. Foreign currency exchange rate fluctuations reduced our Asia Pacific revenue by less than $0.1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color w:val="auto"/>
              </w:rPr>
              <w:t>Three months ended May 31,</w:t>
            </w: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left="530"/>
              <w:spacing w:after="0"/>
              <w:rPr>
                <w:sz w:val="20"/>
                <w:szCs w:val="20"/>
                <w:color w:val="auto"/>
              </w:rPr>
            </w:pPr>
            <w:r>
              <w:rPr>
                <w:rFonts w:ascii="Arial" w:cs="Arial" w:eastAsia="Arial" w:hAnsi="Arial"/>
                <w:sz w:val="18"/>
                <w:szCs w:val="18"/>
                <w:color w:val="auto"/>
                <w:w w:val="90"/>
              </w:rPr>
              <w:t>Nine months ended May 31,</w:t>
            </w: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w w:val="82"/>
              </w:rPr>
              <w:t>Change</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165,073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146,426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489,829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405,311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SG&amp;A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81,573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78,052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236,606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219,519</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246,646</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224,478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624,830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93,265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87,642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277,848</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269,707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Operating Margin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27.4%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28.1%</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27.7%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30.2%</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May 31, 2018, cost of services increased 12.7% to $165.1 million, compared to $146.4 million in the same period a year ago. Cost of services, expressed as a percentage of revenues, was 48.6% during the third quarter of fiscal 2018, an increase of 170 basis points over the prior year period primarily driven by restructuring charges and certain one-time administration expenses.</w:t>
      </w:r>
    </w:p>
    <w:p>
      <w:pPr>
        <w:spacing w:after="0" w:line="1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Employee compensation, including stock-based compensation, when expressed as a percentage of revenues increased 110 basis points in the third quarter of fiscal 2018 compared to the same period a year ago. The increase is primarily due to annual base salary increases, the hiring of 312 net new employees over the last 12 months with the majority of their compensation included in cost of services, and a weaker U.S. dollar resulting in a negative foreign currency impact.</w:t>
      </w:r>
    </w:p>
    <w:p>
      <w:pPr>
        <w:spacing w:after="0" w:line="18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Amortization of acquired intangible assets, when expressed as a percentage of revenues, increased in the third quarter of fiscal 2018 compared to the same period a year ago, primarily due to recent acquisitions, which added $93.2 million of intangible assets to be amortized over a weighted-average life of 11.5 years. Data costs, when expressed as a percentage of revenues, increased 40 basis points due primarily from our recent acquisitions and higher variable data costs associated with additional users.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the nine months ended May 31, 2018, cost of services increased 20.9% to $489.8 million, compared to $405.3 million in the same period a year ago. Cost of services, expressed as a percentage of revenues, was 48.8% during the first nine months of fiscal 2018, an increase of 350 basis points over the prior year period. This increase was primarily due to higher employee compensation costs driven by an increased employee base, restructuring actions, amortization of intangible assets associated with our recent acquisitions, and data costs from acquisitions and additional users.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SG&amp;A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For the three months ended May 31, 2018, SG&amp;A expenses increased to $81.6 million, up 4.5%, from $78.1 million in the same period a year ago. SG&amp;A expenses, expressed as a percentage of revenues, were 24.0% during the third quarter of fiscal 2018, a decrease of 100 basis points over the prior year period as a result of foreign currency exchange gains on hedging activities and increased revenues while holding overhead costs flat on a year over year basis partially offset by restructuring costs.</w:t>
      </w:r>
    </w:p>
    <w:p>
      <w:pPr>
        <w:spacing w:after="0" w:line="1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Employee compensation, including stock-based compensation, when expressed as a percentage of revenues, decreased 62 basis points in the third quarter of fiscal 2018 compared to the same period a year ago. The decrease is primarily related to a higher percentage of our employee base working in a cost of services capacity compared to an SG&amp;A role.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For the nine months ended May 31, 2018, SG&amp;A expenses increased to $236.6 million, up 7.8% from $219.5 million in the same period a year ago. SG&amp;A expenses, expressed as a percentage of revenues, was 23.6% during the first nine months of fiscal 2018, a decrease of 100 basis points over the prior year period. This decrease was primarily due to revenue growth outpacing the growth of SG&amp;A related expenses on a year over year basis, foreign currency exchange gains on hedging activities and lower employee compensation, partially offset by restructuring costs.</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Employee compensation, including stock-based compensation, when expressed as a percentage of revenues decreased 40 basis points during the first nine months of fiscal 2018 compared to the same period a year ago. The decrease is primarily related to a higher percentage of our employee base working in a cost of services capacity compared to an SG&amp;A role.. Compensation for our employees within the content collection, consulting, product development, software and systems engineering groups are recorded within cost of services while employees within our sales and various other support and administrative departments are reflected in SG&amp;A. In the past 12 months, the majority of our hiring has been in departments within cost of services, thus driving a higher percentage of our employee base compensation in this area.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income increased 6.4% to $93.3 million for the three months ended May 31, 2018, compared to the prior year period. Our operating margin during the third quarter of fiscal 2018 was 27.4%, down from 28.1% a year ago. The lower operating margin was primarily due to restructuring charges, higher intangible asset amortization and data costs from recent acquisitions, an increase in employee compensation costs, and a weaker U.S. dollar that resulted in a negative impact from foreign currency, partially offset by a gain on our Indian Rupee foreign exchange hedges.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Operating income increased 3.0% to $277.8 million for the nine months ended May 31, 2018, compared to the prior year period. Our operating margin during the first nine months of fiscal 2018 was 27.7%, down from 30.2% a year ago. The lower operating margin was primarily due to higher expenses from recent acquisitions, an increase in employee compensation costs, and restructuring actions, partially offset by a gain on our Indian Rupee foreign exchange hedges.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by Segment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color w:val="auto"/>
                <w:w w:val="89"/>
              </w:rPr>
              <w:t>Three months ended May 31,</w:t>
            </w:r>
          </w:p>
        </w:tc>
        <w:tc>
          <w:tcPr>
            <w:tcW w:w="8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color w:val="auto"/>
                <w:w w:val="91"/>
              </w:rPr>
              <w:t>Nine months ended May 31,</w:t>
            </w:r>
          </w:p>
        </w:tc>
        <w:tc>
          <w:tcPr>
            <w:tcW w:w="8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34,382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117,285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110,574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37,766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107,344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114,282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15,494</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53,219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44,851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Consolidated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93,265</w:t>
            </w:r>
          </w:p>
        </w:tc>
        <w:tc>
          <w:tcPr>
            <w:tcW w:w="10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87,642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277,848</w:t>
            </w:r>
          </w:p>
        </w:tc>
        <w:tc>
          <w:tcPr>
            <w:tcW w:w="2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269,707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operating segments are aligned with how we manage the business and the demographic markets in which we serve and how the chief operating decision maker assesses performance. Our internal financial reporting structure is based on three reportable segments, the U.S., Europe and Asia Pacific, which we believe helps us better manage the business and view the markets we serve. Sales, consulting, data collection, product development and software engineering are the primary functional groups within each segment. 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our data centers, third party data costs and corporate headquarters charges are recorded by the U.S. segment and are not allocated to the other segments. The centers of excellence, located in India and the Philippines, primarily focus on content collection that benefit all our segments. The expenses incurred at these locations are allocated to each segment based on a percentage of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U.S. operating income increased 10.5% to $38.0 million during the three months ended May 31, 2018, compared to $34.4 million in the same period a year ago. The increase in U.S. operating income is primarily from revenue growth of 6.3% partially offset by increases in expenses related to employee compensation and data costs. U.S. revenue growth was driven by U.S. organic ASV growth of 5.0% and sales of our analytics suite and CTS products to institutional asset managers. Employee compensation increased primarily due to annual base salary increases, restructuring actions and higher employee benefit costs including medical expenditures. Data costs increased due to our recent acquisitions and additional users.</w:t>
      </w:r>
    </w:p>
    <w:p>
      <w:pPr>
        <w:spacing w:after="0" w:line="17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European operating income decreased 1.0% to $37.4 million during the three months ended May 31, 2018, compared to $37.8 million in the same period a year ago. The decrease in European operating income was due to higher employee compensation, amortization of intangible assets, and data costs partially offset by revenue growth. The impact of foreign currency reduced European operating income by $2.3 million year over year. Amortization of intangible assets increased due to acquired intangible assets from the recent acquisitions, the majority of which reside within our European segment. Data costs increased due to higher data costs related to our recently acquired businesses. These costs were partially offset by European revenue growth from increased sales in fixed income and risk analytics products.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Asia Pacific operating income increased 15.5% to $17.9 million during the three months ended May 31, 2018, compared to $15.5 million in the same period a year ago. The increase in the Asia Pacific operating income was due to revenue growth of 14.1%, partially offset by a rise in employee compensation. The impact of foreign currency increased Asia Pacific operating income by $1.2 million year over year. Asia Pacific revenue growth was due primarily to an increase in new business focused on our risk analytics suite.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operating income increased 6.1% to $117.3 million during the nine months ended May 31, 2018, compared to $110.6 million in the same period a year ago. The increase in U.S. operating income was primarily due to revenue growth of 8.3% partially offset by increases in expenses related to employee compensation, computer equipment and data costs. Employee compensation increased primarily due to annual base salary increases, restructuring actions, and higher employee benefit costs including medical expenditures. Computer-related expenses, which include depreciation, maintenance, software and other fees, increased 20.8% year over year due to upgrades to existing computer systems in Norwalk, additional server equipment in our data centers located in New Jersey and Virginia, as well as laptop computers and peripherals for new and existing employees. Data costs increased primarily to higher third-party data costs from our recent acquisitions and additional users.</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European operating income decreased 6.1% to $107.3 million during the nine months ended May 31, 2018, compared to $114.3 million in the same period a year ago. The decrease in European operating income was due to higher employee compensation, amortization of intangible assets, and data costs partially offset by revenue growth of 21.8%. The impact of foreign currency decreased European operating income by $4.8 million year over year. The employee compensation increase was mainly due to annual base salary increases and additional employee headcount in our European offices. The majority of these acquisitions primarily reside within our European segment, leading to increased amortization of intangible assets and data costs compared to the prior year period.</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Asia Pacific operating income increased 18.7% to $53.2 million during the nine months ended May 31, 2018, compared to $44.9 million in the same period a year ago. The increase in the Asia Pacific operating income was due to revenue growth of 13.3%, partially offset by increases in employee compensation. The impact of foreign currency increased Asia Pacific operating income by $2.0 million year over year. Employee compensation was higher year over year as a result of a 6.7% increase in our Asia Pacific workforce.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Net Income and Diluted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Three months ended May 31,</w:t>
            </w:r>
          </w:p>
        </w:tc>
        <w:tc>
          <w:tcPr>
            <w:tcW w:w="8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 May 31,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19"/>
                <w:szCs w:val="19"/>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9"/>
                <w:szCs w:val="19"/>
                <w:color w:val="auto"/>
              </w:rPr>
            </w:pPr>
          </w:p>
        </w:tc>
        <w:tc>
          <w:tcPr>
            <w:tcW w:w="1400" w:type="dxa"/>
            <w:vAlign w:val="bottom"/>
          </w:tcPr>
          <w:p>
            <w:pPr>
              <w:jc w:val="right"/>
              <w:ind w:right="790"/>
              <w:spacing w:after="0"/>
              <w:rPr>
                <w:sz w:val="20"/>
                <w:szCs w:val="20"/>
                <w:color w:val="auto"/>
              </w:rPr>
            </w:pPr>
            <w:r>
              <w:rPr>
                <w:rFonts w:ascii="Arial" w:cs="Arial" w:eastAsia="Arial" w:hAnsi="Arial"/>
                <w:sz w:val="18"/>
                <w:szCs w:val="18"/>
                <w:color w:val="auto"/>
              </w:rPr>
              <w:t>2017</w:t>
            </w:r>
          </w:p>
        </w:tc>
        <w:tc>
          <w:tcPr>
            <w:tcW w:w="840" w:type="dxa"/>
            <w:vAlign w:val="bottom"/>
          </w:tcPr>
          <w:p>
            <w:pPr>
              <w:spacing w:after="0"/>
              <w:rPr>
                <w:sz w:val="20"/>
                <w:szCs w:val="20"/>
                <w:color w:val="auto"/>
              </w:rPr>
            </w:pPr>
            <w:r>
              <w:rPr>
                <w:rFonts w:ascii="Arial" w:cs="Arial" w:eastAsia="Arial" w:hAnsi="Arial"/>
                <w:sz w:val="18"/>
                <w:szCs w:val="18"/>
                <w:color w:val="auto"/>
              </w:rPr>
              <w:t>Change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19"/>
                <w:szCs w:val="19"/>
                <w:color w:val="auto"/>
              </w:rPr>
            </w:pPr>
          </w:p>
        </w:tc>
        <w:tc>
          <w:tcPr>
            <w:tcW w:w="1380" w:type="dxa"/>
            <w:vAlign w:val="bottom"/>
          </w:tcPr>
          <w:p>
            <w:pPr>
              <w:jc w:val="right"/>
              <w:ind w:right="790"/>
              <w:spacing w:after="0"/>
              <w:rPr>
                <w:sz w:val="20"/>
                <w:szCs w:val="20"/>
                <w:color w:val="auto"/>
              </w:rPr>
            </w:pPr>
            <w:r>
              <w:rPr>
                <w:rFonts w:ascii="Arial" w:cs="Arial" w:eastAsia="Arial" w:hAnsi="Arial"/>
                <w:sz w:val="18"/>
                <w:szCs w:val="18"/>
                <w:color w:val="auto"/>
              </w:rPr>
              <w:t>2017</w:t>
            </w:r>
          </w:p>
        </w:tc>
        <w:tc>
          <w:tcPr>
            <w:tcW w:w="860" w:type="dxa"/>
            <w:vAlign w:val="bottom"/>
          </w:tcPr>
          <w:p>
            <w:pPr>
              <w:ind w:left="2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19,815</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69,641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65,832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74,746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65,414</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198,262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198,707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1.66</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the three months ended May 31, 2018, the provision for income taxes was $14.8 million, down 25.5% from the same period a year ago due to the impacts from the TCJA. On December 22, 2017, the U.S. government enacted comprehensive tax legislation through the TCJA. The TCJA, among other things, lowered the statutory U.S. corporate income tax rate from 35% to 21%, effective January 1, 2018, implemented a modified territorial tax system and imposed a mandatory one-time transition tax on accumulated E&amp;P of foreign subsidiaries that were previously deferred from U.S. income taxes. Due to our August 31 fiscal year-end, the lower tax rate was phased in, resulting in a blended U.S. statutory federal rate of 25.7% for the full fiscal 2018 year and a 21% rate for subsequent years. Our third quarter fiscal 2018 effective tax rate was 16.5% compared with 23.2% a year ago primarily due to the TCJA.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For the nine months ended May 31, 2018, the provision for income taxes was $69.6 million, up 5.8% from the same period a year ago. The increase was primarily due to the one-time transition tax expense of $23.2 million and a non-recurring $2.2 million tax expense related to the remeasurement of our net U.S. deferred tax position, both of which were recorded in the second quarter of fiscal 2018. These income tax charges were partially offset by a lower blended statutory rate</w:t>
      </w:r>
      <w:r>
        <w:rPr>
          <w:rFonts w:ascii="Arial" w:cs="Arial" w:eastAsia="Arial" w:hAnsi="Arial"/>
          <w:sz w:val="17"/>
          <w:szCs w:val="17"/>
          <w:i w:val="1"/>
          <w:iCs w:val="1"/>
          <w:color w:val="auto"/>
        </w:rPr>
        <w:t>,</w:t>
      </w:r>
      <w:r>
        <w:rPr>
          <w:rFonts w:ascii="Arial" w:cs="Arial" w:eastAsia="Arial" w:hAnsi="Arial"/>
          <w:sz w:val="17"/>
          <w:szCs w:val="17"/>
          <w:color w:val="auto"/>
        </w:rPr>
        <w:t xml:space="preserve"> the recognition of $7.1 million of excess tax benefits from stock option exercises and a $1.5 million income tax benefit from settlements with tax authorities. We had approximately $250.0 million in undistributed foreign E&amp;P generated prior to December 31, 2017, which resulted in a provisional amount for the one-time transition tax expense of $23.2 million, payable over an eight-year period. This amount may change as we finalize the calculation of foreign E&amp;P previously deferred from U.S. federal taxation, as well as the analysis of available foreign tax credits. Due to the changes in taxation of undistributed foreign earnings under the TCJA, we will continue to analyze foreign subsidiary earnings, as well as global working capital requirements, and may repatriate earnings when the amounts are remitted substantially free of additional tax. In addition, the estimates may also be affected by changes in interpretations at the federal and state levels, and any additional regulatory guidance that may be issued.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Net Income and Diluted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May 31, 2018 compared to three months ended May 31, 2017</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Net income increased 14.3% to $74.7 million and diluted EPS increased 15.1% to $1.91 for the three months ended May 31, 2018, compared to the three months ended May 31, 2017. Net income and diluted EPS increased during the third quarter of fiscal 2018 due to $7.4 million of incremental revenue from acquisitions completed in the last 12 months, a decrease in the quarterly effective tax rate from 23.2% a year ago to 16.5% in the current quarter and a reduction in our weighted average shares outstanding due to significant share repurchases during the quarter. These benefits were partially offset by an increase in interest expense associated with our outstanding debt and a $1.1 million negative foreign currency impact, which lowered diluted EPS by $0.02.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May 31, 2018 compared to nine months ended May 31, 2017</w:t>
      </w:r>
    </w:p>
    <w:p>
      <w:pPr>
        <w:spacing w:after="0" w:line="23" w:lineRule="exact"/>
        <w:rPr>
          <w:sz w:val="20"/>
          <w:szCs w:val="20"/>
          <w:color w:val="auto"/>
        </w:rPr>
      </w:pPr>
    </w:p>
    <w:p>
      <w:pPr>
        <w:jc w:val="both"/>
        <w:ind w:right="400"/>
        <w:spacing w:after="0" w:line="277" w:lineRule="auto"/>
        <w:rPr>
          <w:sz w:val="20"/>
          <w:szCs w:val="20"/>
          <w:color w:val="auto"/>
        </w:rPr>
      </w:pPr>
      <w:r>
        <w:rPr>
          <w:rFonts w:ascii="Arial" w:cs="Arial" w:eastAsia="Arial" w:hAnsi="Arial"/>
          <w:sz w:val="17"/>
          <w:szCs w:val="17"/>
          <w:color w:val="auto"/>
        </w:rPr>
        <w:t>Net income decreased 0.2% to $198.3 million while diluted EPS increased 0.2% to $5.01 for the nine months ended May 31, 2018, compared to the nine months ended May 31, 2017. Net income decreased due to restructuring actions initiated during the most recent third quarter and a $3.0 million negative foreign currency impact. . Diluted EPS increased due to the aforementioned drop in our weighted average shares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Net Income and Diluted Earnings per Share (non-GAAP) </w:t>
      </w:r>
      <w:r>
        <w:rPr>
          <w:rFonts w:ascii="Arial" w:cs="Arial" w:eastAsia="Arial" w:hAnsi="Arial"/>
          <w:sz w:val="18"/>
          <w:szCs w:val="18"/>
          <w:i w:val="1"/>
          <w:iCs w:val="1"/>
          <w:color w:val="auto"/>
        </w:rPr>
        <w:t>(Details may not sum to total due to rounding)</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Financial measures in accordance with U.S. GAAP including net income and diluted EPS have been adjusted below. These adjusted financial measures are used both in presenting our results to stockholders and the investment community, and also in our internal evaluation and management of the business. We believe that these adjusted financial measures and the information they provide are useful to investors because they permit investors to view our performance using the same tools that we use to gauge progress in achieving our goals. Adjusted measures may also facilitate comparisons to our historical performance.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8"/>
                <w:szCs w:val="18"/>
                <w:color w:val="auto"/>
              </w:rPr>
              <w:t>Three months ended May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5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660" w:type="dxa"/>
            <w:vAlign w:val="bottom"/>
          </w:tcPr>
          <w:p>
            <w:pPr>
              <w:spacing w:after="0"/>
              <w:rPr>
                <w:sz w:val="19"/>
                <w:szCs w:val="19"/>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2017</w:t>
            </w:r>
          </w:p>
        </w:tc>
        <w:tc>
          <w:tcPr>
            <w:tcW w:w="960" w:type="dxa"/>
            <w:vAlign w:val="bottom"/>
          </w:tcPr>
          <w:p>
            <w:pPr>
              <w:ind w:left="400"/>
              <w:spacing w:after="0"/>
              <w:rPr>
                <w:sz w:val="20"/>
                <w:szCs w:val="20"/>
                <w:color w:val="auto"/>
              </w:rPr>
            </w:pPr>
            <w:r>
              <w:rPr>
                <w:rFonts w:ascii="Arial" w:cs="Arial" w:eastAsia="Arial" w:hAnsi="Arial"/>
                <w:sz w:val="18"/>
                <w:szCs w:val="18"/>
                <w:color w:val="auto"/>
                <w:w w:val="85"/>
              </w:rPr>
              <w:t>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74,746</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65,414</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5,190</w:t>
            </w:r>
          </w:p>
        </w:tc>
        <w:tc>
          <w:tcPr>
            <w:tcW w:w="66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4,305</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fair value adjustment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1,886</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non-recurring items</w:t>
            </w: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3,935</w:t>
            </w:r>
          </w:p>
        </w:tc>
        <w:tc>
          <w:tcPr>
            <w:tcW w:w="660" w:type="dxa"/>
            <w:vAlign w:val="bottom"/>
          </w:tcPr>
          <w:p>
            <w:pPr>
              <w:spacing w:after="0"/>
              <w:rPr>
                <w:sz w:val="18"/>
                <w:szCs w:val="18"/>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3,262</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(1,918)</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Adjusted net income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85,113</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72,949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GAAP diluted EPS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1.66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revenue fair value adjustment</w:t>
            </w: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66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0.05</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non-recurring items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0.08</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(0.05)</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Adjusted diluted EPS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common shares (diluted)</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39,104</w:t>
            </w:r>
          </w:p>
        </w:tc>
        <w:tc>
          <w:tcPr>
            <w:tcW w:w="6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39,457</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presentation of the financial information above is not intended to be considered in isolation or as a substitute for the financial information prepared and presented in accordance with GAAP.</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net income for the three months ended May 31, 2018 was $85.1 million, an increase of 16.7% from the prior year period. As presented in the table above, adjusted net income for the three months ended May 31, 2018 excludes $5.2 million (after-tax) of intangible asset amortization, $1.2 million (after-tax) related to deferred revenue fair value adjustments from purchase accounting, $3.9 million (after-tax) of non-recurring severance charges, stock-based compensation acceleration and restructuring actions. Adjusted net income for the three months ended May 31, 2017 was $72.9 million, which excludes $4.3 million (after-tax) of intangible asset amortization, $1.9 million (after-tax) related to deferred revenue fair value adjustments from purchase accounting, $3.3 million (after-tax) of non-recurring acquisition costs and $1.9 million of income tax benefits related to finalizing prior years’ tax returns and other discrete items.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140"/>
        <w:spacing w:after="0" w:line="257" w:lineRule="auto"/>
        <w:rPr>
          <w:sz w:val="20"/>
          <w:szCs w:val="20"/>
          <w:color w:val="auto"/>
        </w:rPr>
      </w:pPr>
      <w:r>
        <w:rPr>
          <w:rFonts w:ascii="Arial" w:cs="Arial" w:eastAsia="Arial" w:hAnsi="Arial"/>
          <w:sz w:val="18"/>
          <w:szCs w:val="18"/>
          <w:color w:val="auto"/>
        </w:rPr>
        <w:t>Fiscal 2018 third quarter adjusted diluted EPS of $2.18 excludes the net effect of the $0.13 detriment from the intangible asset amortization, $0.03 detriment from the deferred revenue fair value adjustments and $0.10 detriment from non-recurring severance charges, stock-based compensation acceleration and restructuring actions. Fiscal 2017 third quarter adjusted diluted EPS of $1.85 excludes the net effect of the $0.24 detriment from the intangible asset amortization, deferred revenue fair value adjustments and non-recurring acquisition costs and $0.05 benefit from finalizing prior years’ tax returns and other discrete items.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Liquidity</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The table below, for the periods indicated, provides selected cash flow information:</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ind w:left="240"/>
              <w:spacing w:after="0"/>
              <w:rPr>
                <w:sz w:val="20"/>
                <w:szCs w:val="20"/>
                <w:color w:val="auto"/>
              </w:rPr>
            </w:pPr>
            <w:r>
              <w:rPr>
                <w:rFonts w:ascii="Arial" w:cs="Arial" w:eastAsia="Arial" w:hAnsi="Arial"/>
                <w:sz w:val="18"/>
                <w:szCs w:val="18"/>
                <w:color w:val="auto"/>
              </w:rPr>
              <w:t>Nine months ended May 31,</w:t>
            </w:r>
          </w:p>
        </w:tc>
        <w:tc>
          <w:tcPr>
            <w:tcW w:w="0" w:type="dxa"/>
            <w:vAlign w:val="bottom"/>
          </w:tcPr>
          <w:p>
            <w:pPr>
              <w:spacing w:after="0"/>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279,342</w:t>
            </w:r>
          </w:p>
        </w:tc>
        <w:tc>
          <w:tcPr>
            <w:tcW w:w="4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60" w:type="dxa"/>
            <w:vAlign w:val="bottom"/>
          </w:tcPr>
          <w:p>
            <w:pPr>
              <w:spacing w:after="0" w:line="243" w:lineRule="exact"/>
              <w:rPr>
                <w:sz w:val="20"/>
                <w:szCs w:val="20"/>
                <w:color w:val="auto"/>
              </w:rPr>
            </w:pPr>
            <w:r>
              <w:rPr>
                <w:rFonts w:ascii="Arial" w:cs="Arial" w:eastAsia="Arial" w:hAnsi="Arial"/>
                <w:sz w:val="17"/>
                <w:szCs w:val="17"/>
                <w:color w:val="auto"/>
              </w:rPr>
              <w:t xml:space="preserve">Capital expenditures </w:t>
            </w:r>
            <w:r>
              <w:rPr>
                <w:rFonts w:ascii="Arial" w:cs="Arial" w:eastAsia="Arial" w:hAnsi="Arial"/>
                <w:sz w:val="28"/>
                <w:szCs w:val="28"/>
                <w:color w:val="auto"/>
                <w:vertAlign w:val="superscript"/>
              </w:rPr>
              <w:t>(1)</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(18,375)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(25,981)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70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28"/>
                <w:szCs w:val="28"/>
                <w:color w:val="auto"/>
                <w:vertAlign w:val="superscript"/>
              </w:rPr>
              <w:t>(2)</w:t>
            </w: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260,967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(18,111)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(334,407)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(241,159)</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213,061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161,758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Included in net cash used in investing activities during each fiscal year reported.</w:t>
      </w:r>
    </w:p>
    <w:p>
      <w:pPr>
        <w:spacing w:after="0" w:line="242" w:lineRule="exact"/>
        <w:rPr>
          <w:rFonts w:ascii="Arial" w:cs="Arial" w:eastAsia="Arial" w:hAnsi="Arial"/>
          <w:sz w:val="30"/>
          <w:szCs w:val="30"/>
          <w:i w:val="1"/>
          <w:iCs w:val="1"/>
          <w:color w:val="auto"/>
          <w:vertAlign w:val="superscript"/>
        </w:rPr>
      </w:pPr>
    </w:p>
    <w:p>
      <w:pPr>
        <w:ind w:left="660" w:right="80" w:hanging="328"/>
        <w:spacing w:after="0" w:line="194" w:lineRule="auto"/>
        <w:tabs>
          <w:tab w:leader="none" w:pos="660" w:val="left"/>
        </w:tabs>
        <w:numPr>
          <w:ilvl w:val="0"/>
          <w:numId w:val="1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We define free cash flow as cash provided by operating activities, which includes the cash cost for taxes and changes in working capital, less capital expenditures.</w:t>
      </w:r>
    </w:p>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and cash equivalents aggregated to $213.1 million, or 15.1% of our total assets at May 31, 2018, compared with $161.8 million, or 11.9% of our total assets at May 31, 2017. Our cash and cash equivalents increased $18.3 million during the first nine months of fiscal 2018 due to cash provided by operations of $279.3 million and $57.5 million in proceeds from the exercise of employee stock options. These cash inflows were partially offset by $65.0 million in dividend payments, $18.4 million of capital expenditures, $1.7 million from the effects of foreign currency fluctuations, and $235.9 million in share repurchases, which included $234.8 million under the existing share repurchase program and $1.1 million in shares repurchased from employees to cover their cost of taxes upon vesting of restricted stock.</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investing activities was $18.1 million in the first nine months of fiscal 2018, representing a $316.3 million decrease from the same period a year ago. This decrease was primarily due to acquisitions completed in the first nine months of fiscal 2017 which represented $301.8 million of total cash used for acquisitions. Additionally, cash used in investing activities decreased year over year due to lower capital expenditures of $7.6 million and a decrease in the purchase of investments (net of sales) of $6.8 million year over year.</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cash used in financing activities was $241.2 million in the first nine months of fiscal 2018, representing a $292.6 million decrease from the same period a year ago. This decrease was primarily due to $275.0 million in proceeds (net of repayment) from the issuance of long-term debt in fiscal 2017 that did not occur in fiscal 2018. In addition to the issuance of debt, the decrease was due to higher dividend payments of $5.9 million, increase in share repurchases of $21.1 million, and a reduction of tax benefits from share-based payment arrangements due to the adoption of the accounting standard update, which required us to report $7.1 million in benefits from a financing to an operating activity. Offsetting the above financing activities was also an increase in proceeds from employee stock plans of $15.4 million.</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expect that for at least the next 12 months, our operating expenses will continue to constitute a significant use of our cash. As of May 31, 2018, our total cash and cash equivalents worldwide was $213.1 million with $574.7 million in outstanding borrowings (net of $0.3 million of unamortized debt issuance costs). Approximately $39.4 million of our total available cash and cash equivalents is held in bank accounts located within the U.S., $118.8 million in Europe (predominantly within the UK, France, and Germany) and the remaining $54.9 million is held in the Asia Pacific region. We believe our liquidity (including cash on hand, cash from operating activities and other cash flows that we expect to generate) within each geographic segment will be sufficient to meet our short-term and long-term operating requirements, as they occur, including working capital needs, capital expenditures, dividend payments, stock repurchases, growth objectives and other financing activities. In addition, we expect existing foreign cash, cash equivalents and cash flows from operations to continue to be sufficient to fund our foreign operating activities and cash commitments for investing activities, such as capital expenditures, for at least the next 12 months, and thereafter, for the foreseeable future.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right="260"/>
        <w:spacing w:after="0" w:line="297" w:lineRule="auto"/>
        <w:rPr>
          <w:sz w:val="20"/>
          <w:szCs w:val="20"/>
          <w:color w:val="auto"/>
        </w:rPr>
      </w:pPr>
      <w:r>
        <w:rPr>
          <w:rFonts w:ascii="Arial" w:cs="Arial" w:eastAsia="Arial" w:hAnsi="Arial"/>
          <w:sz w:val="16"/>
          <w:szCs w:val="16"/>
          <w:color w:val="auto"/>
        </w:rPr>
        <w:t>Free cash flow generated in the nine months ended May 31, 2018 was $261.0 million, an increase of 34.3% compared to the same period a year ago. Free cash flow was attributable to $198.3 million of net income, $67.0 million of non-cash items, $14.1 million of working capital changes less $18.4 million in capital expenditures. The year over year free cash flow growth was driven by positive working capital changes totaling $47.5 million and lower capital expenditures of $7.6 million. Working capital improved year over year primarily due to increased cash collected on our receivables and the adoption of the accounting standard update for share-based payments, which required us to report $7.1 million in benefits from a financing to an operating activity.</w:t>
      </w:r>
    </w:p>
    <w:p>
      <w:pPr>
        <w:spacing w:after="0" w:line="15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Free cash flow generated over the last twelve months was $350.3 million and exceeded net income by 35.9% over that same period. Included in the twelve-month calculation of free cash flow was $379.6 million of net cash provided by operations less $29.3 million of capital expenditures.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Capital expenditures in the third quarter of fiscal 2018 were $6.0 million, compared with $7.9 million a year ago. Approximately $3.8 million, or 63.8%, of our capital expenditures was for upgrades to existing computer systems in Norwalk, additional server equipment in our data centers located in New Jersey and Virginia, as well as laptop computers and peripherals for new and existing employees. The remainder of our capital expenditures was primarily for the build out of office space including $1.2 million in Hong Kong.</w:t>
      </w:r>
    </w:p>
    <w:p>
      <w:pPr>
        <w:spacing w:after="0" w:line="18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Capital expenditures were $18.4 million during the first nine months of fiscal 2018, down from $26.0 million in the same period a year ago. Approximately $12.8 million, or 69.6%, of capital expenditures related to upgrades to existing computer systems at our corporate headquarters in Norwalk, laptop computers and peripherals for new employees and additional servers for our existing data centers. The remainder of our capital expenditures was primarily for the build out of office space including $1.2 million in Hong Kong, $0.9 million in the Netherlands and $0.7 million in New York.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On March 17, 2017, we entered into a Credit Agreement (the “2017 Credit Agreement”) between FactSet, as the borrower, and PNC Bank, National Association (“PNC”), as the administrative agent and lender. The 2017 Credit Agreement provides for a $575.0 million revolving credit facility (the “2017 Revolving Credit Facility”). We may request borrowings under the 2017 Revolving Credit Facility until its maturity date of March 17, 2020. The 2017 Credit Agreement also allows us, subject to certain requirements, to arrange for additional borrowings with PNC for an aggregate amount of up to $225.0 million, provided that any such request for additional borrowings must be in a minimum amount of $25.0 million. At our option, a borrowing may be in the form of a base rate loan or a LIBOR rate loan. Borrowings under the loan bear interest on the outstanding principal amount at a rate equal to the daily LIBOR rate plus 1.00%. Interest on the loan outstanding is payable quarterly in arrears and on the maturity date. There are no prepayment penalties if we elect to prepay the outstanding loan amounts prior to the scheduled maturity date. The principal balance is payable in full on the maturity date.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conjunction with our entrance into the 2017 Credit Agreement, we borrowed $575.0 million in the form of a LIBOR rate loan under the 2017 Revolving Credit Facility. Proceeds from the 2017 Revolving Credit Facility were also used to fund our acquisition of BISAM.</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All outstanding loan amounts are reported as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within the Consolidated Balance Sheet, presented net of related loan origination fees at May 31, 2018. The loan origination fees are amortized into interest expense over the term of the loan using the effective interest method. During the three months ended May 31, 2018 and 2017, we paid approximately $4.3 million and $2.9 million in interest on our outstanding debt amounts, respectively. During the nine months ended May 31, 2018 and 2017, we paid approximately $11.3 million and $5.3 million in interest on our outstanding debt amounts, respectively. As of May 31, 2018, no commitment fee was owed by us since we borrowed the full amount under the 2017 Credit Agreement.</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2017 Credit Agreement contained covenants restricting certain FactSet activities, which are usual and customary for this type of loan. In addition, the 2017 Credit Agreement required that we maintain a consolidated leverage ratio, as measured by total funded debt/EBITDA below a specified level as of the end of each fiscal quarter. We were in compliance with all the covenants of the 2017 Credit Agreement as of May 31, 2018 and August 31, 2017.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ind w:right="280"/>
        <w:spacing w:after="0" w:line="277" w:lineRule="auto"/>
        <w:rPr>
          <w:sz w:val="20"/>
          <w:szCs w:val="20"/>
          <w:color w:val="auto"/>
        </w:rPr>
      </w:pPr>
      <w:r>
        <w:rPr>
          <w:rFonts w:ascii="Arial" w:cs="Arial" w:eastAsia="Arial" w:hAnsi="Arial"/>
          <w:sz w:val="18"/>
          <w:szCs w:val="18"/>
          <w:color w:val="auto"/>
        </w:rPr>
        <w:t>As of May 31, 2018 the fair value of our long-term debt was $575.0 million, which we believe approximated the carrying amount as the terms and interest rates approximate market rates given its floating interest rate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we are required to obtain letters of credit in the ordinary course of business. Approximately $2.2 million of standby letters of credit have been issued in connection with our leased office spaces as of May 31, 2018. These standby letters of credit contain covenants that, among other things, require us to maintain minimum levels of consolidated net worth and certain leverage and fixed charge ratios. As of May 31, 2018 and August 31, 2017, we were in compliance with all covenants contained in the standby letters of credit.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wholly owned subsidiaries within the European and Asia Pacific segments operate under a functional currency different from the U.S. dollar. The financial statements of these foreign subsidiaries are translated into U.S. dollars using period-end rates of exchange for assets and liabilities and average rates for the period for revenues and expenses. Translation gains and losses that arise from translating assets, liabilities, revenues and expenses of foreign operations are recorded in accumulated other comprehensive (loss) income as a component of stockholders’ equity.</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May 31, 2018 our annualized non-U.S. dollar denominated revenues are estimated to be $99.5 million while our non-U.S. dollar denominated expenses are estimated to be $323.6 million, which translates into a net foreign currency exposure of $224.1 million. Our foreign currency exchange exposure is related to our operating expense base in countries outside the U.S., where 74% of our employees were located as of May 31, 2018. During the third quarter of fiscal 2018, foreign currency movements decreased operating income by $1.1 million, compared to an increase in operating income of $2.5 million in the same period a year ago. During the first nine months of fiscal 2018, foreign currency movements decreased operating income by $3.0 million, compared to an increase in operating income of $6.4 million in the same period a year ago.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Hedges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May 31, 2018, we maintained foreign currency forward contracts on the Indian Rupee to hedge approximately 75% of our exposures through the third quarter of fiscal 2019 and 50% of our exposure from the fourth quarter of fiscal 2019 through the end of the second quarter of fiscal 2020. We also maintained foreign currency forward contracts on the Philippine Peso to hedge approximately 75% of our exposures through the fourth quarter of fiscal 2020. The gross notional value of foreign currency forward contracts to purchase Indian Rupees with U.S. dollars was Rs. 3.7 billion. The gross notional value of foreign currency forward contracts to purchase Philippine Pesos with U.S. dollars was Php 3.1 billion.</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were no other outstanding foreign currency forward contracts as of May 31, 2018. A gain on derivatives of $1.0 million was recorded into operating income during the three months ended May 31, 2018, compared to a loss of $0.4 million in the same period a year ago. During the first nine months of fiscal 2018, a gain on derivatives of $2.6 million was recorded into operating income, compared to a loss on derivatives of $2.8 million in the same period a year ago.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At May 31, 2018 and August 31, 2017,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Repurchases will be made from time to time in the open market and privately negotiated transactions, subject to market conditions. In the third quarter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2018, we repurchased 620,000 shares for $122.0 million under the existing share repurchase program compared to 300,000 shares for $48.3 million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period a year ago. During the first nine months of fiscal 2018, we repurchased 1,204,920 shares for $234.8 million compared to 1,284,822 shares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$208.8 million in the prior year comparable period. Over the last 12 months, we have returned $368.9 million to stockholders in the form of share repurchases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cash dividends. As of May 31, 2018, $309.3 million is available for future share repurchases under the existing share repurchase program.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color w:val="auto"/>
        </w:rPr>
        <w:t>On March 26, 2018, our Board of Directors approved a $300.0 million expansion of the existing share repurchase program. Subsequent to this expansion, $431.2 million is available for future share repurchases.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2017, we had total purchase commitments of $81.0 million. There were no material changes in our purchase commitments with suppliers during the first nine months of fiscal 2018.</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February 14, 2018, we entered into a new lease to relocate our corporate headquarters to 45 Glover Avenue in Norwalk, Connecticut. The new location will comprise approximately 173,000 square feet of office space. We expect to take possession of the newly leased property on or around January 1, 2019 for fit-out purposes. We will continue to occupy our existing headquarters space until the new headquarters property is ready for occupancy, currently estimated to be in the second quarter of fiscal 2020. Including new lease agreements executed during fiscal 2018, our worldwide leased office space increased to approximately 1,760,000 square feet at May 31, 2018, up 617,000 square feet, or 54.0%, from August 31, 2017. This increase was primarily related to additional office space in the Philippines and the new headquarters lease signed in February 2018. Future minimum commitments for our operating leases in place as of May 31, 2018 totaled $416.3 million, an increase from $281.7 million as of August 31, 2017 primarily due to the aforementioned additional office space in the Philippines and the new headquarters lease in Norwalk.</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disclosed in the </w:t>
      </w:r>
      <w:r>
        <w:rPr>
          <w:rFonts w:ascii="Arial" w:cs="Arial" w:eastAsia="Arial" w:hAnsi="Arial"/>
          <w:sz w:val="16"/>
          <w:szCs w:val="16"/>
          <w:i w:val="1"/>
          <w:iCs w:val="1"/>
          <w:color w:val="auto"/>
        </w:rPr>
        <w:t>Capital Resources</w:t>
      </w:r>
      <w:r>
        <w:rPr>
          <w:rFonts w:ascii="Arial" w:cs="Arial" w:eastAsia="Arial" w:hAnsi="Arial"/>
          <w:sz w:val="16"/>
          <w:szCs w:val="16"/>
          <w:color w:val="auto"/>
        </w:rPr>
        <w:t xml:space="preserve"> section of the MD&amp;A, we entered into the 2017 Credit Agreement on March 17, 2017 and borrowed $575.0 million.</w:t>
      </w:r>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With the exception of the new leases entered into in the ordinary course of business, there were no other significant changes to our contractual obligations during the first nine months of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6"/>
          <w:szCs w:val="16"/>
          <w:color w:val="auto"/>
        </w:rPr>
        <w:t>On May 7, 2018, our Board of Directors approved a regular quarterly cash dividend of $0.64 per share. The $0.08 per share or 14.3% increases marked our 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consecutive year we have increased dividends, highlighting our continued commitment to returning value to our shareholders. The cash dividend of $24.6 million was paid on June 19, 2018, to common stockholders of record on May 31, 2018. Future cash dividends will depend on our earnings, capital requirements, financial condition and other factors considered relevant by us and is subject to final determination by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describe our significant accounting policies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Notes to Consolidated Financial Statements included in our Annual Report on Form 10-K for the fiscal year ended August 31, 2017.</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discuss our critical accounting estimates in Management’s Discussion and Analysis of Financial Condition and Results of Operations in our Annual Report on Form 10-K for the fiscal year ended August 31, 2017. There were no significant changes in our accounting policies or critical accounting estimates during the first nine months of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 xml:space="preserve">See Note 3,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in the Notes to the Consolidated Financial Statements for a full description of recent accounting pronouncements, including the expected dates of adoption, which we include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ordinary course of business, we are exposed to financial risks involving the volatility of equity markets as well as foreign currency and interest rate fluctuations.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Shift from Active to Passive Investment Management</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Approximately 84.4% of our ASV is derived from our investment management clients. The prosperity of these clients is tied to equity assets under management. An equity market decline not only depresses assets under management but also could cause a significant increase in redemption requests to move money out of equities and into other asset classes. Moreover, a shift from active investment management to passive investment management can result in lower demand for our services. Our investment banking clients, that provide M&amp;A advisory work, capital markets services and equity research, account for approximately 15.6% of our ASV. A significant portion of these revenues relate to services deployed by large, bulge bracket banks. Credit continues to impact many of the large banking clients due to the amount of leverage deployed in past operations. Our clients could also encounter similar problems. A lack of confidence in the global banking system could cause declines in M&amp;A funded by debt. Additional uncertainty, consolidation and business failures in the global investment banking sector could adversely affect our financial results and future growth. Regardless, the size of banks in general is shrinking as they deleverage their balance sheets and adjust their expense bases to future revenue opportunities. Our revenues may decline if banks, including those involved in recent merger activity, significantly reduce headcount in the areas of corporate M&amp;A, capital markets and equity research to compensate for the issues created by other departments.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Foreign Currency Volatility</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Due to the global nature of our operations, we conduct business outside the U.S. in several currencies including the British Pound Sterling, Euro, Indian Rupee, Japanese Yen and Philippine Peso. To the extent that our international activities increase in the future, our exposure to fluctuations in currency exchange rates will correspondingly increase. To manage this exposure,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Credit risk is managed through the continuous monitoring of exposure to the counterparties associated with these instruments. Our primary objective in holding derivatives is to reduce the volatility of earnings associated with changes in foreign currency.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Volatility is expected to continue in the short term as the UK negotiates its exit from the European Union. The initial UK economic performance has been stronger than originally expected as the timeframe from the initial vote increases. Additionally, increased European confidence and UK consumer spending has contributed to the recovery of the economic outlook. The negotiation process is continuing, including the latest milestone of the UK and European Union developing a draft of the legal text for the transition deal. Any impact from Brexit on us will depend, in part, on the longer-term outcome of tariff, trade, regulatory and other negotiations. Although it is unknown what the result of those negotiations will be, it is possible that new terms may adversely affect our operations and financial results. While we evaluate our own risks and uncertainty related to Brexit, we will continue to partner with our clients to help them navigate the fluctuating international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MiFID II</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European Union, the new version of the Markets in Financial Instruments Directive, also known as "MiFID II", became effective in January 2018. The main purpose of this initiative was to ensure fairer, safe and more efficient markets and facilitate greater transparency for all participants. Research is one area where both buy-side and sell-side clients have seen and will continue to see significant change requirements as a result of the MiFID II inducement rules. The goal of the new legislative framework is to strengthen investor protection and improve the functioning of financial markets, making them more efficient, resilient and transparent. New reporting requirements and tests will increase the amount of information available, and reduce the use of dark pools and OTC trading. MiFID II requirements have meant pricing models and business practices have had to adapt significantly. We will continue to evaluate our own risks and uncertainty related to MiFID II and partner with our clients to help them navigate these new rules. However, recently we have noticed a substantial interest in our research unbundling solutions, which is part of the opportunity for us, but more importantly, allows our clients to leverage our technology solutions for MiFID II compliance.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current and historical information, this Quarterly Report on Form 10-Q, including Management’s Discussion and Analysis of Financial Condition and Results of Operations, contains forward-looking statements regarding future events and our future results that are based on management’s current expectations, estimates, forecast and projections about the industries in which we operate and the beliefs and assumptions of our management. All statements, other than statements of historical facts, are statements that could be deemed to be forward-looking statements. These include statements about our strategy for growth, product development, market position, subscriptions and expected expenditures and financial results. Forward-looking statements may be identified by words like “expects,” “anticipates,” “plans,” “intends,” “projects,” “should,” “indicates,” “continues,” “ASV,” “subscriptions,” “believes,” “estimates,” “may” and similar expressions. In addition, any statements that refer to projections of our future financial performance, our anticipated growth, trends in our business and other characterizations of future events or circumstances are forward-looking statements. Readers are cautioned that these forward-looking statements are only predictions and not guarantees of future performance and involve a number of risks, uncertainties and assumptions. Therefore, actual results may differ materially from what is expressed or forecasted in such forward-looking statements. We will publicly update forward-looking statements as a result of new information or future events in accordance with applicable Securities and Exchange Commission regulations.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2" w:name="page43"/>
    <w:bookmarkEnd w:id="42"/>
    <w:p>
      <w:pPr>
        <w:ind w:right="160"/>
        <w:spacing w:after="0" w:line="277" w:lineRule="auto"/>
        <w:rPr>
          <w:sz w:val="20"/>
          <w:szCs w:val="20"/>
          <w:color w:val="auto"/>
        </w:rPr>
      </w:pPr>
      <w:r>
        <w:rPr>
          <w:rFonts w:ascii="Arial" w:cs="Arial" w:eastAsia="Arial" w:hAnsi="Arial"/>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170"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These statements involve certain known and unknown risks and uncertainties that could cause our actual results to differ materially from those expressed or implied in our forward-looking statements. Such risks and uncertainties include, among others, those listed below. We do not intend, and undertake no obligation, to update any of our forward-looking statements after the date of this Quarterly Report to reflect actual results or future events or circumstances.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Outlook</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Starting with our first quarter of fiscal 2018, we provided annual guidance and discontinued quarterly guidance. The following forward-looking statements reflect our expectations as of June 26, 2018. Given the risk factors, uncertainties and assumptions discussed below, actual results may differ materially. We do not intend to update our forward-looking statements until our next quarterly results announcement, other than in publicly available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Fiscal 2018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confirming our guidance, provided in the first quarter of fiscal 2018, for the following metrics:</w:t>
      </w:r>
    </w:p>
    <w:p>
      <w:pPr>
        <w:spacing w:after="0" w:line="225" w:lineRule="exact"/>
        <w:rPr>
          <w:sz w:val="20"/>
          <w:szCs w:val="20"/>
          <w:color w:val="auto"/>
        </w:rPr>
      </w:pPr>
    </w:p>
    <w:p>
      <w:pPr>
        <w:ind w:left="660" w:right="4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Organic ASV is expected to increase in the range of $65 million and $85 million implying a growth rate in the range of 4.9% to 6.5% compared with fiscal 2017.</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GAAP Revenues are expected to be in the range of $1.34 billion and $1.36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operating margin is expected to be in the range of 31.0% and 32.5%.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updating our guidance, provided in the first quarter of fiscal 2018, for the following metrics:</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GAAP operating margin is expected to be in the range of 27.5% and 29.0%.</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annual effective tax rate is expected to be in the range of 18.0% and 19.5% primarily as a result of the TCJA. This range excludes the one-time deemed repatriation tax on historical unrepatriated foreign earnings, amongst other provisions related to the TCJA. Our fiscal year end is August 31, resulting in a blended federal statutory tax rate for the full 2018 fiscal year.</w:t>
      </w:r>
    </w:p>
    <w:p>
      <w:pPr>
        <w:spacing w:after="0" w:line="1"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GAAP diluted EPS is now expected to be in the range of $6.92 and $7.17. Adjusted diluted EPS is now expected to be in the range of $8.37 and $8.62.</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Both GAAP operating margin and GAAP diluted EPS guidance do not include the effects of any non-recurring benefits or charges that may arise in the fourth quarter of fiscal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Departure of Chief Financial Officer</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8, 2018, we entered into a separation of employment and general release agreement with Maurizio Nicolelli (the “Separation Agreement”), pursuant to which Mr. Nicolelli will remain in his current position as our Chief Financial Officer (“CFO”) until his successor is appointed, participate in an orderly transition of duties to the new CFO and remain until his effective termination date of December 31, 2018. A copy of the Separation Agreement is filed as Exhibit 10.1 to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Departure of Chief Human Resources Officer</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5, 2018, we entered into a separation of employment and general release agreement with Edward Baker-Greene (the “Agreement”), pursuant to which Mr. Baker-Greene will remain in his current position as our Chief Human Resources Officer (“CHRO”) until his successor is appointed, participate in an orderly transition of duties to the new CHRO and remain until his effective termination date of November 30, 2018. A copy of the Agreement is filed as Exhibit 10.2 to this Quarterly Report on Form 10-Q.</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risk and interest rate risk that could impact our financial position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conduct business outside the U.S. in several currencies including the British Pound Sterling, Euro, Indian Rupee, Japanese Yen and Philippine Peso. The financial statements of these foreign subsidiaries are translated into U.S. dollars using period-end rates of exchange for assets and liabilities and average rates for the period for revenues and expenses. Over the next 12 months, our non-U.S. dollar denominated revenues expected to be recognized are estimated to be $99.5 million while our non-U.S. dollar denominated expenses are estimated to be $323.6 million, which translates into a net foreign currency exposure of $224.1 million. To the extent that our international activities recorded in local currencies increase in the future, our exposure to fluctuations in currency exchange rates will correspondingly increase. To manage the exposures related to the effects of foreign exchange rate fluctuations, we utilize derivative instruments (foreign currency forward contracts). By their nature, all derivative instruments involve, to varying degrees, elements of market and credit risk. The market risk associated with these instruments resulting from currency exchange movements is expected to offset the market risk of the underlying transactions, assets and liabilities being hedged. We do not believe there is significant risk of loss in the event of non-performance by the counterparties associated with these instruments because these transactions are executed with a major financial institution. Further, our policy is to deal with counterparties having a minimum investment grade or better credit rating. Credit risk is managed through the continuous monitoring of exposures to such counterparties. Our primary objective in holding derivatives is to reduce the volatility of earnings associated with changes in foreign currency.</w:t>
      </w:r>
    </w:p>
    <w:p>
      <w:pPr>
        <w:spacing w:after="0" w:line="16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May 31, 2018, we maintained foreign currency forward contracts on the Indian Rupee to hedge approximately 75% of our exposures through the third quarter of fiscal 2019 and 50% of our exposure from the fourth quarter of fiscal 2019 through the end of the second quarter of fiscal 2020. We also maintained foreign currency forward contracts on the Philippine Peso to hedge approximately 75% of our exposures through the fourth quarter of fiscal 2020. The gross notional value of foreign currency forward contracts to purchase Indian Rupees with U.S. dollars was Rs. 3.7 billion. The gross notional value of foreign currency forward contracts to purchase Philippine Pesos with U.S. dollars was Php 3.1 billion.</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gain on derivatives of $1.0 million was recorded into operating income during the third quarter of fiscal 2018, compared to a loss on derivatives of $0.4 million in the year ago third quarter. During the first nine months of fiscal 2018, a gain on derivatives of $2.6 million was recorded into operating income, compared to a loss on derivatives of $2.8 million a year ago. The gains and losses on foreign currency forward contracts mitigate the variability in operating expenses associated with currency movements. These transactions are designated and accounted for as cash flow hedges in accordance with applicable accounting guidance</w:t>
      </w:r>
      <w:r>
        <w:rPr>
          <w:rFonts w:ascii="Arial" w:cs="Arial" w:eastAsia="Arial" w:hAnsi="Arial"/>
          <w:sz w:val="17"/>
          <w:szCs w:val="17"/>
          <w:i w:val="1"/>
          <w:iCs w:val="1"/>
          <w:color w:val="auto"/>
        </w:rPr>
        <w:t>.</w:t>
      </w:r>
      <w:r>
        <w:rPr>
          <w:rFonts w:ascii="Arial" w:cs="Arial" w:eastAsia="Arial" w:hAnsi="Arial"/>
          <w:sz w:val="17"/>
          <w:szCs w:val="17"/>
          <w:color w:val="auto"/>
        </w:rPr>
        <w:t xml:space="preserve"> The changes in fair value for these foreign currency forward contracts are initially reported as a component of accumulated other comprehensive loss and subsequently reclassified into operating expenses when the hedged exposure affects earnings. The related cash flow impacts of all our derivative activities are reflected as cash flows from operating activities.</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sensitivity analysis was performed based on the estimated fair value of all foreign currency forward contracts outstanding at May 31, 2018. If the U.S. dollar had been 10% weaker, the fair value of outstanding foreign currency forward contracts would have increased by $10.4 million, which would have had an immaterial impact on our Consolidated Balance Sheet. Such a change in fair value of our financial instruments would be substantially offset by changes in our expense base. Had we not had any hedges in place as of May 31, 2018, a hypothetical 10% weaker U.S. dollar against all foreign currencies from the quoted foreign currency exchange rates at May 31, 2018, would result in a decrease in operating income by $21.4 million over the next 12 months. A hypothetical 10% weaker U.S. dollar against all foreign currencies at May 31, 2018 would increase the fair value of total assets by $65.3 million and equity by $59.3 million.</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Volatility in the British Pound Sterling exchange rate is expected to continue in the short term as the UK negotiates its exit from the European Union. In the longer term, any impact from Brexit on will depend, in part, on the outcome of tariff, trade, regulatory and other negotiations.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Cash and Cash Equivalents - </w:t>
      </w:r>
      <w:r>
        <w:rPr>
          <w:rFonts w:ascii="Arial" w:cs="Arial" w:eastAsia="Arial" w:hAnsi="Arial"/>
          <w:sz w:val="17"/>
          <w:szCs w:val="17"/>
          <w:color w:val="auto"/>
        </w:rPr>
        <w:t>The fair market value of our cash and investments at May 31, 2018 was $243.5 million. Our cash and cash equivalents consist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demand deposits and money market funds with original maturities of three months or less and are reported at fair value. Our investments consist of both mutual funds and certificates of deposit as both are part of the Company’s investment strategy. These mutual funds and certificates of deposit are included as </w:t>
      </w:r>
      <w:r>
        <w:rPr>
          <w:rFonts w:ascii="Arial" w:cs="Arial" w:eastAsia="Arial" w:hAnsi="Arial"/>
          <w:sz w:val="17"/>
          <w:szCs w:val="17"/>
          <w:i w:val="1"/>
          <w:iCs w:val="1"/>
          <w:color w:val="auto"/>
        </w:rPr>
        <w:t xml:space="preserve">Investments </w:t>
      </w:r>
      <w:r>
        <w:rPr>
          <w:rFonts w:ascii="Arial" w:cs="Arial" w:eastAsia="Arial" w:hAnsi="Arial"/>
          <w:sz w:val="17"/>
          <w:szCs w:val="17"/>
          <w:color w:val="auto"/>
        </w:rPr>
        <w:t>(short-term) on our Consolidated Balance Sheets as the certificates of deposit have original maturities greater than three months, but less than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and the mutual funds can be liquidated at that Company’s discretion. The mutual funds and certificates of deposit are held for investment and are not considered debt securities. It is anticipated that the fair market value of our cash and investments will continue to be immaterially affected by fluctuations in interest rates. Preservation of principal is the primary goal of our cash and investment policy. Pursuant to our established investment guidelines, we try to achieve high levels of credit quality, liquidity and diversification. Our investment guidelines do not permit us to invest in puts, calls, strips, short sales, straddles, options, commodities, precious metals, futures or investments on margin. Because we have a restrictive investment policy, our financial exposure to fluctuations in interest rates is expected to remain low. We do not believe that the value or liquidity of our cash and investments have been significantly impacted by current market events.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ind w:right="20"/>
        <w:spacing w:after="0" w:line="254" w:lineRule="auto"/>
        <w:rPr>
          <w:sz w:val="20"/>
          <w:szCs w:val="20"/>
          <w:color w:val="auto"/>
        </w:rPr>
      </w:pPr>
      <w:r>
        <w:rPr>
          <w:rFonts w:ascii="Arial" w:cs="Arial" w:eastAsia="Arial" w:hAnsi="Arial"/>
          <w:sz w:val="18"/>
          <w:szCs w:val="18"/>
          <w:i w:val="1"/>
          <w:iCs w:val="1"/>
          <w:color w:val="auto"/>
        </w:rPr>
        <w:t xml:space="preserve">Debt - </w:t>
      </w:r>
      <w:r>
        <w:rPr>
          <w:rFonts w:ascii="Arial" w:cs="Arial" w:eastAsia="Arial" w:hAnsi="Arial"/>
          <w:sz w:val="18"/>
          <w:szCs w:val="18"/>
          <w:color w:val="auto"/>
        </w:rPr>
        <w:t>As of May 31, 2018, the fair value of our long-term debt was $575.0 million, which approximated its carrying amount and was determined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market prices for debt with a similar maturity. It is anticipated that the fair market value of our debt will continue to be immaterially affected by fluctuations in interest rates and we do not believe that the value of our debt has been significantly impacted by current market events. The debt bears interest on the outstanding principal amount at a rate equal to the daily LIBOR rate plus 1.00%. During the three months ended May 31, 2018 and 2017, we paid approximately $4.3 million and $2.9 million in interest on our outstanding debt amounts, respectively. During the nine months ended May 31, 2018 and 2017, we paid approximately $11.3 million and $5.3 million in interest on our outstanding debt amounts, respectively. Assuming all terms of our outstanding long-term debt remained the same, a hypothetical 25 basis point change (up or down) in the one-month LIBOR rate would result in a $1.4 million change in our annual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supervision and with the participation of the Company’s management, including the principal executive officer and principal financial officer, the Company has evaluated the effectiveness of its disclosure controls and procedures pursuant to Rules 13a-15(e) and 15d-15(e) under the Securities Exchange Act of 1934, as of the end of the period covered by this report. Based on that evaluation, the principal executive officer and principal financial officer have concluded that the Company’s disclosure controls and procedures as defined in Rules 13a-15(e) and 15d-15(e) under the Securities Exchange Act of 1934, as amended, (the “Exchange Act”) are effective to ensure that information required to be disclosed by the Company in reports that it files or submits under the Exchange Act is recorded, processed, summarized and reported within the time periods specified in Securities and Exchange Commission rules and forms and is accumulated and communicated to the Company’s management, including its principal executive officer and principal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have been no changes in the Company’s internal control over financial reporting (as such term is defined in Rules 13a-15(f) and 15d-15(f) under the Exchange Act) during the Company’s third quarter of fiscal 2018 that has materially affected, or is reasonably likely to materially affect, the Company’s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 information set forth under Note 17,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contained in the Notes to the Consolidated Financial Statements of this Quarterly Report on Form 10-Q is incorporated by reference in answer to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were no material changes during the first nine months of fiscal 2018 to the risk factors identified in the Company’s fiscal 2017 Annual Report on Form 10-K, with the exception of the cybersecurity risk, additional regulation of data privacy and protection of personal information and ongoing and other probably audits by tax authorities, all of which are further disclosed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 threats and Security Vulnerabilities</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providing FactSet software-enabled services to customers, the Company relies on information technology infrastructure that is primarily managed internally, along with some reliance placed on third-party service providers. These third-parties are also subject to the risks and there is no guarantee that they will maintain systems and procedures sufficient to protect against system failures and security breaches, including cyber-attacks. FactSet also makes acquisitions periodically and while significant effort is placed on addressing any information technology security issues with respect to the acquired companies, the Company may still inherit such risks when these acquisitions are integrated within FactSet.</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Cyber threats are constantly evolving. FactSet could suffer significant damage to its brand and reputation if a cyber-attack or other security incident were to allow unauthorized access to or modification of customers’ or suppliers’ data, other external data, internal data or information technology systems, if the services provided to customers were disrupted, or if products or services are perceived as having security vulnerabilities. The costs FactSet would incur to address and resolve these security incidents would increase the Company’s expenses. These types of security incidents could also lead to lawsuits, regulatory investigations and claims and increased legal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Protection of Personal Information</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Many jurisdictions in which the Company operates have laws and regulations relating to data privacy and protection of personal information, including the European Union General Data Protection Regulation (“GDPR”) effective May 25, 2018. GDPR requires companies to satisfy new requirements regarding the handling of personal and sensitive data, including its use, protection and certain abilities of persons whose data is stored to correct or delete such about themselves. Failure to comply with GDPR requirements could result in penalties of up to 4% of worldwide revenue. The law in this area continues to develop and the changing nature of privacy laws in the European Union and elsewhere could impact the Company’s processing of personal and sensitive information related to FactSet’s content operations, employees, clients, and vendors.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and Other Probable Audits by Tax Authorities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ordinary course of business, FactSet is subject to tax examinations by various governmental tax authorities. The global and diverse nature of the Company’s business means that there could be additional examinations in the future by governmental tax authorities and the resolution of ongoing and other probable audits can impose a future risk to the results of our business.</w:t>
      </w:r>
    </w:p>
    <w:p>
      <w:pPr>
        <w:spacing w:after="0" w:line="1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third quarter of fiscal 2018, FactSet received a letter from the Massachusetts Department of Revenue relating to prior tax periods. The letter requested additional sales information in order to determine if a notice of intent to assess should be issued to FactSet. Based upon a preliminary review of their request, the Company believes the state may assess sales tax, and underpayment penalties and interest, on previously recorded sales transactions. FactSet disagrees with the preliminary conclusions reached by the state auditor and intends to dispute vigorously these matters. Due to the uncertainty surrounding the assessment process, the Company is unable to reasonably estimate the ultimate outcome of this matter and as such, has not recorded a liability as of May 31, 2018. While FactSet believes that it will ultimately prevail, if the Company is presented with a formal assessment and is required to pay it, the amount could have a material impact on the Company’s consolidated financial position, cash flows and results of operations.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2(a) and (b) are not applicable as there have been no 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 (in thousands, except per share data)</w:t>
      </w:r>
    </w:p>
    <w:p>
      <w:pPr>
        <w:spacing w:after="0" w:line="225"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The following table provides a month-to-month summary of the share repurchase activity under the current stock repurchase program during the three months ended May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Total number of</w:t>
            </w:r>
          </w:p>
        </w:tc>
        <w:tc>
          <w:tcPr>
            <w:tcW w:w="2320" w:type="dxa"/>
            <w:vAlign w:val="bottom"/>
            <w:gridSpan w:val="2"/>
          </w:tcPr>
          <w:p>
            <w:pPr>
              <w:jc w:val="center"/>
              <w:spacing w:after="0"/>
              <w:rPr>
                <w:sz w:val="20"/>
                <w:szCs w:val="20"/>
                <w:color w:val="auto"/>
              </w:rPr>
            </w:pPr>
            <w:r>
              <w:rPr>
                <w:rFonts w:ascii="Arial" w:cs="Arial" w:eastAsia="Arial" w:hAnsi="Arial"/>
                <w:sz w:val="18"/>
                <w:szCs w:val="18"/>
                <w:color w:val="auto"/>
                <w:w w:val="91"/>
              </w:rPr>
              <w:t>Maximum number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 purchased as</w:t>
            </w: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w w:val="96"/>
              </w:rPr>
              <w:t>(or approximate 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Total number</w:t>
            </w:r>
          </w:p>
        </w:tc>
        <w:tc>
          <w:tcPr>
            <w:tcW w:w="320" w:type="dxa"/>
            <w:vAlign w:val="bottom"/>
          </w:tcPr>
          <w:p>
            <w:pPr>
              <w:spacing w:after="0"/>
              <w:rPr>
                <w:sz w:val="18"/>
                <w:szCs w:val="18"/>
                <w:color w:val="auto"/>
              </w:rPr>
            </w:pPr>
          </w:p>
        </w:tc>
        <w:tc>
          <w:tcPr>
            <w:tcW w:w="1680" w:type="dxa"/>
            <w:vAlign w:val="bottom"/>
          </w:tcPr>
          <w:p>
            <w:pPr>
              <w:jc w:val="center"/>
              <w:ind w:right="350"/>
              <w:spacing w:after="0"/>
              <w:rPr>
                <w:sz w:val="20"/>
                <w:szCs w:val="20"/>
                <w:color w:val="auto"/>
              </w:rPr>
            </w:pPr>
            <w:r>
              <w:rPr>
                <w:rFonts w:ascii="Arial" w:cs="Arial" w:eastAsia="Arial" w:hAnsi="Arial"/>
                <w:sz w:val="18"/>
                <w:szCs w:val="18"/>
                <w:color w:val="auto"/>
                <w:w w:val="89"/>
              </w:rPr>
              <w:t>Average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part of publicly</w:t>
            </w:r>
          </w:p>
        </w:tc>
        <w:tc>
          <w:tcPr>
            <w:tcW w:w="340" w:type="dxa"/>
            <w:vAlign w:val="bottom"/>
          </w:tcPr>
          <w:p>
            <w:pPr>
              <w:spacing w:after="0"/>
              <w:rPr>
                <w:sz w:val="18"/>
                <w:szCs w:val="18"/>
                <w:color w:val="auto"/>
              </w:rPr>
            </w:pPr>
          </w:p>
        </w:tc>
        <w:tc>
          <w:tcPr>
            <w:tcW w:w="1980" w:type="dxa"/>
            <w:vAlign w:val="bottom"/>
          </w:tcPr>
          <w:p>
            <w:pPr>
              <w:jc w:val="center"/>
              <w:ind w:right="250"/>
              <w:spacing w:after="0"/>
              <w:rPr>
                <w:sz w:val="20"/>
                <w:szCs w:val="20"/>
                <w:color w:val="auto"/>
              </w:rPr>
            </w:pPr>
            <w:r>
              <w:rPr>
                <w:rFonts w:ascii="Arial" w:cs="Arial" w:eastAsia="Arial" w:hAnsi="Arial"/>
                <w:sz w:val="18"/>
                <w:szCs w:val="18"/>
                <w:color w:val="auto"/>
                <w:w w:val="90"/>
              </w:rPr>
              <w:t>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of shares</w:t>
            </w:r>
          </w:p>
        </w:tc>
        <w:tc>
          <w:tcPr>
            <w:tcW w:w="320" w:type="dxa"/>
            <w:vAlign w:val="bottom"/>
          </w:tcPr>
          <w:p>
            <w:pPr>
              <w:spacing w:after="0"/>
              <w:rPr>
                <w:sz w:val="18"/>
                <w:szCs w:val="18"/>
                <w:color w:val="auto"/>
              </w:rPr>
            </w:pPr>
          </w:p>
        </w:tc>
        <w:tc>
          <w:tcPr>
            <w:tcW w:w="1680" w:type="dxa"/>
            <w:vAlign w:val="bottom"/>
          </w:tcPr>
          <w:p>
            <w:pPr>
              <w:jc w:val="center"/>
              <w:ind w:right="330"/>
              <w:spacing w:after="0"/>
              <w:rPr>
                <w:sz w:val="20"/>
                <w:szCs w:val="20"/>
                <w:color w:val="auto"/>
              </w:rPr>
            </w:pPr>
            <w:r>
              <w:rPr>
                <w:rFonts w:ascii="Arial" w:cs="Arial" w:eastAsia="Arial" w:hAnsi="Arial"/>
                <w:sz w:val="18"/>
                <w:szCs w:val="18"/>
                <w:color w:val="auto"/>
                <w:w w:val="89"/>
              </w:rPr>
              <w:t>price paid per</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announced plans or</w:t>
            </w: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w w:val="93"/>
              </w:rPr>
              <w:t>purchased under the 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440"/>
              <w:spacing w:after="0"/>
              <w:rPr>
                <w:sz w:val="20"/>
                <w:szCs w:val="20"/>
                <w:color w:val="auto"/>
              </w:rPr>
            </w:pPr>
            <w:r>
              <w:rPr>
                <w:rFonts w:ascii="Arial" w:cs="Arial" w:eastAsia="Arial" w:hAnsi="Arial"/>
                <w:sz w:val="18"/>
                <w:szCs w:val="18"/>
                <w:color w:val="auto"/>
              </w:rPr>
              <w:t>Period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purchased</w:t>
            </w:r>
          </w:p>
        </w:tc>
        <w:tc>
          <w:tcPr>
            <w:tcW w:w="320" w:type="dxa"/>
            <w:vAlign w:val="bottom"/>
          </w:tcPr>
          <w:p>
            <w:pPr>
              <w:spacing w:after="0"/>
              <w:rPr>
                <w:sz w:val="20"/>
                <w:szCs w:val="20"/>
                <w:color w:val="auto"/>
              </w:rPr>
            </w:pPr>
          </w:p>
        </w:tc>
        <w:tc>
          <w:tcPr>
            <w:tcW w:w="1680" w:type="dxa"/>
            <w:vAlign w:val="bottom"/>
          </w:tcPr>
          <w:p>
            <w:pPr>
              <w:jc w:val="center"/>
              <w:ind w:right="330"/>
              <w:spacing w:after="0"/>
              <w:rPr>
                <w:sz w:val="20"/>
                <w:szCs w:val="20"/>
                <w:color w:val="auto"/>
              </w:rPr>
            </w:pPr>
            <w:r>
              <w:rPr>
                <w:rFonts w:ascii="Arial" w:cs="Arial" w:eastAsia="Arial" w:hAnsi="Arial"/>
                <w:sz w:val="18"/>
                <w:szCs w:val="18"/>
                <w:color w:val="auto"/>
                <w:w w:val="84"/>
              </w:rPr>
              <w:t>share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340" w:type="dxa"/>
            <w:vAlign w:val="bottom"/>
          </w:tcPr>
          <w:p>
            <w:pPr>
              <w:spacing w:after="0"/>
              <w:rPr>
                <w:sz w:val="20"/>
                <w:szCs w:val="20"/>
                <w:color w:val="auto"/>
              </w:rPr>
            </w:pPr>
          </w:p>
        </w:tc>
        <w:tc>
          <w:tcPr>
            <w:tcW w:w="1980" w:type="dxa"/>
            <w:vAlign w:val="bottom"/>
          </w:tcPr>
          <w:p>
            <w:pPr>
              <w:jc w:val="center"/>
              <w:ind w:right="250"/>
              <w:spacing w:after="0"/>
              <w:rPr>
                <w:sz w:val="20"/>
                <w:szCs w:val="20"/>
                <w:color w:val="auto"/>
              </w:rPr>
            </w:pPr>
            <w:r>
              <w:rPr>
                <w:rFonts w:ascii="Arial" w:cs="Arial" w:eastAsia="Arial" w:hAnsi="Arial"/>
                <w:sz w:val="18"/>
                <w:szCs w:val="18"/>
                <w:color w:val="auto"/>
                <w:w w:val="92"/>
              </w:rPr>
              <w:t>programs (in 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March 2018*</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200.02</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April 2018</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465,000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196.21</w:t>
            </w:r>
          </w:p>
        </w:tc>
        <w:tc>
          <w:tcPr>
            <w:tcW w:w="1700" w:type="dxa"/>
            <w:vAlign w:val="bottom"/>
          </w:tcPr>
          <w:p>
            <w:pPr>
              <w:jc w:val="right"/>
              <w:spacing w:after="0"/>
              <w:rPr>
                <w:sz w:val="20"/>
                <w:szCs w:val="20"/>
                <w:color w:val="auto"/>
              </w:rPr>
            </w:pPr>
            <w:r>
              <w:rPr>
                <w:rFonts w:ascii="Arial" w:cs="Arial" w:eastAsia="Arial" w:hAnsi="Arial"/>
                <w:sz w:val="18"/>
                <w:szCs w:val="18"/>
                <w:color w:val="auto"/>
              </w:rPr>
              <w:t>465,000</w:t>
            </w:r>
          </w:p>
        </w:tc>
        <w:tc>
          <w:tcPr>
            <w:tcW w:w="12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326,999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May 2018</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196.93</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tcPr>
          <w:p>
            <w:pPr>
              <w:ind w:left="320"/>
              <w:spacing w:after="0"/>
              <w:rPr>
                <w:sz w:val="20"/>
                <w:szCs w:val="20"/>
                <w:color w:val="auto"/>
              </w:rPr>
            </w:pPr>
            <w:r>
              <w:rPr>
                <w:rFonts w:ascii="Arial" w:cs="Arial" w:eastAsia="Arial" w:hAnsi="Arial"/>
                <w:sz w:val="18"/>
                <w:szCs w:val="18"/>
                <w:color w:val="auto"/>
              </w:rPr>
              <w:t>Total</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620,000</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620,000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*On March 26, 2018, FactSet’s Board of Directors approved a $300.0 million expansion to the existing share repurchase program. Including the approved $300.0 million expansion to the program, $309.3 million remains authorized for future share repurchases. Repurchases will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(a) EXHIBITS: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14"/>
        </w:trPr>
        <w:tc>
          <w:tcPr>
            <w:tcW w:w="1380" w:type="dxa"/>
            <w:vAlign w:val="bottom"/>
          </w:tcPr>
          <w:p>
            <w:pPr>
              <w:spacing w:after="0"/>
              <w:rPr>
                <w:sz w:val="20"/>
                <w:szCs w:val="20"/>
                <w:color w:val="auto"/>
              </w:rPr>
            </w:pPr>
            <w:r>
              <w:rPr>
                <w:rFonts w:ascii="Arial" w:cs="Arial" w:eastAsia="Arial" w:hAnsi="Arial"/>
                <w:sz w:val="18"/>
                <w:szCs w:val="18"/>
                <w:b w:val="1"/>
                <w:bCs w:val="1"/>
                <w:color w:val="auto"/>
              </w:rPr>
              <w:t>EXBHIT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4"/>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9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92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Separation Agreement and General Release of Claims, dated May 8, 2018</w:t>
              </w:r>
            </w:hyperlink>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Separation Agreement and General Release of Claims, dated July 5, 2018</w:t>
              </w:r>
            </w:hyperlink>
          </w:p>
        </w:tc>
        <w:tc>
          <w:tcPr>
            <w:tcW w:w="20" w:type="dxa"/>
            <w:vAlign w:val="bottom"/>
            <w:tcBorders>
              <w:top w:val="single" w:sz="8" w:color="0000EE"/>
            </w:tcBorders>
          </w:tcPr>
          <w:p>
            <w:pPr>
              <w:spacing w:after="0"/>
              <w:rPr>
                <w:sz w:val="17"/>
                <w:szCs w:val="17"/>
                <w:color w:val="auto"/>
              </w:rPr>
            </w:pPr>
          </w:p>
        </w:tc>
        <w:tc>
          <w:tcPr>
            <w:tcW w:w="4600" w:type="dxa"/>
            <w:vAlign w:val="bottom"/>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Section 302</w:t>
              </w:r>
            </w:hyperlink>
          </w:p>
        </w:tc>
        <w:tc>
          <w:tcPr>
            <w:tcW w:w="31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of Principal Executive Officer</w:t>
              </w:r>
            </w:hyperlink>
          </w:p>
        </w:tc>
        <w:tc>
          <w:tcPr>
            <w:tcW w:w="5900" w:type="dxa"/>
            <w:vAlign w:val="bottom"/>
            <w:gridSpan w:val="3"/>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Section 302</w:t>
              </w:r>
            </w:hyperlink>
          </w:p>
        </w:tc>
        <w:tc>
          <w:tcPr>
            <w:tcW w:w="310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Certification of Principal Financial Officer</w:t>
              </w:r>
            </w:hyperlink>
          </w:p>
        </w:tc>
        <w:tc>
          <w:tcPr>
            <w:tcW w:w="5940" w:type="dxa"/>
            <w:vAlign w:val="bottom"/>
            <w:gridSpan w:val="4"/>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Section 906</w:t>
              </w:r>
            </w:hyperlink>
          </w:p>
        </w:tc>
        <w:tc>
          <w:tcPr>
            <w:tcW w:w="314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Certification of Principal Executive Officer</w:t>
              </w:r>
            </w:hyperlink>
          </w:p>
        </w:tc>
        <w:tc>
          <w:tcPr>
            <w:tcW w:w="5900" w:type="dxa"/>
            <w:vAlign w:val="bottom"/>
            <w:gridSpan w:val="3"/>
          </w:tcPr>
          <w:p>
            <w:pPr>
              <w:spacing w:after="0"/>
              <w:rPr>
                <w:sz w:val="17"/>
                <w:szCs w:val="17"/>
                <w:color w:val="auto"/>
              </w:rPr>
            </w:pPr>
          </w:p>
        </w:tc>
      </w:tr>
      <w:tr>
        <w:trPr>
          <w:trHeight w:val="196"/>
        </w:trPr>
        <w:tc>
          <w:tcPr>
            <w:tcW w:w="13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7"/>
                <w:szCs w:val="17"/>
                <w:color w:val="auto"/>
              </w:rPr>
            </w:pPr>
          </w:p>
        </w:tc>
        <w:tc>
          <w:tcPr>
            <w:tcW w:w="880" w:type="dxa"/>
            <w:vAlign w:val="bottom"/>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Section 906</w:t>
              </w:r>
            </w:hyperlink>
          </w:p>
        </w:tc>
        <w:tc>
          <w:tcPr>
            <w:tcW w:w="9040" w:type="dxa"/>
            <w:vAlign w:val="bottom"/>
            <w:gridSpan w:val="6"/>
          </w:tcPr>
          <w:p>
            <w:pPr>
              <w:ind w:left="20"/>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Certification of Principal Financial Officer</w:t>
              </w:r>
            </w:hyperlink>
          </w:p>
        </w:tc>
      </w:t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9"/>
                <w:szCs w:val="19"/>
                <w:color w:val="auto"/>
              </w:rPr>
            </w:pPr>
          </w:p>
        </w:tc>
        <w:tc>
          <w:tcPr>
            <w:tcW w:w="39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5960" w:type="dxa"/>
            <w:vAlign w:val="bottom"/>
            <w:gridSpan w:val="5"/>
          </w:tcPr>
          <w:p>
            <w:pPr>
              <w:spacing w:after="0"/>
              <w:rPr>
                <w:sz w:val="19"/>
                <w:szCs w:val="19"/>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8"/>
                <w:szCs w:val="18"/>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0"/>
                <w:szCs w:val="20"/>
                <w:color w:val="auto"/>
              </w:rPr>
            </w:pPr>
          </w:p>
        </w:tc>
        <w:tc>
          <w:tcPr>
            <w:tcW w:w="99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FACTSET RESEARCH SYSTEMS INC.</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10, 2018</w:t>
            </w:r>
          </w:p>
        </w:tc>
        <w:tc>
          <w:tcPr>
            <w:tcW w:w="22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MAURIZIO NICOLELLI</w:t>
            </w: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Maurizio Nicolelli</w:t>
            </w:r>
          </w:p>
        </w:tc>
      </w:tr>
      <w:tr>
        <w:trPr>
          <w:trHeight w:val="216"/>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MCNULTY</w:t>
            </w:r>
          </w:p>
        </w:tc>
      </w:tr>
      <w:tr>
        <w:trPr>
          <w:trHeight w:val="195"/>
        </w:trPr>
        <w:tc>
          <w:tcPr>
            <w:tcW w:w="35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Matthew J. McNulty</w:t>
            </w:r>
          </w:p>
        </w:tc>
      </w:tr>
      <w:tr>
        <w:trPr>
          <w:trHeight w:val="216"/>
        </w:trPr>
        <w:tc>
          <w:tcPr>
            <w:tcW w:w="35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Controller</w:t>
            </w:r>
          </w:p>
        </w:tc>
      </w:tr>
      <w:tr>
        <w:trPr>
          <w:trHeight w:val="230"/>
        </w:trPr>
        <w:tc>
          <w:tcPr>
            <w:tcW w:w="35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3520" w:type="dxa"/>
            <w:vAlign w:val="bottom"/>
          </w:tcPr>
          <w:p>
            <w:pPr>
              <w:spacing w:after="0"/>
              <w:rPr>
                <w:sz w:val="24"/>
                <w:szCs w:val="24"/>
                <w:color w:val="auto"/>
              </w:rPr>
            </w:pPr>
          </w:p>
        </w:tc>
        <w:tc>
          <w:tcPr>
            <w:tcW w:w="7900" w:type="dxa"/>
            <w:vAlign w:val="bottom"/>
            <w:gridSpan w:val="2"/>
          </w:tcPr>
          <w:p>
            <w:pPr>
              <w:jc w:val="right"/>
              <w:ind w:right="5530"/>
              <w:spacing w:after="0"/>
              <w:rPr>
                <w:sz w:val="20"/>
                <w:szCs w:val="20"/>
                <w:color w:val="auto"/>
              </w:rPr>
            </w:pPr>
            <w:r>
              <w:rPr>
                <w:rFonts w:ascii="Arial" w:cs="Arial" w:eastAsia="Arial" w:hAnsi="Arial"/>
                <w:sz w:val="18"/>
                <w:szCs w:val="18"/>
                <w:color w:val="auto"/>
              </w:rPr>
              <w:t>48</w:t>
            </w:r>
          </w:p>
        </w:tc>
      </w:tr>
      <w:tr>
        <w:trPr>
          <w:trHeight w:val="115"/>
        </w:trPr>
        <w:tc>
          <w:tcPr>
            <w:tcW w:w="35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57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b w:val="1"/>
                <w:bCs w:val="1"/>
                <w:color w:val="auto"/>
              </w:rPr>
              <w:t>EXBHIT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4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920" w:type="dxa"/>
            <w:vAlign w:val="bottom"/>
            <w:gridSpan w:val="2"/>
            <w:shd w:val="clear" w:color="auto" w:fill="000000"/>
          </w:tcPr>
          <w:p>
            <w:pPr>
              <w:spacing w:after="0" w:line="20" w:lineRule="exact"/>
              <w:rPr>
                <w:sz w:val="1"/>
                <w:szCs w:val="1"/>
                <w:color w:val="auto"/>
              </w:rPr>
            </w:pPr>
          </w:p>
        </w:tc>
      </w:tr>
      <w:tr>
        <w:trPr>
          <w:trHeight w:val="411"/>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Separation Agreement and General Release of Claims, dated May 8, 2018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Separation Agreement and General Release of Claims, dated July 5, 2018</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0"/>
              </w:rPr>
              <w:t>Section 302</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0"/>
              </w:rPr>
              <w:t>Section 302</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0"/>
              </w:rPr>
              <w:t>Section 906</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Principal Executive Officer</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1000" w:type="dxa"/>
            <w:vAlign w:val="bottom"/>
            <w:gridSpan w:val="2"/>
          </w:tcPr>
          <w:p>
            <w:pPr>
              <w:ind w:left="120"/>
              <w:spacing w:after="0"/>
              <w:rPr>
                <w:sz w:val="20"/>
                <w:szCs w:val="20"/>
                <w:color w:val="auto"/>
              </w:rPr>
            </w:pPr>
            <w:r>
              <w:rPr>
                <w:rFonts w:ascii="Arial" w:cs="Arial" w:eastAsia="Arial" w:hAnsi="Arial"/>
                <w:sz w:val="18"/>
                <w:szCs w:val="18"/>
                <w:color w:val="auto"/>
                <w:w w:val="90"/>
              </w:rPr>
              <w:t>Section 906</w:t>
            </w:r>
          </w:p>
        </w:tc>
        <w:tc>
          <w:tcPr>
            <w:tcW w:w="904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40" w:type="dxa"/>
            <w:vAlign w:val="bottom"/>
          </w:tcPr>
          <w:p>
            <w:pPr>
              <w:ind w:left="324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 OF CLAIMS</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FactSet Research Systems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 Maurizio Nicolelli (“</w:t>
      </w:r>
      <w:r>
        <w:rPr>
          <w:rFonts w:ascii="Arial" w:cs="Arial" w:eastAsia="Arial" w:hAnsi="Arial"/>
          <w:sz w:val="18"/>
          <w:szCs w:val="18"/>
          <w:u w:val="single" w:color="auto"/>
          <w:color w:val="auto"/>
        </w:rPr>
        <w:t>Employee</w:t>
      </w:r>
      <w:r>
        <w:rPr>
          <w:rFonts w:ascii="Arial" w:cs="Arial" w:eastAsia="Arial" w:hAnsi="Arial"/>
          <w:sz w:val="18"/>
          <w:szCs w:val="18"/>
          <w:color w:val="auto"/>
        </w:rPr>
        <w:t>”), have entered into this Separation Agreement and General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to settle all known and unknown claims I might have against Company and all related parties. Except to the extent governed by federal law, this Agreement shall be governed by the statutes and common law of Connecticut, excluding any that mandate the use of another jurisdiction’s laws.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and I agree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1 -- </w:t>
      </w:r>
      <w:r>
        <w:rPr>
          <w:rFonts w:ascii="Arial" w:cs="Arial" w:eastAsia="Arial" w:hAnsi="Arial"/>
          <w:sz w:val="18"/>
          <w:szCs w:val="18"/>
          <w:b w:val="1"/>
          <w:bCs w:val="1"/>
          <w:u w:val="single" w:color="auto"/>
          <w:color w:val="auto"/>
        </w:rPr>
        <w:t>Benefits</w:t>
      </w:r>
    </w:p>
    <w:p>
      <w:pPr>
        <w:spacing w:after="0" w:line="225" w:lineRule="exact"/>
        <w:rPr>
          <w:sz w:val="20"/>
          <w:szCs w:val="20"/>
          <w:color w:val="auto"/>
        </w:rPr>
      </w:pPr>
    </w:p>
    <w:p>
      <w:pPr>
        <w:jc w:val="both"/>
        <w:ind w:firstLine="1305"/>
        <w:spacing w:after="0" w:line="261" w:lineRule="auto"/>
        <w:tabs>
          <w:tab w:leader="none" w:pos="176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The Company promises that I will receive the benefits set forth in this section that are conditioned on my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 understand and agree that I am not otherwise entitled to receive the benefits provided to me under this Agreement. I understand that I may revoke this Agreement within 7 days after I sign it, in which case I will not receive the amounts or benefits that are being paid to me under it, and this Agreement will never go into effect.</w:t>
      </w:r>
    </w:p>
    <w:p>
      <w:pPr>
        <w:spacing w:after="0" w:line="180" w:lineRule="exact"/>
        <w:rPr>
          <w:rFonts w:ascii="Arial" w:cs="Arial" w:eastAsia="Arial" w:hAnsi="Arial"/>
          <w:sz w:val="18"/>
          <w:szCs w:val="18"/>
          <w:color w:val="auto"/>
        </w:rPr>
      </w:pPr>
    </w:p>
    <w:p>
      <w:pPr>
        <w:jc w:val="both"/>
        <w:ind w:firstLine="1305"/>
        <w:spacing w:after="0" w:line="274" w:lineRule="auto"/>
        <w:tabs>
          <w:tab w:leader="none" w:pos="1799"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Salary Continuation</w:t>
      </w:r>
      <w:r>
        <w:rPr>
          <w:rFonts w:ascii="Arial" w:cs="Arial" w:eastAsia="Arial" w:hAnsi="Arial"/>
          <w:sz w:val="17"/>
          <w:szCs w:val="17"/>
          <w:color w:val="auto"/>
        </w:rPr>
        <w:t>: Whether I sign this Agreement or not, I will continue to receive my regular pay, less all applicable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and local taxes and withholdings, for the period from now through the effective date of my termination on December 31, 2018 (“</w:t>
      </w:r>
      <w:r>
        <w:rPr>
          <w:rFonts w:ascii="Arial" w:cs="Arial" w:eastAsia="Arial" w:hAnsi="Arial"/>
          <w:sz w:val="17"/>
          <w:szCs w:val="17"/>
          <w:u w:val="single" w:color="auto"/>
          <w:color w:val="auto"/>
        </w:rPr>
        <w:t>Termination Date</w:t>
      </w:r>
      <w:r>
        <w:rPr>
          <w:rFonts w:ascii="Arial" w:cs="Arial" w:eastAsia="Arial" w:hAnsi="Arial"/>
          <w:sz w:val="17"/>
          <w:szCs w:val="17"/>
          <w:color w:val="auto"/>
        </w:rPr>
        <w:t>”). During this period, I will remain on active payroll and retain all salary, compensation and employment benefits that I previously enjoyed, including Company medical benefits. Prior to my Termination Date, I may be required to relinquish my title of Chief Financial Officer. Until such time, I will be required to report to work at the Company as usual, and will be required to perform regular work assignments. Following the relinquishment of such title but prior to my Termination Date, I may be requested by the Company to assist in reasonable transition efforts.</w:t>
      </w:r>
    </w:p>
    <w:p>
      <w:pPr>
        <w:spacing w:after="0" w:line="173" w:lineRule="exact"/>
        <w:rPr>
          <w:rFonts w:ascii="Arial" w:cs="Arial" w:eastAsia="Arial" w:hAnsi="Arial"/>
          <w:sz w:val="17"/>
          <w:szCs w:val="17"/>
          <w:color w:val="auto"/>
        </w:rPr>
      </w:pPr>
    </w:p>
    <w:p>
      <w:pPr>
        <w:jc w:val="both"/>
        <w:ind w:firstLine="1305"/>
        <w:spacing w:after="0" w:line="266" w:lineRule="auto"/>
        <w:tabs>
          <w:tab w:leader="none" w:pos="1732"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Bonus Payment</w:t>
      </w:r>
      <w:r>
        <w:rPr>
          <w:rFonts w:ascii="Arial" w:cs="Arial" w:eastAsia="Arial" w:hAnsi="Arial"/>
          <w:sz w:val="18"/>
          <w:szCs w:val="18"/>
          <w:color w:val="auto"/>
        </w:rPr>
        <w:t>: Whether I sign this Agreement or not, I will be eligible to participate in the Company’s annual bonus program. My</w:t>
      </w:r>
      <w:r>
        <w:rPr>
          <w:rFonts w:ascii="Arial" w:cs="Arial" w:eastAsia="Arial" w:hAnsi="Arial"/>
          <w:sz w:val="18"/>
          <w:szCs w:val="18"/>
          <w:b w:val="1"/>
          <w:bCs w:val="1"/>
          <w:color w:val="auto"/>
        </w:rPr>
        <w:t xml:space="preserve"> </w:t>
      </w:r>
      <w:r>
        <w:rPr>
          <w:rFonts w:ascii="Arial" w:cs="Arial" w:eastAsia="Arial" w:hAnsi="Arial"/>
          <w:sz w:val="18"/>
          <w:szCs w:val="18"/>
          <w:color w:val="auto"/>
        </w:rPr>
        <w:t>annual target bonus amount is $550,000 for fiscal year 2018, though the actual amount may differ. My bonus will be paid when all other corporate bonuses are paid in October 2018, less all applicable federal, state and local taxes and withholdings.</w:t>
      </w:r>
    </w:p>
    <w:p>
      <w:pPr>
        <w:spacing w:after="0" w:line="176" w:lineRule="exact"/>
        <w:rPr>
          <w:rFonts w:ascii="Arial" w:cs="Arial" w:eastAsia="Arial" w:hAnsi="Arial"/>
          <w:sz w:val="18"/>
          <w:szCs w:val="18"/>
          <w:color w:val="auto"/>
        </w:rPr>
      </w:pPr>
    </w:p>
    <w:p>
      <w:pPr>
        <w:jc w:val="both"/>
        <w:ind w:firstLine="1305"/>
        <w:spacing w:after="0" w:line="289" w:lineRule="auto"/>
        <w:tabs>
          <w:tab w:leader="none" w:pos="1776"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Separation Payment</w:t>
      </w:r>
      <w:r>
        <w:rPr>
          <w:rFonts w:ascii="Arial" w:cs="Arial" w:eastAsia="Arial" w:hAnsi="Arial"/>
          <w:sz w:val="17"/>
          <w:szCs w:val="17"/>
          <w:color w:val="auto"/>
        </w:rPr>
        <w:t>: In exchange for signing this Agreement, I will receive a lump sum separation payment of $483,333.00 (Four</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Eighty-Three Thousand Three Hundred Thirty-Three Dollars and Zero Cents), less all applicable federal, state and local taxes and withholdings. Payment will be made on the date of the first scheduled payroll after January 1, 2019, but not later than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both"/>
        <w:ind w:firstLine="1305"/>
        <w:spacing w:after="0" w:line="266" w:lineRule="auto"/>
        <w:tabs>
          <w:tab w:leader="none" w:pos="1748"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Equity Awards</w:t>
      </w:r>
      <w:r>
        <w:rPr>
          <w:rFonts w:ascii="Arial" w:cs="Arial" w:eastAsia="Arial" w:hAnsi="Arial"/>
          <w:sz w:val="18"/>
          <w:szCs w:val="18"/>
          <w:color w:val="auto"/>
        </w:rPr>
        <w:t>: The Company will accelerate the vesting of the following outstanding equity awards such that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awards as specified here shall be deemed vested and exercisable as of the Termination Date, subject to the standard terms of the Company’s option agreement:</w:t>
      </w:r>
    </w:p>
    <w:p>
      <w:pPr>
        <w:spacing w:after="0" w:line="180" w:lineRule="exact"/>
        <w:rPr>
          <w:rFonts w:ascii="Arial" w:cs="Arial" w:eastAsia="Arial" w:hAnsi="Arial"/>
          <w:sz w:val="18"/>
          <w:szCs w:val="18"/>
          <w:color w:val="auto"/>
        </w:rPr>
      </w:pPr>
    </w:p>
    <w:p>
      <w:pPr>
        <w:ind w:left="2280" w:hanging="327"/>
        <w:spacing w:after="0"/>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accelerated vesting of 2,655 options granted on November 3, 2014;</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accelerated vesting of 1,275 options granted on November 2, 2015;</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accelerated vesting of 1,775 options granted on November 1, 2016;</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accelerated vesting of 5,324 options granted on November 1, 2016; and</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accelerated vesting of 1,553 options granted on November 2, 2017.</w:t>
      </w:r>
    </w:p>
    <w:p>
      <w:pPr>
        <w:spacing w:after="0" w:line="221" w:lineRule="exact"/>
        <w:rPr>
          <w:rFonts w:ascii="Arial" w:cs="Arial" w:eastAsia="Arial" w:hAnsi="Arial"/>
          <w:sz w:val="18"/>
          <w:szCs w:val="18"/>
          <w:color w:val="auto"/>
        </w:rPr>
      </w:pPr>
    </w:p>
    <w:p>
      <w:pPr>
        <w:jc w:val="both"/>
        <w:ind w:firstLine="1305"/>
        <w:spacing w:after="0" w:line="255" w:lineRule="auto"/>
        <w:tabs>
          <w:tab w:leader="none" w:pos="171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Compensation and Benefit Programs</w:t>
      </w:r>
      <w:r>
        <w:rPr>
          <w:rFonts w:ascii="Arial" w:cs="Arial" w:eastAsia="Arial" w:hAnsi="Arial"/>
          <w:sz w:val="18"/>
          <w:szCs w:val="18"/>
          <w:color w:val="auto"/>
        </w:rPr>
        <w:t>: I waive coverage and benefits under all Company disability programs, but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affect my eligibility for other Company stock option, bonus, incentive compensation, commission, medical, dental, life insurance, retirement and other compensation or benefit plans of the Company or any affiliate. Whether I sign this Agreement or not, I understand that my rights and continued participation in those plans will be governed by their existing terms. After my Termination Date, the Company shall make monthly premium payments of $2,541.51 to be made on my behalf for continuation of health coverage under the Consolidated Omnibus Budget Reconciliation Act of 1986, as amended (COBRA) through December 31, 2019, totaling $30,498.12. Thereafter, I may be able to purchase continued health plan coverage under the normal COBRA health care continuation rules. I understand and acknowledge that it is my responsibility to enroll in COBRA coverage if I elect to do so, and I shall be responsible for all premium payments.</w:t>
      </w:r>
    </w:p>
    <w:p>
      <w:pPr>
        <w:spacing w:after="0" w:line="18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Payments made under this Agreement will not be included in my compensation for purposes of calculating the benefits to which I am entitled under any employee benefit program, notwithstanding anything in it to the contrary.</w:t>
      </w:r>
    </w:p>
    <w:p>
      <w:pPr>
        <w:spacing w:after="0" w:line="166" w:lineRule="exact"/>
        <w:rPr>
          <w:sz w:val="20"/>
          <w:szCs w:val="20"/>
          <w:color w:val="auto"/>
        </w:rPr>
      </w:pPr>
    </w:p>
    <w:p>
      <w:pPr>
        <w:ind w:firstLine="1305"/>
        <w:spacing w:after="0" w:line="313" w:lineRule="auto"/>
        <w:tabs>
          <w:tab w:leader="none" w:pos="1821"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Outplacement Assistance</w:t>
      </w:r>
      <w:r>
        <w:rPr>
          <w:rFonts w:ascii="Arial" w:cs="Arial" w:eastAsia="Arial" w:hAnsi="Arial"/>
          <w:sz w:val="17"/>
          <w:szCs w:val="17"/>
          <w:color w:val="auto"/>
        </w:rPr>
        <w:t>: I will receive outplacement assistance services provided by a vendor selected by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I utilize such services within one year following the Termination Date and to the extent the cost does not exceed $25,000.</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2 -- </w:t>
      </w:r>
      <w:r>
        <w:rPr>
          <w:rFonts w:ascii="Arial" w:cs="Arial" w:eastAsia="Arial" w:hAnsi="Arial"/>
          <w:sz w:val="18"/>
          <w:szCs w:val="18"/>
          <w:b w:val="1"/>
          <w:bCs w:val="1"/>
          <w:u w:val="single" w:color="auto"/>
          <w:color w:val="auto"/>
        </w:rPr>
        <w:t>Complete General Release of Claims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releases are made as of the date of this Agreement, and as of my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jc w:val="both"/>
        <w:ind w:left="-1200" w:firstLine="1305"/>
        <w:spacing w:after="0" w:line="258" w:lineRule="auto"/>
        <w:tabs>
          <w:tab w:leader="none" w:pos="544"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Claims Released</w:t>
      </w:r>
      <w:r>
        <w:rPr>
          <w:rFonts w:ascii="Arial" w:cs="Arial" w:eastAsia="Arial" w:hAnsi="Arial"/>
          <w:sz w:val="18"/>
          <w:szCs w:val="18"/>
          <w:color w:val="auto"/>
        </w:rPr>
        <w:t>: Except for the claims identified in Section 2(b), I irrevocably and unconditionally release (i.e., give up) all known</w:t>
      </w:r>
      <w:r>
        <w:rPr>
          <w:rFonts w:ascii="Arial" w:cs="Arial" w:eastAsia="Arial" w:hAnsi="Arial"/>
          <w:sz w:val="18"/>
          <w:szCs w:val="18"/>
          <w:b w:val="1"/>
          <w:bCs w:val="1"/>
          <w:color w:val="auto"/>
        </w:rPr>
        <w:t xml:space="preserve"> </w:t>
      </w:r>
      <w:r>
        <w:rPr>
          <w:rFonts w:ascii="Arial" w:cs="Arial" w:eastAsia="Arial" w:hAnsi="Arial"/>
          <w:sz w:val="18"/>
          <w:szCs w:val="18"/>
          <w:color w:val="auto"/>
        </w:rPr>
        <w:t>and unknown claims, promises, causes of action, or similar rights of any type that I currently may have (“</w:t>
      </w:r>
      <w:r>
        <w:rPr>
          <w:rFonts w:ascii="Arial" w:cs="Arial" w:eastAsia="Arial" w:hAnsi="Arial"/>
          <w:sz w:val="18"/>
          <w:szCs w:val="18"/>
          <w:u w:val="single" w:color="auto"/>
          <w:color w:val="auto"/>
        </w:rPr>
        <w:t>Claims</w:t>
      </w:r>
      <w:r>
        <w:rPr>
          <w:rFonts w:ascii="Arial" w:cs="Arial" w:eastAsia="Arial" w:hAnsi="Arial"/>
          <w:sz w:val="18"/>
          <w:szCs w:val="18"/>
          <w:color w:val="auto"/>
        </w:rPr>
        <w:t>”) with respect to any Released Party listed in Section 2(c). I understand that I am not releasing future rights or claims, meaning rights or claims that arise after my Termination Date. I understand that the Claims I am releasing might arise under many different foreign, domestic, national, state, or local laws (including statutes, regulations, other administrative guidance, and common law doctrines), such as the following:</w:t>
      </w:r>
    </w:p>
    <w:p>
      <w:pPr>
        <w:spacing w:after="0" w:line="188"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u w:val="single" w:color="auto"/>
          <w:color w:val="auto"/>
        </w:rPr>
        <w:t>Anti-discrimination statutes</w:t>
      </w:r>
      <w:r>
        <w:rPr>
          <w:rFonts w:ascii="Arial" w:cs="Arial" w:eastAsia="Arial" w:hAnsi="Arial"/>
          <w:sz w:val="17"/>
          <w:szCs w:val="17"/>
          <w:color w:val="auto"/>
        </w:rPr>
        <w:t>, such as Title VII of the Civil Rights Act of 1964, Sections 1981 and 1983 of the Civil Rights Act of 1866, and Executive Order 11,246, which prohibit discrimination based on race, color, national origin, religion, or sex; the Age Discrimination in Employment Act (“ADEA”) and Executive Order 11,141, which prohibit age discrimination in employment; the Equal Pay Act, which prohibits paying men and women unequal pay for equal work; the Americans With Disabilities Act (“ADA”) and Sections 503 and 504 of the Rehabilitation Act of 1973, which prohibit discrimination based on disability; the Genetic Information Nondiscrimination Act of 2008 (“GINA”), which prohibits discrimination based on genetic information; and any other federal, state, or local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182" w:lineRule="exact"/>
        <w:rPr>
          <w:sz w:val="20"/>
          <w:szCs w:val="20"/>
          <w:color w:val="auto"/>
        </w:rPr>
      </w:pPr>
    </w:p>
    <w:p>
      <w:pPr>
        <w:jc w:val="both"/>
        <w:ind w:left="100"/>
        <w:spacing w:after="0" w:line="312" w:lineRule="auto"/>
        <w:rPr>
          <w:sz w:val="20"/>
          <w:szCs w:val="20"/>
          <w:color w:val="auto"/>
        </w:rPr>
      </w:pPr>
      <w:r>
        <w:rPr>
          <w:rFonts w:ascii="Arial" w:cs="Arial" w:eastAsia="Arial" w:hAnsi="Arial"/>
          <w:sz w:val="16"/>
          <w:szCs w:val="16"/>
          <w:u w:val="single" w:color="auto"/>
          <w:color w:val="auto"/>
        </w:rPr>
        <w:t>Federal employment statutes</w:t>
      </w:r>
      <w:r>
        <w:rPr>
          <w:rFonts w:ascii="Arial" w:cs="Arial" w:eastAsia="Arial" w:hAnsi="Arial"/>
          <w:sz w:val="16"/>
          <w:szCs w:val="16"/>
          <w:color w:val="auto"/>
        </w:rPr>
        <w:t>, such as the Worker Adjustment and Retraining Notification Act (“WARN Act”), which requires that advance notice be given of certain work force reductions; the Employee Retirement Income Security Act of 1974 (“ERISA”), which, among other things, protects employee benefits; and any other federal laws relating to employment, such as veterans’ reemployment rights laws.</w:t>
      </w:r>
    </w:p>
    <w:p>
      <w:pPr>
        <w:spacing w:after="0" w:line="147"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u w:val="single" w:color="auto"/>
          <w:color w:val="auto"/>
        </w:rPr>
        <w:t>Other laws</w:t>
      </w:r>
      <w:r>
        <w:rPr>
          <w:rFonts w:ascii="Arial" w:cs="Arial" w:eastAsia="Arial" w:hAnsi="Arial"/>
          <w:sz w:val="16"/>
          <w:szCs w:val="16"/>
          <w:color w:val="auto"/>
        </w:rPr>
        <w:t>, such as any federal, state, or local laws mandating leaves of absence,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58" w:lineRule="exact"/>
        <w:rPr>
          <w:sz w:val="20"/>
          <w:szCs w:val="20"/>
          <w:color w:val="auto"/>
        </w:rPr>
      </w:pPr>
    </w:p>
    <w:p>
      <w:pPr>
        <w:jc w:val="both"/>
        <w:ind w:left="100"/>
        <w:spacing w:after="0" w:line="271" w:lineRule="auto"/>
        <w:rPr>
          <w:sz w:val="20"/>
          <w:szCs w:val="20"/>
          <w:color w:val="auto"/>
        </w:rPr>
      </w:pPr>
      <w:r>
        <w:rPr>
          <w:rFonts w:ascii="Arial" w:cs="Arial" w:eastAsia="Arial" w:hAnsi="Arial"/>
          <w:sz w:val="17"/>
          <w:szCs w:val="17"/>
          <w:u w:val="single" w:color="auto"/>
          <w:color w:val="auto"/>
        </w:rPr>
        <w:t>Examples of released Claims</w:t>
      </w:r>
      <w:r>
        <w:rPr>
          <w:rFonts w:ascii="Arial" w:cs="Arial" w:eastAsia="Arial" w:hAnsi="Arial"/>
          <w:sz w:val="17"/>
          <w:szCs w:val="17"/>
          <w:color w:val="auto"/>
        </w:rPr>
        <w:t xml:space="preserve"> include, but are not limited to the following (except to the extent explicitly preserved by Section 1 or 2(b) of this Agreement): (i) Claims that in any way relate to or arose during my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I have irrevocable or vested rights to severance or similar benefits or to post-employment health or group insurance benefits; (iv) any Claims to attorneys’ fees or other indemnities (such as under the Civil Rights Attorneys’ Fees Act), with respect to Claims I am releasing; or (v) claims under the Connecticut Human Rights and Opportunities Law, the Connecticut Family and Medical Leave Law, the Connecticut Age Discrimination and Employee Insurance Benefits Law, and the Connecticut Smokers’ Rights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345440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If, despite this Agreement, I sue or bring an arbitration action asserting any Claim that I have released, I will be liable to the Released Party (as defined below) for its attorneys’ fees, other defense costs, and any other damages that my suit or arbitration causes, except those attributable to ADEA claims. I promise not to accept any relief or remedies not set forth in this Agreement as to any Claim I have released by signing it.</w:t>
      </w:r>
    </w:p>
    <w:p>
      <w:pPr>
        <w:spacing w:after="0" w:line="177" w:lineRule="exact"/>
        <w:rPr>
          <w:sz w:val="20"/>
          <w:szCs w:val="20"/>
          <w:color w:val="auto"/>
        </w:rPr>
      </w:pPr>
    </w:p>
    <w:p>
      <w:pPr>
        <w:jc w:val="both"/>
        <w:ind w:firstLine="1305"/>
        <w:spacing w:after="0" w:line="314" w:lineRule="auto"/>
        <w:tabs>
          <w:tab w:leader="none" w:pos="1745"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Claims Not Released</w:t>
      </w:r>
      <w:r>
        <w:rPr>
          <w:rFonts w:ascii="Arial" w:cs="Arial" w:eastAsia="Arial" w:hAnsi="Arial"/>
          <w:sz w:val="16"/>
          <w:szCs w:val="16"/>
          <w:color w:val="auto"/>
        </w:rPr>
        <w:t>: This Agreement does not release any claims that the law does not permit me to release. Nothing herein affects</w:t>
      </w:r>
      <w:r>
        <w:rPr>
          <w:rFonts w:ascii="Arial" w:cs="Arial" w:eastAsia="Arial" w:hAnsi="Arial"/>
          <w:sz w:val="16"/>
          <w:szCs w:val="16"/>
          <w:b w:val="1"/>
          <w:bCs w:val="1"/>
          <w:color w:val="auto"/>
        </w:rPr>
        <w:t xml:space="preserve"> </w:t>
      </w:r>
      <w:r>
        <w:rPr>
          <w:rFonts w:ascii="Arial" w:cs="Arial" w:eastAsia="Arial" w:hAnsi="Arial"/>
          <w:sz w:val="16"/>
          <w:szCs w:val="16"/>
          <w:color w:val="auto"/>
        </w:rPr>
        <w:t>my rights to indemnification, reimbursement for business expenses incurred through the Termination Date in accordance with Company policy, payment for accrued but unused vacation in accordance with Company policy, and vested benefits under the Company’s 401(k) plan, subject to the terms of such plan.</w:t>
      </w:r>
    </w:p>
    <w:p>
      <w:pPr>
        <w:spacing w:after="0" w:line="142" w:lineRule="exact"/>
        <w:rPr>
          <w:rFonts w:ascii="Arial" w:cs="Arial" w:eastAsia="Arial" w:hAnsi="Arial"/>
          <w:sz w:val="16"/>
          <w:szCs w:val="16"/>
          <w:color w:val="auto"/>
        </w:rPr>
      </w:pPr>
    </w:p>
    <w:p>
      <w:pPr>
        <w:jc w:val="both"/>
        <w:ind w:firstLine="1305"/>
        <w:spacing w:after="0" w:line="258" w:lineRule="auto"/>
        <w:tabs>
          <w:tab w:leader="none" w:pos="1958"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Released Parties</w:t>
      </w:r>
      <w:r>
        <w:rPr>
          <w:rFonts w:ascii="Arial" w:cs="Arial" w:eastAsia="Arial" w:hAnsi="Arial"/>
          <w:sz w:val="18"/>
          <w:szCs w:val="18"/>
          <w:color w:val="auto"/>
        </w:rPr>
        <w:t>: The Released Parties are the Company, all current and former parents, subsidiaries, related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3 -- </w:t>
      </w:r>
      <w:r>
        <w:rPr>
          <w:rFonts w:ascii="Arial" w:cs="Arial" w:eastAsia="Arial" w:hAnsi="Arial"/>
          <w:sz w:val="18"/>
          <w:szCs w:val="18"/>
          <w:b w:val="1"/>
          <w:bCs w:val="1"/>
          <w:u w:val="single" w:color="auto"/>
          <w:color w:val="auto"/>
        </w:rPr>
        <w:t>Promises</w:t>
      </w:r>
    </w:p>
    <w:p>
      <w:pPr>
        <w:spacing w:after="0" w:line="225" w:lineRule="exact"/>
        <w:rPr>
          <w:sz w:val="20"/>
          <w:szCs w:val="20"/>
          <w:color w:val="auto"/>
        </w:rPr>
      </w:pPr>
    </w:p>
    <w:p>
      <w:pPr>
        <w:jc w:val="both"/>
        <w:ind w:firstLine="1305"/>
        <w:spacing w:after="0" w:line="266" w:lineRule="auto"/>
        <w:tabs>
          <w:tab w:leader="none" w:pos="1856"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Employment Termination</w:t>
      </w:r>
      <w:r>
        <w:rPr>
          <w:rFonts w:ascii="Arial" w:cs="Arial" w:eastAsia="Arial" w:hAnsi="Arial"/>
          <w:sz w:val="18"/>
          <w:szCs w:val="18"/>
          <w:color w:val="auto"/>
        </w:rPr>
        <w:t>: I agree that my employment with the Company and its affiliates has ended or is ending as of my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and that I am accepting payments and benefits under this Agreement in lieu of any such other rights or benefits to which I possibly could be or become entitled. I have not been told that the Company or any Released Party will rehire me.</w:t>
      </w:r>
    </w:p>
    <w:p>
      <w:pPr>
        <w:spacing w:after="0" w:line="176" w:lineRule="exact"/>
        <w:rPr>
          <w:rFonts w:ascii="Arial" w:cs="Arial" w:eastAsia="Arial" w:hAnsi="Arial"/>
          <w:sz w:val="18"/>
          <w:szCs w:val="18"/>
          <w:color w:val="auto"/>
        </w:rPr>
      </w:pPr>
    </w:p>
    <w:p>
      <w:pPr>
        <w:ind w:firstLine="1305"/>
        <w:spacing w:after="0" w:line="282" w:lineRule="auto"/>
        <w:tabs>
          <w:tab w:leader="none" w:pos="1761"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Resignation of All Other Positions</w:t>
      </w:r>
      <w:r>
        <w:rPr>
          <w:rFonts w:ascii="Arial" w:cs="Arial" w:eastAsia="Arial" w:hAnsi="Arial"/>
          <w:sz w:val="18"/>
          <w:szCs w:val="18"/>
          <w:color w:val="auto"/>
        </w:rPr>
        <w:t>: Upon relinquishment of my role as Chief Financial Officer, I agree to resign from all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I hold as an officer or member of the Board (or a committee thereof) of the Company or any of its affiliates.</w:t>
      </w:r>
    </w:p>
    <w:p>
      <w:pPr>
        <w:spacing w:after="0" w:line="161" w:lineRule="exact"/>
        <w:rPr>
          <w:rFonts w:ascii="Arial" w:cs="Arial" w:eastAsia="Arial" w:hAnsi="Arial"/>
          <w:sz w:val="18"/>
          <w:szCs w:val="18"/>
          <w:color w:val="auto"/>
        </w:rPr>
      </w:pPr>
    </w:p>
    <w:p>
      <w:pPr>
        <w:jc w:val="both"/>
        <w:ind w:firstLine="1305"/>
        <w:spacing w:after="0" w:line="271" w:lineRule="auto"/>
        <w:tabs>
          <w:tab w:leader="none" w:pos="1748"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Company Property and Debts</w:t>
      </w:r>
      <w:r>
        <w:rPr>
          <w:rFonts w:ascii="Arial" w:cs="Arial" w:eastAsia="Arial" w:hAnsi="Arial"/>
          <w:sz w:val="17"/>
          <w:szCs w:val="17"/>
          <w:color w:val="auto"/>
        </w:rPr>
        <w:t>: On or before my Termination Date, I will return to the Company all files, memoranda,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copies of the foregoing, Company-provided credit cards, keys, building passes, security passes, access or identification cards, devices and equipment belonging to the Company (including computers, laptops, tablets, smart phones, handheld electronic devices, telephone equipment, and other electronic devices, including PDAs), and any other property of the Company or any Released Party in my possession or control, other than my car and specific mutually approved devices, all with the Company’s consent. The Company will promptly transfer the title of the car to me. I have cooperated with the Company and will cooperate with the Company regarding the proper handling of any digital property of the Company that may be retained in mobile phone or related digital storage devices, media or accounts. As of my Termination Date, I will have cleared all expense accounts, repaid everything I owe to the Company or any Released Party, paid all amounts I owe on Company-provided credit cards or accounts (such as mobile or smart phone accounts), and canceled or personally assumed any such credit cards or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jc w:val="both"/>
        <w:ind w:left="-1200" w:firstLine="1305"/>
        <w:spacing w:after="0" w:line="266" w:lineRule="auto"/>
        <w:tabs>
          <w:tab w:leader="none" w:pos="569"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I am responsible for paying any taxes on amounts I receive because I signed this Agreement. I agree that the Company is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all taxes it determines it is legally required to withhold. I agree not to make any claim against the Company or any other person based on how the Company reports amounts paid under this Agreement to tax authorities.</w:t>
      </w:r>
    </w:p>
    <w:p>
      <w:pPr>
        <w:spacing w:after="0" w:line="176" w:lineRule="exact"/>
        <w:rPr>
          <w:rFonts w:ascii="Arial" w:cs="Arial" w:eastAsia="Arial" w:hAnsi="Arial"/>
          <w:sz w:val="18"/>
          <w:szCs w:val="18"/>
          <w:color w:val="auto"/>
        </w:rPr>
      </w:pPr>
    </w:p>
    <w:p>
      <w:pPr>
        <w:ind w:left="520" w:hanging="415"/>
        <w:spacing w:after="0"/>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Ownership of Claims</w:t>
      </w:r>
      <w:r>
        <w:rPr>
          <w:rFonts w:ascii="Arial" w:cs="Arial" w:eastAsia="Arial" w:hAnsi="Arial"/>
          <w:sz w:val="17"/>
          <w:szCs w:val="17"/>
          <w:color w:val="auto"/>
        </w:rPr>
        <w:t>: I have not assigned or transferred any Claim I am purporting to release, nor have I attempted to do so.</w:t>
      </w:r>
    </w:p>
    <w:p>
      <w:pPr>
        <w:spacing w:after="0" w:line="236" w:lineRule="exact"/>
        <w:rPr>
          <w:rFonts w:ascii="Arial" w:cs="Arial" w:eastAsia="Arial" w:hAnsi="Arial"/>
          <w:sz w:val="17"/>
          <w:szCs w:val="17"/>
          <w:color w:val="auto"/>
        </w:rPr>
      </w:pPr>
    </w:p>
    <w:p>
      <w:pPr>
        <w:jc w:val="both"/>
        <w:ind w:left="-1200" w:firstLine="1305"/>
        <w:spacing w:after="0" w:line="286" w:lineRule="auto"/>
        <w:tabs>
          <w:tab w:leader="none" w:pos="515"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Communication with Government Agency; Immunity</w:t>
      </w:r>
      <w:r>
        <w:rPr>
          <w:rFonts w:ascii="Arial" w:cs="Arial" w:eastAsia="Arial" w:hAnsi="Arial"/>
          <w:sz w:val="16"/>
          <w:szCs w:val="16"/>
          <w:color w:val="auto"/>
        </w:rPr>
        <w:t>: This Agreement does not preclude me from filing an administrative charge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communicating with any federal, state or local government office, official or agency. I promise never to seek or accept any damages, remedies or other relief for myself personally with respect to any Claim released by Paragraph 2(a) of this Agreement. Nothing in this Agreement is designed to interfere with, restrain, restrict, or prevent communications protected by state or federal law, including as protected by (a) Section 7 of the National Labor Relations Act of 1935 (“NLRA”) (or court order), regarding wages, hours, or other terms and conditions of employment or (b) Exchange Act Rule 21F-17, addressing communications (including by my attorney) with, or testimony before, the SEC, FINRA, or other regulatory authority regarding possible securities law violations. Furthermore, nothing in this Agreement prohibits me from communicating with or reporting possible violations of law or regulation to any federal, state, or local governmental office, official, agency, or entity. Notwithstanding my confidentiality obligations set forth in this Agreement, I understand that, pursuant to the Defend Trade Secrets Act of 2016, I will not be held criminally or civilly liable under any U.S.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 also understand that if I file a lawsuit for retaliation by the Company for reporting a suspected violation of law, I may disclose the trade secret to my attorney and use the trade secret information in the court proceeding, if I (A) file any document containing the trade secret under seal; and (B) do not disclose the trade secret, except pursuant to court order. I understand that if a disclosure of trade secrets was not done in good faith pursuant to the above, then I may be subject to liability, including, without limitation, punitive damages and attorneys’ fees.</w:t>
      </w:r>
    </w:p>
    <w:p>
      <w:pPr>
        <w:spacing w:after="0" w:line="168" w:lineRule="exact"/>
        <w:rPr>
          <w:rFonts w:ascii="Arial" w:cs="Arial" w:eastAsia="Arial" w:hAnsi="Arial"/>
          <w:sz w:val="16"/>
          <w:szCs w:val="16"/>
          <w:color w:val="auto"/>
        </w:rPr>
      </w:pPr>
    </w:p>
    <w:p>
      <w:pPr>
        <w:jc w:val="both"/>
        <w:ind w:left="-1200" w:firstLine="1305"/>
        <w:spacing w:after="0" w:line="281" w:lineRule="auto"/>
        <w:tabs>
          <w:tab w:leader="none" w:pos="537"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Mutual Agreement Not to Disparage or Harm</w:t>
      </w:r>
      <w:r>
        <w:rPr>
          <w:rFonts w:ascii="Arial" w:cs="Arial" w:eastAsia="Arial" w:hAnsi="Arial"/>
          <w:sz w:val="17"/>
          <w:szCs w:val="17"/>
          <w:color w:val="auto"/>
        </w:rPr>
        <w:t>: Subject to Section 3(f), I agree not to criticize, denigrate, or disparage any Released</w:t>
      </w:r>
      <w:r>
        <w:rPr>
          <w:rFonts w:ascii="Arial" w:cs="Arial" w:eastAsia="Arial" w:hAnsi="Arial"/>
          <w:sz w:val="17"/>
          <w:szCs w:val="17"/>
          <w:b w:val="1"/>
          <w:bCs w:val="1"/>
          <w:color w:val="auto"/>
        </w:rPr>
        <w:t xml:space="preserve"> </w:t>
      </w:r>
      <w:r>
        <w:rPr>
          <w:rFonts w:ascii="Arial" w:cs="Arial" w:eastAsia="Arial" w:hAnsi="Arial"/>
          <w:sz w:val="17"/>
          <w:szCs w:val="17"/>
          <w:color w:val="auto"/>
        </w:rPr>
        <w:t>Party and, in particular, not to criticize, denigrate, or disparage any current or former employee of the Company. I understand and agree that breach of this provision will result in damages that are difficult to quantify. The Company likewise agrees not to criticize, denigrate, or disparage me or my work in any communication to a third party. I agree not to incur any expenses, obligations, or liabilities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339090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4" w:name="page55"/>
    <w:bookmarkEnd w:id="54"/>
    <w:p>
      <w:pPr>
        <w:jc w:val="both"/>
        <w:ind w:left="-1200" w:firstLine="1305"/>
        <w:spacing w:after="0" w:line="286" w:lineRule="auto"/>
        <w:tabs>
          <w:tab w:leader="none" w:pos="558"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Confidential and Proprietary Information and Existing Obligations</w:t>
      </w:r>
      <w:r>
        <w:rPr>
          <w:rFonts w:ascii="Arial" w:cs="Arial" w:eastAsia="Arial" w:hAnsi="Arial"/>
          <w:sz w:val="16"/>
          <w:szCs w:val="16"/>
          <w:color w:val="auto"/>
        </w:rPr>
        <w:t>: Subject to Section 3(f), I understand that, at all times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I will remain bound by any Company or Company affiliate agreement or policy relating to confidential information, proprietary information, invention, or similar matters to which I am now subject, including but not limited to any FactSet Research Systems Inc. Intellectual Property Agreement which I previously signed, and which is expressly incorporated by reference herein, and I agree that to the extent any provision in such agreement or policy conflicts with any provision in this Agreement, the provision or interpretation affording the greater protection to the Company shall govern. In particular, I acknowledge that my employment by the Company created a relationship of confidence and trust with respect to any information of a confidential or secret nature disclosed to me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 agree and represent that I have not disclosed, copied, disseminated, shared or transmitted any Confidential Information to any person, firm, corporation or entity for any reason or purpose whatsoever, except in the course of carrying out my duties and responsibilities of employment with the Company. I also agree, at all times in the future, not to make use of any Confidential Information for my own purposes or for the benefit of any person, firm, corporation or other entity. I further warrant and represent that all Confidential Information in my possession, custody or control that is or was a property of the Company has been or shall be returned to the Company by the date I sign this Agreement.</w:t>
      </w:r>
    </w:p>
    <w:p>
      <w:pPr>
        <w:spacing w:after="0" w:line="165" w:lineRule="exact"/>
        <w:rPr>
          <w:rFonts w:ascii="Arial" w:cs="Arial" w:eastAsia="Arial" w:hAnsi="Arial"/>
          <w:sz w:val="16"/>
          <w:szCs w:val="16"/>
          <w:color w:val="auto"/>
        </w:rPr>
      </w:pPr>
    </w:p>
    <w:p>
      <w:pPr>
        <w:ind w:left="500" w:hanging="395"/>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Implementation</w:t>
      </w:r>
      <w:r>
        <w:rPr>
          <w:rFonts w:ascii="Arial" w:cs="Arial" w:eastAsia="Arial" w:hAnsi="Arial"/>
          <w:sz w:val="17"/>
          <w:szCs w:val="17"/>
          <w:color w:val="auto"/>
        </w:rPr>
        <w:t>: I agree to sign any documents and do anything else that in the future is needed to implement this Agreement.</w:t>
      </w:r>
    </w:p>
    <w:p>
      <w:pPr>
        <w:spacing w:after="0" w:line="236" w:lineRule="exact"/>
        <w:rPr>
          <w:rFonts w:ascii="Arial" w:cs="Arial" w:eastAsia="Arial" w:hAnsi="Arial"/>
          <w:sz w:val="17"/>
          <w:szCs w:val="17"/>
          <w:color w:val="auto"/>
        </w:rPr>
      </w:pPr>
    </w:p>
    <w:p>
      <w:pPr>
        <w:ind w:left="-1200" w:firstLine="1305"/>
        <w:spacing w:after="0" w:line="282" w:lineRule="auto"/>
        <w:tabs>
          <w:tab w:leader="none" w:pos="525"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Other Representations</w:t>
      </w:r>
      <w:r>
        <w:rPr>
          <w:rFonts w:ascii="Arial" w:cs="Arial" w:eastAsia="Arial" w:hAnsi="Arial"/>
          <w:sz w:val="18"/>
          <w:szCs w:val="18"/>
          <w:color w:val="auto"/>
        </w:rPr>
        <w:t>: In addition to my other representations in this Agreement, I have made the following representations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which I acknowledge it also has relied in entering into this Agreement with me:</w:t>
      </w:r>
    </w:p>
    <w:p>
      <w:pPr>
        <w:spacing w:after="0" w:line="165" w:lineRule="exact"/>
        <w:rPr>
          <w:rFonts w:ascii="Arial" w:cs="Arial" w:eastAsia="Arial" w:hAnsi="Arial"/>
          <w:sz w:val="18"/>
          <w:szCs w:val="18"/>
          <w:color w:val="auto"/>
        </w:rPr>
      </w:pPr>
    </w:p>
    <w:p>
      <w:pPr>
        <w:jc w:val="both"/>
        <w:ind w:left="1080" w:hanging="327"/>
        <w:spacing w:after="0" w:line="276" w:lineRule="auto"/>
        <w:tabs>
          <w:tab w:leader="none" w:pos="10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I have not suffered any job-related wrongs or injuries, such as any type of discrimination, for which I might still be entitled to compensation or relief in the future. I have properly reported any and all job-related wrongs or injuries for which I might still be entitled to compensation or relief, such as an injury for which I might receive a workers’ compensation award in the future. I have properly reported all hours that I have worked and I have been paid all wages, overtime, commissions, compensation, benefits, and other amounts that the Company or any Released Party should have paid me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341630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55" w:name="page56"/>
    <w:bookmarkEnd w:id="55"/>
    <w:p>
      <w:pPr>
        <w:ind w:left="2280" w:hanging="327"/>
        <w:spacing w:after="0"/>
        <w:tabs>
          <w:tab w:leader="none" w:pos="2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Agreement is not an admission of wrongdoing by the Company or any other Released Party.</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I am intentionally releasing claims that I do not know I might have and that, with hindsight, I might regret having released.</w:t>
      </w:r>
    </w:p>
    <w:p>
      <w:pPr>
        <w:spacing w:after="0" w:line="236" w:lineRule="exact"/>
        <w:rPr>
          <w:rFonts w:ascii="Arial" w:cs="Arial" w:eastAsia="Arial" w:hAnsi="Arial"/>
          <w:sz w:val="17"/>
          <w:szCs w:val="17"/>
          <w:color w:val="auto"/>
        </w:rPr>
      </w:pPr>
    </w:p>
    <w:p>
      <w:pPr>
        <w:ind w:left="2280" w:hanging="327"/>
        <w:spacing w:after="0" w:line="277" w:lineRule="auto"/>
        <w:tabs>
          <w:tab w:leader="none" w:pos="2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Company or I successfully assert that any provision in this Release is void, the rest of the Agreement shall remain valid and enforceable.</w:t>
      </w:r>
    </w:p>
    <w:p>
      <w:pPr>
        <w:spacing w:after="0" w:line="166" w:lineRule="exact"/>
        <w:rPr>
          <w:rFonts w:ascii="Arial" w:cs="Arial" w:eastAsia="Arial" w:hAnsi="Arial"/>
          <w:sz w:val="18"/>
          <w:szCs w:val="18"/>
          <w:color w:val="auto"/>
        </w:rPr>
      </w:pPr>
    </w:p>
    <w:p>
      <w:pPr>
        <w:jc w:val="both"/>
        <w:ind w:firstLine="1305"/>
        <w:spacing w:after="0" w:line="256" w:lineRule="auto"/>
        <w:tabs>
          <w:tab w:leader="none" w:pos="1829"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False Claims Representations and Promises</w:t>
      </w:r>
      <w:r>
        <w:rPr>
          <w:rFonts w:ascii="Arial" w:cs="Arial" w:eastAsia="Arial" w:hAnsi="Arial"/>
          <w:sz w:val="18"/>
          <w:szCs w:val="18"/>
          <w:color w:val="auto"/>
        </w:rPr>
        <w:t>: I have disclosed to the Company any information I have concerning any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Company or any affiliate that I have any reason to believe may be unlawful or that involves any false claims to the United States. I promise to cooperate fully in any investigation the Company or any affiliate undertakes into matters occurring during my employment with the Company or any affiliate. I understand that nothing in this Agreement prevents me from cooperating with any U.S. government investigation. In addition, to the fullest extent permitted by law, I hereby irrevocably assign to the U.S. government any right I might have to any proceeds or awards in connection with any false claims proceedings against the Company or any affiliate.</w:t>
      </w:r>
    </w:p>
    <w:p>
      <w:pPr>
        <w:spacing w:after="0" w:line="187" w:lineRule="exact"/>
        <w:rPr>
          <w:rFonts w:ascii="Arial" w:cs="Arial" w:eastAsia="Arial" w:hAnsi="Arial"/>
          <w:sz w:val="18"/>
          <w:szCs w:val="18"/>
          <w:color w:val="auto"/>
        </w:rPr>
      </w:pPr>
    </w:p>
    <w:p>
      <w:pPr>
        <w:jc w:val="both"/>
        <w:ind w:firstLine="1305"/>
        <w:spacing w:after="0" w:line="258" w:lineRule="auto"/>
        <w:tabs>
          <w:tab w:leader="none" w:pos="178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Cooperation Required</w:t>
      </w:r>
      <w:r>
        <w:rPr>
          <w:rFonts w:ascii="Arial" w:cs="Arial" w:eastAsia="Arial" w:hAnsi="Arial"/>
          <w:sz w:val="18"/>
          <w:szCs w:val="18"/>
          <w:color w:val="auto"/>
        </w:rPr>
        <w:t>: I agree that when requested by the Company, I will promptly and fully respond to all inquiries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and its representatives relating to any lawsuit in which I am identified as having factual information needed by the Company. To the extent I incur reasonable out-of-pocket expenses (such as postage costs or telephone charges) in assisting the Company or any affiliate at its request, the Company will mail me a reimbursement check for those expenses within 15 days after it receives my request for payment, along with satisfactory written substantiation of the claimed expenses.</w:t>
      </w:r>
    </w:p>
    <w:p>
      <w:pPr>
        <w:spacing w:after="0" w:line="183" w:lineRule="exact"/>
        <w:rPr>
          <w:rFonts w:ascii="Arial" w:cs="Arial" w:eastAsia="Arial" w:hAnsi="Arial"/>
          <w:sz w:val="18"/>
          <w:szCs w:val="18"/>
          <w:color w:val="auto"/>
        </w:rPr>
      </w:pPr>
    </w:p>
    <w:p>
      <w:pPr>
        <w:ind w:firstLine="1305"/>
        <w:spacing w:after="0" w:line="282" w:lineRule="auto"/>
        <w:tabs>
          <w:tab w:leader="none" w:pos="1736"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Nothing herein shall prevent the Company or the Executive from disclosing the terms of this Agreement if required to do</w:t>
      </w:r>
      <w:r>
        <w:rPr>
          <w:rFonts w:ascii="Arial" w:cs="Arial" w:eastAsia="Arial" w:hAnsi="Arial"/>
          <w:sz w:val="18"/>
          <w:szCs w:val="18"/>
          <w:b w:val="1"/>
          <w:bCs w:val="1"/>
          <w:color w:val="auto"/>
        </w:rPr>
        <w:t xml:space="preserve"> </w:t>
      </w:r>
      <w:r>
        <w:rPr>
          <w:rFonts w:ascii="Arial" w:cs="Arial" w:eastAsia="Arial" w:hAnsi="Arial"/>
          <w:sz w:val="18"/>
          <w:szCs w:val="18"/>
          <w:color w:val="auto"/>
        </w:rPr>
        <w:t>so under applicable law or by a court of competent jurisdiction.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4 -- </w:t>
      </w:r>
      <w:r>
        <w:rPr>
          <w:rFonts w:ascii="Arial" w:cs="Arial" w:eastAsia="Arial" w:hAnsi="Arial"/>
          <w:sz w:val="18"/>
          <w:szCs w:val="18"/>
          <w:b w:val="1"/>
          <w:bCs w:val="1"/>
          <w:u w:val="single" w:color="auto"/>
          <w:color w:val="auto"/>
        </w:rPr>
        <w:t>Consequences of Violating Promises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agree that the Company would be irreparably harmed by any actual or threatened violation of Section 3 that involves disclosure or use of confidential information, proprietary information, or trade secrets, and that the Company will be entitled to an injunction prohibiting me from committing any such violation.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5 -- </w:t>
      </w:r>
      <w:r>
        <w:rPr>
          <w:rFonts w:ascii="Arial" w:cs="Arial" w:eastAsia="Arial" w:hAnsi="Arial"/>
          <w:sz w:val="18"/>
          <w:szCs w:val="18"/>
          <w:b w:val="1"/>
          <w:bCs w:val="1"/>
          <w:u w:val="single" w:color="auto"/>
          <w:color w:val="auto"/>
        </w:rPr>
        <w:t>Consideration of Agreement</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 acknowledge that, before signing this Agreement, I was given at least 21 days in which to consider this Agreement. I waive any right I might have to additional time within which to consider this Agreement. I further acknowledge that: (1) I took advantage of the time I was given to consider this Agreement before signing it; (2) I carefully read this Agreement; (3) I fully understand it; (4) I am entering into it voluntarily; (5) I am receiving valuable consideration in exchange for my execution of this Agreement that I would not otherwise be entitled to receive; (6) the Company, by this writing, encouraged me to discuss this Agreement with my attorney (at my own expense) before signing it, and that I did so to the extent I deemed appropriate; and (7) any changes made to this Agreement, whether material or immaterial, will not restart the 21 day consideration period. I understand that I am entitled to revoke this Agreement, in writing, within 7 days once I sign it. Such revocation must be delivered to the Company as provided herein within the 7 day period, in which case I will receive no benefits and this Agreement will not go into effect. If I do not revoke this Agreement, it will become enforceable on the eighth day after I sign it. The Company need not sign this Agreement for it to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6" w:name="page57"/>
    <w:bookmarkEnd w:id="56"/>
    <w:p>
      <w:pPr>
        <w:ind w:left="1300"/>
        <w:spacing w:after="0"/>
        <w:rPr>
          <w:sz w:val="20"/>
          <w:szCs w:val="20"/>
          <w:color w:val="auto"/>
        </w:rPr>
      </w:pPr>
      <w:r>
        <w:rPr>
          <w:rFonts w:ascii="Arial" w:cs="Arial" w:eastAsia="Arial" w:hAnsi="Arial"/>
          <w:sz w:val="18"/>
          <w:szCs w:val="18"/>
          <w:b w:val="1"/>
          <w:bCs w:val="1"/>
          <w:color w:val="auto"/>
        </w:rPr>
        <w:t xml:space="preserve">Section 6 -- </w:t>
      </w: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firstLine="1305"/>
        <w:spacing w:after="0" w:line="295" w:lineRule="auto"/>
        <w:tabs>
          <w:tab w:leader="none" w:pos="1901"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In addition to any Company or Company affiliate agreement or policy relating to the confidentiality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inventions, or similar matters referenced in Section 3 above, this Agreement is the entire agreement between me and the Company relating to my termination of employment or the subject matter of this Agreement. This Agreement may not be modified or canceled in any manner, nor may any provision of it or any legal remedy with respect to it be waived, except by a writing signed by both me and an authorized Company official. I acknowledge that the Company has made no representations or promises to me (such as that my former position will remain vacant), other than those in or referred to by this Agreement. If any provision in this Agreement is found to be unenforceable, all other provisions will remain fully enforceable.</w:t>
      </w:r>
    </w:p>
    <w:p>
      <w:pPr>
        <w:spacing w:after="0" w:line="155" w:lineRule="exact"/>
        <w:rPr>
          <w:rFonts w:ascii="Arial" w:cs="Arial" w:eastAsia="Arial" w:hAnsi="Arial"/>
          <w:sz w:val="16"/>
          <w:szCs w:val="16"/>
          <w:color w:val="auto"/>
        </w:rPr>
      </w:pPr>
    </w:p>
    <w:p>
      <w:pPr>
        <w:ind w:firstLine="1305"/>
        <w:spacing w:after="0" w:line="282" w:lineRule="auto"/>
        <w:tabs>
          <w:tab w:leader="none" w:pos="1758"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Successors</w:t>
      </w:r>
      <w:r>
        <w:rPr>
          <w:rFonts w:ascii="Arial" w:cs="Arial" w:eastAsia="Arial" w:hAnsi="Arial"/>
          <w:sz w:val="18"/>
          <w:szCs w:val="18"/>
          <w:color w:val="auto"/>
        </w:rPr>
        <w:t>: This Agreement binds my heirs, administrators, representatives, executors, successors, and assigns, and will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all Released Parties and their respective heirs, administrators, representatives, executors, successors, and assigns.</w:t>
      </w:r>
    </w:p>
    <w:p>
      <w:pPr>
        <w:spacing w:after="0" w:line="161" w:lineRule="exact"/>
        <w:rPr>
          <w:rFonts w:ascii="Arial" w:cs="Arial" w:eastAsia="Arial" w:hAnsi="Arial"/>
          <w:sz w:val="18"/>
          <w:szCs w:val="18"/>
          <w:color w:val="auto"/>
        </w:rPr>
      </w:pPr>
    </w:p>
    <w:p>
      <w:pPr>
        <w:jc w:val="both"/>
        <w:ind w:firstLine="1305"/>
        <w:spacing w:after="0" w:line="261" w:lineRule="auto"/>
        <w:tabs>
          <w:tab w:leader="none" w:pos="176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This Agreement shall be construed as a whole according to its fair meaning. It shall not be construed strictly for or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me or any Released Party.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7 -- </w:t>
      </w:r>
      <w:r>
        <w:rPr>
          <w:rFonts w:ascii="Arial" w:cs="Arial" w:eastAsia="Arial" w:hAnsi="Arial"/>
          <w:sz w:val="18"/>
          <w:szCs w:val="18"/>
          <w:b w:val="1"/>
          <w:bCs w:val="1"/>
          <w:u w:val="single" w:color="auto"/>
          <w:color w:val="auto"/>
        </w:rPr>
        <w:t>Arbitration of Disputes</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Company and I agree to resolve any disputes we may have with each other through final, binding and confidential arbitration consistent with applicable law. For example, I am agreeing to arbitrate any dispute about the validity of this Agreement or any discrimination claim. I also agree to resolve through final, binding and confidential arbitration any disputes I have with any other Released Party who elects to arbitrate those disputes under this subsection. Arbitration shall be conducted by the American Arbitration Association in accordance with its employment dispute resolution rules which can be found at www.adr.org/employment, and consistent with state law. A neutral arbitrator will preside over the arbitration and issue a written decision subject to limited judicial review. The decision shall remain confidential between the parties and shall not be published by the arbitrator or the AAA. All remedies available under law will be available in the Arbitration. The Arbitration proceedings will allow for adequate discovery. Commencement of the Arbitration will be at a minimal cost to me. This agreement to arbitrate does not apply to government agency proceedings. By agreeing to this Agreement, I understand that I am waiving my right to a jury trial.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both"/>
        <w:ind w:left="80"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65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65350"/>
                    </a:xfrm>
                    <a:prstGeom prst="rect">
                      <a:avLst/>
                    </a:prstGeom>
                    <a:noFill/>
                  </pic:spPr>
                </pic:pic>
              </a:graphicData>
            </a:graphic>
          </wp:anchor>
        </w:drawing>
        <w:t>YOU MAY NOT MAKE ANY CHANGES TO THE TERMS OF THIS AGREEMENT AND YOU MAY NOT SIGN IT UNTIL THE END OF YOUR WORK DAY ON YOUR TERMINATION DATE.</w:t>
      </w:r>
    </w:p>
    <w:p>
      <w:pPr>
        <w:spacing w:after="0" w:line="162" w:lineRule="exact"/>
        <w:rPr>
          <w:sz w:val="20"/>
          <w:szCs w:val="20"/>
          <w:color w:val="auto"/>
        </w:rPr>
      </w:pPr>
    </w:p>
    <w:p>
      <w:pPr>
        <w:jc w:val="both"/>
        <w:ind w:left="80" w:right="80"/>
        <w:spacing w:after="0" w:line="266" w:lineRule="auto"/>
        <w:rPr>
          <w:sz w:val="20"/>
          <w:szCs w:val="20"/>
          <w:color w:val="auto"/>
        </w:rPr>
      </w:pPr>
      <w:r>
        <w:rPr>
          <w:rFonts w:ascii="Arial" w:cs="Arial" w:eastAsia="Arial" w:hAnsi="Arial"/>
          <w:sz w:val="18"/>
          <w:szCs w:val="18"/>
          <w:b w:val="1"/>
          <w:bCs w:val="1"/>
          <w:color w:val="auto"/>
        </w:rPr>
        <w:t>BEFORE SIGNING THIS AGREEMENT, TAKE IT HOME, READ IT, AND CAREFULLY CONSIDER IT. IF YOU CHOOSE, DISCUSS IT WITH YOUR ATTORNEY (AT YOUR OWN EXPENSE). YOU HAVE 21 DAYS TO CONSIDER THIS AGREEMENT. IF YOU DO NOT SIGN AND RETURN THIS AGREEMENT WITHIN THIS 21-DAY PERIOD, IT AUTOMATICALLY EXPIRES.</w:t>
      </w:r>
    </w:p>
    <w:p>
      <w:pPr>
        <w:spacing w:after="0" w:line="176" w:lineRule="exact"/>
        <w:rPr>
          <w:sz w:val="20"/>
          <w:szCs w:val="20"/>
          <w:color w:val="auto"/>
        </w:rPr>
      </w:pPr>
    </w:p>
    <w:p>
      <w:pPr>
        <w:jc w:val="both"/>
        <w:ind w:left="80" w:right="80"/>
        <w:spacing w:after="0" w:line="282" w:lineRule="auto"/>
        <w:rPr>
          <w:sz w:val="20"/>
          <w:szCs w:val="20"/>
          <w:color w:val="auto"/>
        </w:rPr>
      </w:pPr>
      <w:r>
        <w:rPr>
          <w:rFonts w:ascii="Arial" w:cs="Arial" w:eastAsia="Arial" w:hAnsi="Arial"/>
          <w:sz w:val="18"/>
          <w:szCs w:val="18"/>
          <w:b w:val="1"/>
          <w:bCs w:val="1"/>
          <w:color w:val="auto"/>
        </w:rPr>
        <w:t>ONCE YOU SIGN THIS AGREEMENT, YOU WILL HAVE AN ADDITIONAL 7 DAYS TO REVOKE IT. IF YOU CHOOSE TO REVOKE THIS AGREEMENT, YOU MUST DELIVER A WRITTEN NOTICE OF REVOCATION TO:</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RACHEL STERN, GENERAL COUNSEL</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FACTSET RESEARCH SYSTEMS INC.</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601 MERRITT 7, NORWALK, CT 06851</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BY SIGNING THIS AGREEMENT, YOU WILL BE WAIVING YOUR KNOWN AND UNKNOWN CLAIMS.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5"/>
          </w:tcPr>
          <w:p>
            <w:pPr>
              <w:spacing w:after="0"/>
              <w:rPr>
                <w:sz w:val="20"/>
                <w:szCs w:val="20"/>
                <w:color w:val="auto"/>
              </w:rPr>
            </w:pPr>
            <w:r>
              <w:rPr>
                <w:rFonts w:ascii="Arial" w:cs="Arial" w:eastAsia="Arial" w:hAnsi="Arial"/>
                <w:sz w:val="18"/>
                <w:szCs w:val="18"/>
                <w:color w:val="auto"/>
                <w:w w:val="98"/>
              </w:rPr>
              <w:t>Executed at   Norwalk  (</w:t>
            </w:r>
            <w:r>
              <w:rPr>
                <w:rFonts w:ascii="Arial" w:cs="Arial" w:eastAsia="Arial" w:hAnsi="Arial"/>
                <w:sz w:val="18"/>
                <w:szCs w:val="18"/>
                <w:i w:val="1"/>
                <w:iCs w:val="1"/>
                <w:color w:val="auto"/>
                <w:w w:val="98"/>
              </w:rPr>
              <w:t>print name of city</w:t>
            </w:r>
            <w:r>
              <w:rPr>
                <w:rFonts w:ascii="Arial" w:cs="Arial" w:eastAsia="Arial" w:hAnsi="Arial"/>
                <w:sz w:val="18"/>
                <w:szCs w:val="18"/>
                <w:color w:val="auto"/>
                <w:w w:val="98"/>
              </w:rPr>
              <w:t>),  Connecticut   (</w:t>
            </w:r>
            <w:r>
              <w:rPr>
                <w:rFonts w:ascii="Arial" w:cs="Arial" w:eastAsia="Arial" w:hAnsi="Arial"/>
                <w:sz w:val="18"/>
                <w:szCs w:val="18"/>
                <w:i w:val="1"/>
                <w:iCs w:val="1"/>
                <w:color w:val="auto"/>
                <w:w w:val="98"/>
              </w:rPr>
              <w:t>print name of state</w:t>
            </w:r>
            <w:r>
              <w:rPr>
                <w:rFonts w:ascii="Arial" w:cs="Arial" w:eastAsia="Arial" w:hAnsi="Arial"/>
                <w:sz w:val="18"/>
                <w:szCs w:val="18"/>
                <w:color w:val="auto"/>
                <w:w w:val="98"/>
              </w:rPr>
              <w:t>), this</w:t>
            </w:r>
          </w:p>
        </w:tc>
        <w:tc>
          <w:tcPr>
            <w:tcW w:w="720" w:type="dxa"/>
            <w:vAlign w:val="bottom"/>
          </w:tcPr>
          <w:p>
            <w:pPr>
              <w:ind w:left="240"/>
              <w:spacing w:after="0"/>
              <w:rPr>
                <w:sz w:val="20"/>
                <w:szCs w:val="20"/>
                <w:color w:val="auto"/>
              </w:rPr>
            </w:pPr>
            <w:r>
              <w:rPr>
                <w:rFonts w:ascii="Arial" w:cs="Arial" w:eastAsia="Arial" w:hAnsi="Arial"/>
                <w:sz w:val="18"/>
                <w:szCs w:val="18"/>
                <w:color w:val="auto"/>
              </w:rPr>
              <w:t>8th</w:t>
            </w: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1040" w:type="dxa"/>
            <w:vAlign w:val="bottom"/>
          </w:tcPr>
          <w:p>
            <w:pPr>
              <w:ind w:left="500"/>
              <w:spacing w:after="0"/>
              <w:rPr>
                <w:sz w:val="20"/>
                <w:szCs w:val="20"/>
                <w:color w:val="auto"/>
              </w:rPr>
            </w:pPr>
            <w:r>
              <w:rPr>
                <w:rFonts w:ascii="Arial" w:cs="Arial" w:eastAsia="Arial" w:hAnsi="Arial"/>
                <w:sz w:val="18"/>
                <w:szCs w:val="18"/>
                <w:color w:val="auto"/>
              </w:rPr>
              <w:t>May</w:t>
            </w:r>
          </w:p>
        </w:tc>
        <w:tc>
          <w:tcPr>
            <w:tcW w:w="2600" w:type="dxa"/>
            <w:vAlign w:val="bottom"/>
            <w:gridSpan w:val="2"/>
          </w:tcPr>
          <w:p>
            <w:pPr>
              <w:ind w:left="220"/>
              <w:spacing w:after="0"/>
              <w:rPr>
                <w:sz w:val="20"/>
                <w:szCs w:val="20"/>
                <w:color w:val="auto"/>
              </w:rPr>
            </w:pPr>
            <w:r>
              <w:rPr>
                <w:rFonts w:ascii="Arial" w:cs="Arial" w:eastAsia="Arial" w:hAnsi="Arial"/>
                <w:sz w:val="18"/>
                <w:szCs w:val="18"/>
                <w:color w:val="auto"/>
                <w:w w:val="89"/>
              </w:rPr>
              <w:t>, 2018, and signed under penalty</w:t>
            </w:r>
          </w:p>
        </w:tc>
      </w:tr>
      <w:tr>
        <w:trPr>
          <w:trHeight w:val="20"/>
        </w:trPr>
        <w:tc>
          <w:tcPr>
            <w:tcW w:w="9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7"/>
        </w:trPr>
        <w:tc>
          <w:tcPr>
            <w:tcW w:w="6520" w:type="dxa"/>
            <w:vAlign w:val="bottom"/>
            <w:gridSpan w:val="5"/>
          </w:tcPr>
          <w:p>
            <w:pPr>
              <w:spacing w:after="0"/>
              <w:rPr>
                <w:sz w:val="20"/>
                <w:szCs w:val="20"/>
                <w:color w:val="auto"/>
              </w:rPr>
            </w:pPr>
            <w:r>
              <w:rPr>
                <w:rFonts w:ascii="Arial" w:cs="Arial" w:eastAsia="Arial" w:hAnsi="Arial"/>
                <w:sz w:val="18"/>
                <w:szCs w:val="18"/>
                <w:color w:val="auto"/>
              </w:rPr>
              <w:t>of perjury under the laws of the state of _____Connecticut______.</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-10160</wp:posOffset>
            </wp:positionV>
            <wp:extent cx="20701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7010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-10160</wp:posOffset>
            </wp:positionV>
            <wp:extent cx="2076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7645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020" w:val="left"/>
          <w:tab w:leader="none" w:pos="2140" w:val="left"/>
          <w:tab w:leader="none" w:pos="2680" w:val="left"/>
          <w:tab w:leader="none" w:pos="4160" w:val="left"/>
        </w:tabs>
        <w:rPr>
          <w:sz w:val="20"/>
          <w:szCs w:val="20"/>
          <w:color w:val="auto"/>
        </w:rPr>
      </w:pPr>
      <w:r>
        <w:rPr>
          <w:rFonts w:ascii="Arial" w:cs="Arial" w:eastAsia="Arial" w:hAnsi="Arial"/>
          <w:sz w:val="18"/>
          <w:szCs w:val="18"/>
          <w:color w:val="auto"/>
        </w:rPr>
        <w:t>Executed at</w:t>
        <w:tab/>
        <w:t>Norwalk</w:t>
      </w:r>
      <w:r>
        <w:rPr>
          <w:sz w:val="20"/>
          <w:szCs w:val="20"/>
          <w:color w:val="auto"/>
        </w:rPr>
        <w:tab/>
      </w:r>
      <w:r>
        <w:rPr>
          <w:rFonts w:ascii="Arial" w:cs="Arial" w:eastAsia="Arial" w:hAnsi="Arial"/>
          <w:sz w:val="18"/>
          <w:szCs w:val="18"/>
          <w:color w:val="auto"/>
        </w:rPr>
        <w:t>, CT</w:t>
        <w:tab/>
        <w:t>this _8th day of</w:t>
      </w:r>
      <w:r>
        <w:rPr>
          <w:sz w:val="20"/>
          <w:szCs w:val="20"/>
          <w:color w:val="auto"/>
        </w:rPr>
        <w:tab/>
      </w:r>
      <w:r>
        <w:rPr>
          <w:rFonts w:ascii="Arial" w:cs="Arial" w:eastAsia="Arial" w:hAnsi="Arial"/>
          <w:sz w:val="17"/>
          <w:szCs w:val="17"/>
          <w:color w:val="auto"/>
        </w:rPr>
        <w:t>May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-10160</wp:posOffset>
            </wp:positionV>
            <wp:extent cx="1115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5060"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-10160</wp:posOffset>
            </wp:positionV>
            <wp:extent cx="4953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-10160</wp:posOffset>
            </wp:positionV>
            <wp:extent cx="20675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06756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For FactSet Research Systems Inc.</w:t>
      </w: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 Philip Snow –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-10160</wp:posOffset>
            </wp:positionV>
            <wp:extent cx="2084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Print Name and Title</w:t>
      </w:r>
    </w:p>
    <w:p>
      <w:pPr>
        <w:sectPr>
          <w:pgSz w:w="11900" w:h="16838" w:orient="portrait"/>
          <w:cols w:equalWidth="0" w:num="1">
            <w:col w:w="11420"/>
          </w:cols>
          <w:pgMar w:left="240" w:top="66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GENERAL RELEASE OF CLAIMS</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FactSet Research Systems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 Edward Baker-Greene (“</w:t>
      </w:r>
      <w:r>
        <w:rPr>
          <w:rFonts w:ascii="Arial" w:cs="Arial" w:eastAsia="Arial" w:hAnsi="Arial"/>
          <w:sz w:val="18"/>
          <w:szCs w:val="18"/>
          <w:u w:val="single" w:color="auto"/>
          <w:color w:val="auto"/>
        </w:rPr>
        <w:t>Employee</w:t>
      </w:r>
      <w:r>
        <w:rPr>
          <w:rFonts w:ascii="Arial" w:cs="Arial" w:eastAsia="Arial" w:hAnsi="Arial"/>
          <w:sz w:val="18"/>
          <w:szCs w:val="18"/>
          <w:color w:val="auto"/>
        </w:rPr>
        <w:t>”), have entered into this Separation Agreement and General Release of Claims (“</w:t>
      </w:r>
      <w:r>
        <w:rPr>
          <w:rFonts w:ascii="Arial" w:cs="Arial" w:eastAsia="Arial" w:hAnsi="Arial"/>
          <w:sz w:val="18"/>
          <w:szCs w:val="18"/>
          <w:u w:val="single" w:color="auto"/>
          <w:color w:val="auto"/>
        </w:rPr>
        <w:t>Agreement</w:t>
      </w:r>
      <w:r>
        <w:rPr>
          <w:rFonts w:ascii="Arial" w:cs="Arial" w:eastAsia="Arial" w:hAnsi="Arial"/>
          <w:sz w:val="18"/>
          <w:szCs w:val="18"/>
          <w:color w:val="auto"/>
        </w:rPr>
        <w:t>”) to settle all known and unknown claims I might have against Company and all related parties. Except to the extent governed by federal law, this Agreement shall be governed by the statutes and common law of Connecticut, excluding any that mandate the use of another jurisdiction’s laws.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and I agree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1 -- </w:t>
      </w:r>
      <w:r>
        <w:rPr>
          <w:rFonts w:ascii="Arial" w:cs="Arial" w:eastAsia="Arial" w:hAnsi="Arial"/>
          <w:sz w:val="18"/>
          <w:szCs w:val="18"/>
          <w:b w:val="1"/>
          <w:bCs w:val="1"/>
          <w:u w:val="single" w:color="auto"/>
          <w:color w:val="auto"/>
        </w:rPr>
        <w:t>Benefits</w:t>
      </w:r>
    </w:p>
    <w:p>
      <w:pPr>
        <w:spacing w:after="0" w:line="225" w:lineRule="exact"/>
        <w:rPr>
          <w:sz w:val="20"/>
          <w:szCs w:val="20"/>
          <w:color w:val="auto"/>
        </w:rPr>
      </w:pPr>
    </w:p>
    <w:p>
      <w:pPr>
        <w:jc w:val="both"/>
        <w:ind w:firstLine="1305"/>
        <w:spacing w:after="0" w:line="261" w:lineRule="auto"/>
        <w:tabs>
          <w:tab w:leader="none" w:pos="1766"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In General</w:t>
      </w:r>
      <w:r>
        <w:rPr>
          <w:rFonts w:ascii="Arial" w:cs="Arial" w:eastAsia="Arial" w:hAnsi="Arial"/>
          <w:sz w:val="18"/>
          <w:szCs w:val="18"/>
          <w:color w:val="auto"/>
        </w:rPr>
        <w:t>: The Company promises that I will receive the benefits set forth in this section that are conditioned on my execution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 understand and agree that I am not otherwise entitled to receive the benefits provided to me under this Agreement. I understand that I may revoke this Agreement within 7 days after I sign it, in which case I will not receive the amounts or benefits that are being paid to me under it, and this Agreement will never go into effect.</w:t>
      </w:r>
    </w:p>
    <w:p>
      <w:pPr>
        <w:spacing w:after="0" w:line="180" w:lineRule="exact"/>
        <w:rPr>
          <w:rFonts w:ascii="Arial" w:cs="Arial" w:eastAsia="Arial" w:hAnsi="Arial"/>
          <w:sz w:val="18"/>
          <w:szCs w:val="18"/>
          <w:color w:val="auto"/>
        </w:rPr>
      </w:pPr>
    </w:p>
    <w:p>
      <w:pPr>
        <w:jc w:val="both"/>
        <w:ind w:firstLine="1305"/>
        <w:spacing w:after="0" w:line="274" w:lineRule="auto"/>
        <w:tabs>
          <w:tab w:leader="none" w:pos="1799"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Salary Continuation</w:t>
      </w:r>
      <w:r>
        <w:rPr>
          <w:rFonts w:ascii="Arial" w:cs="Arial" w:eastAsia="Arial" w:hAnsi="Arial"/>
          <w:sz w:val="17"/>
          <w:szCs w:val="17"/>
          <w:color w:val="auto"/>
        </w:rPr>
        <w:t>: Whether I sign this Agreement or not, I will continue to receive my regular pay, less all applicable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state and local taxes and withholdings, for the period from now through the effective date of my termination on November 30, 2018 (“</w:t>
      </w:r>
      <w:r>
        <w:rPr>
          <w:rFonts w:ascii="Arial" w:cs="Arial" w:eastAsia="Arial" w:hAnsi="Arial"/>
          <w:sz w:val="17"/>
          <w:szCs w:val="17"/>
          <w:u w:val="single" w:color="auto"/>
          <w:color w:val="auto"/>
        </w:rPr>
        <w:t>Termination Date</w:t>
      </w:r>
      <w:r>
        <w:rPr>
          <w:rFonts w:ascii="Arial" w:cs="Arial" w:eastAsia="Arial" w:hAnsi="Arial"/>
          <w:sz w:val="17"/>
          <w:szCs w:val="17"/>
          <w:color w:val="auto"/>
        </w:rPr>
        <w:t>”). During this period, I will remain on active payroll and retain all salary, compensation and employment benefits that I previously enjoyed, including Company medical benefits. Prior to my Termination Date, I may be required to relinquish my title of Chief Human Resources Officer. Until such time, I will be required to report to work at the Company as usual, and will be required to perform regular work assignments. Following the relinquishment of such title but prior to my Termination Date, I may be requested by the Company to assist in reasonable transition efforts.</w:t>
      </w:r>
    </w:p>
    <w:p>
      <w:pPr>
        <w:spacing w:after="0" w:line="173" w:lineRule="exact"/>
        <w:rPr>
          <w:rFonts w:ascii="Arial" w:cs="Arial" w:eastAsia="Arial" w:hAnsi="Arial"/>
          <w:sz w:val="17"/>
          <w:szCs w:val="17"/>
          <w:color w:val="auto"/>
        </w:rPr>
      </w:pPr>
    </w:p>
    <w:p>
      <w:pPr>
        <w:jc w:val="both"/>
        <w:ind w:firstLine="1305"/>
        <w:spacing w:after="0" w:line="261" w:lineRule="auto"/>
        <w:tabs>
          <w:tab w:leader="none" w:pos="1732"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Bonus Payment</w:t>
      </w:r>
      <w:r>
        <w:rPr>
          <w:rFonts w:ascii="Arial" w:cs="Arial" w:eastAsia="Arial" w:hAnsi="Arial"/>
          <w:sz w:val="18"/>
          <w:szCs w:val="18"/>
          <w:color w:val="auto"/>
        </w:rPr>
        <w:t>: Whether I sign this Agreement or not, I will be eligible to participate in the Company’s annual bonus program. My</w:t>
      </w:r>
      <w:r>
        <w:rPr>
          <w:rFonts w:ascii="Arial" w:cs="Arial" w:eastAsia="Arial" w:hAnsi="Arial"/>
          <w:sz w:val="18"/>
          <w:szCs w:val="18"/>
          <w:b w:val="1"/>
          <w:bCs w:val="1"/>
          <w:color w:val="auto"/>
        </w:rPr>
        <w:t xml:space="preserve"> </w:t>
      </w:r>
      <w:r>
        <w:rPr>
          <w:rFonts w:ascii="Arial" w:cs="Arial" w:eastAsia="Arial" w:hAnsi="Arial"/>
          <w:sz w:val="18"/>
          <w:szCs w:val="18"/>
          <w:color w:val="auto"/>
        </w:rPr>
        <w:t>annual target bonus amount is $350,000 for fiscal year 2018, though the actual amount may differ. My bonus will be paid when all other corporate bonuses are paid in October 2018, less all applicable federal, state and local taxes and withholdings. Any bonus I may earn during fiscal year 2019 has been included in my separation payment under Section 1(d).</w:t>
      </w:r>
    </w:p>
    <w:p>
      <w:pPr>
        <w:spacing w:after="0" w:line="180" w:lineRule="exact"/>
        <w:rPr>
          <w:rFonts w:ascii="Arial" w:cs="Arial" w:eastAsia="Arial" w:hAnsi="Arial"/>
          <w:sz w:val="18"/>
          <w:szCs w:val="18"/>
          <w:color w:val="auto"/>
        </w:rPr>
      </w:pPr>
    </w:p>
    <w:p>
      <w:pPr>
        <w:jc w:val="both"/>
        <w:ind w:firstLine="1305"/>
        <w:spacing w:after="0" w:line="289" w:lineRule="auto"/>
        <w:tabs>
          <w:tab w:leader="none" w:pos="1754"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Separation Payment</w:t>
      </w:r>
      <w:r>
        <w:rPr>
          <w:rFonts w:ascii="Arial" w:cs="Arial" w:eastAsia="Arial" w:hAnsi="Arial"/>
          <w:sz w:val="17"/>
          <w:szCs w:val="17"/>
          <w:color w:val="auto"/>
        </w:rPr>
        <w:t>: In exchange for signing this Agreement, I will receive a lump sum separation payment of $387,500.00 (Three</w:t>
      </w:r>
      <w:r>
        <w:rPr>
          <w:rFonts w:ascii="Arial" w:cs="Arial" w:eastAsia="Arial" w:hAnsi="Arial"/>
          <w:sz w:val="17"/>
          <w:szCs w:val="17"/>
          <w:b w:val="1"/>
          <w:bCs w:val="1"/>
          <w:color w:val="auto"/>
        </w:rPr>
        <w:t xml:space="preserve"> </w:t>
      </w:r>
      <w:r>
        <w:rPr>
          <w:rFonts w:ascii="Arial" w:cs="Arial" w:eastAsia="Arial" w:hAnsi="Arial"/>
          <w:sz w:val="17"/>
          <w:szCs w:val="17"/>
          <w:color w:val="auto"/>
        </w:rPr>
        <w:t>Hundred Eighty-Seven Thousand Five Hundred Dollars and Zero Cents), less all applicable federal, state and local taxes and withholdings. Payment will be made on the date of the first scheduled payroll after December 1, 2018, but not later than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both"/>
        <w:ind w:firstLine="1305"/>
        <w:spacing w:after="0" w:line="266" w:lineRule="auto"/>
        <w:tabs>
          <w:tab w:leader="none" w:pos="1748"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Equity Awards</w:t>
      </w:r>
      <w:r>
        <w:rPr>
          <w:rFonts w:ascii="Arial" w:cs="Arial" w:eastAsia="Arial" w:hAnsi="Arial"/>
          <w:sz w:val="18"/>
          <w:szCs w:val="18"/>
          <w:color w:val="auto"/>
        </w:rPr>
        <w:t>: The Company will accelerate the vesting of the following outstanding equity awards such that the shares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awards as specified here shall be deemed vested and exercisable as of the Termination Date, subject to the standard terms of the Company’s option agreement:</w:t>
      </w:r>
    </w:p>
    <w:p>
      <w:pPr>
        <w:spacing w:after="0" w:line="180" w:lineRule="exact"/>
        <w:rPr>
          <w:rFonts w:ascii="Arial" w:cs="Arial" w:eastAsia="Arial" w:hAnsi="Arial"/>
          <w:sz w:val="18"/>
          <w:szCs w:val="18"/>
          <w:color w:val="auto"/>
        </w:rPr>
      </w:pPr>
    </w:p>
    <w:p>
      <w:pPr>
        <w:ind w:left="2280" w:hanging="327"/>
        <w:spacing w:after="0"/>
        <w:tabs>
          <w:tab w:leader="none" w:pos="2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accelerated vesting of 970 options granted on June 1, 2015;</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accelerated vesting of 2,125 options granted on November 2, 2015;</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accelerated vesting of 1,275 options granted on November 2, 2015;</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accelerated vesting of 1,648 options granted on November 1, 2016; and</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accelerated vesting of 1,243 options granted on November 2, 2017.</w:t>
      </w:r>
    </w:p>
    <w:p>
      <w:pPr>
        <w:spacing w:after="0" w:line="221" w:lineRule="exact"/>
        <w:rPr>
          <w:rFonts w:ascii="Arial" w:cs="Arial" w:eastAsia="Arial" w:hAnsi="Arial"/>
          <w:sz w:val="18"/>
          <w:szCs w:val="18"/>
          <w:color w:val="auto"/>
        </w:rPr>
      </w:pPr>
    </w:p>
    <w:p>
      <w:pPr>
        <w:jc w:val="both"/>
        <w:ind w:firstLine="1305"/>
        <w:spacing w:after="0" w:line="255" w:lineRule="auto"/>
        <w:tabs>
          <w:tab w:leader="none" w:pos="1769"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Compensation and Benefit Programs</w:t>
      </w:r>
      <w:r>
        <w:rPr>
          <w:rFonts w:ascii="Arial" w:cs="Arial" w:eastAsia="Arial" w:hAnsi="Arial"/>
          <w:sz w:val="18"/>
          <w:szCs w:val="18"/>
          <w:color w:val="auto"/>
        </w:rPr>
        <w:t>: I waive coverage and benefits under all Company disability programs, but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affect my eligibility for other Company stock option, bonus, incentive compensation, commission, medical, dental, life insurance, retirement and other compensation or benefit plans of the Company or any affiliate. Whether I sign this Agreement or not, I understand that my rights and continued participation in those plans will be governed by their existing terms. After my Termination Date, the Company shall make monthly premium payments of $2,541.51 to be made on my behalf for continuation of health coverage under the Consolidated Omnibus Budget Reconciliation Act of 1986, as amended (COBRA) through November 30, 2019, totaling $30,498.12. Thereafter, I may be able to purchase continued health plan coverage under the normal COBRA health care continuation rules. I understand and acknowledge that it is my responsibility to enroll in COBRA coverage if I elect to do so, and I shall be responsible for all premium payments.</w:t>
      </w:r>
    </w:p>
    <w:p>
      <w:pPr>
        <w:spacing w:after="0" w:line="18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Payments made under this Agreement will not be included in my compensation for purposes of calculating the benefits to which I am entitled under any employee benefit program, notwithstanding anything in it to the contrary.</w:t>
      </w:r>
    </w:p>
    <w:p>
      <w:pPr>
        <w:spacing w:after="0" w:line="166" w:lineRule="exact"/>
        <w:rPr>
          <w:sz w:val="20"/>
          <w:szCs w:val="20"/>
          <w:color w:val="auto"/>
        </w:rPr>
      </w:pPr>
    </w:p>
    <w:p>
      <w:pPr>
        <w:ind w:firstLine="1305"/>
        <w:spacing w:after="0" w:line="313" w:lineRule="auto"/>
        <w:tabs>
          <w:tab w:leader="none" w:pos="1821"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Outplacement Assistance</w:t>
      </w:r>
      <w:r>
        <w:rPr>
          <w:rFonts w:ascii="Arial" w:cs="Arial" w:eastAsia="Arial" w:hAnsi="Arial"/>
          <w:sz w:val="17"/>
          <w:szCs w:val="17"/>
          <w:color w:val="auto"/>
        </w:rPr>
        <w:t>: I will receive outplacement assistance services provided by a vendor selected by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I utilize such services within one year following the Termination Date and to the extent the cost does not exceed $25,000.</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2 -- </w:t>
      </w:r>
      <w:r>
        <w:rPr>
          <w:rFonts w:ascii="Arial" w:cs="Arial" w:eastAsia="Arial" w:hAnsi="Arial"/>
          <w:sz w:val="18"/>
          <w:szCs w:val="18"/>
          <w:b w:val="1"/>
          <w:bCs w:val="1"/>
          <w:u w:val="single" w:color="auto"/>
          <w:color w:val="auto"/>
        </w:rPr>
        <w:t>Complete General Release of Claims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releases are made as of the date of this Agreement, and as of my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jc w:val="both"/>
        <w:ind w:left="-1200" w:firstLine="1305"/>
        <w:spacing w:after="0" w:line="258" w:lineRule="auto"/>
        <w:tabs>
          <w:tab w:leader="none" w:pos="544"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Claims Released</w:t>
      </w:r>
      <w:r>
        <w:rPr>
          <w:rFonts w:ascii="Arial" w:cs="Arial" w:eastAsia="Arial" w:hAnsi="Arial"/>
          <w:sz w:val="18"/>
          <w:szCs w:val="18"/>
          <w:color w:val="auto"/>
        </w:rPr>
        <w:t>: Except for the claims identified in Section 2(b), I irrevocably and unconditionally release (i.e., give up) all known</w:t>
      </w:r>
      <w:r>
        <w:rPr>
          <w:rFonts w:ascii="Arial" w:cs="Arial" w:eastAsia="Arial" w:hAnsi="Arial"/>
          <w:sz w:val="18"/>
          <w:szCs w:val="18"/>
          <w:b w:val="1"/>
          <w:bCs w:val="1"/>
          <w:color w:val="auto"/>
        </w:rPr>
        <w:t xml:space="preserve"> </w:t>
      </w:r>
      <w:r>
        <w:rPr>
          <w:rFonts w:ascii="Arial" w:cs="Arial" w:eastAsia="Arial" w:hAnsi="Arial"/>
          <w:sz w:val="18"/>
          <w:szCs w:val="18"/>
          <w:color w:val="auto"/>
        </w:rPr>
        <w:t>and unknown claims, promises, causes of action, or similar rights of any type that I currently may have (“</w:t>
      </w:r>
      <w:r>
        <w:rPr>
          <w:rFonts w:ascii="Arial" w:cs="Arial" w:eastAsia="Arial" w:hAnsi="Arial"/>
          <w:sz w:val="18"/>
          <w:szCs w:val="18"/>
          <w:u w:val="single" w:color="auto"/>
          <w:color w:val="auto"/>
        </w:rPr>
        <w:t>Claims</w:t>
      </w:r>
      <w:r>
        <w:rPr>
          <w:rFonts w:ascii="Arial" w:cs="Arial" w:eastAsia="Arial" w:hAnsi="Arial"/>
          <w:sz w:val="18"/>
          <w:szCs w:val="18"/>
          <w:color w:val="auto"/>
        </w:rPr>
        <w:t>”) with respect to any Released Party listed in Section 2(c). I understand that I am not releasing future rights or claims, meaning rights or claims that arise after my Termination Date. I understand that the Claims I am releasing might arise under many different foreign, domestic, national, state, or local laws (including statutes, regulations, other administrative guidance, and common law doctrines), such as the following:</w:t>
      </w:r>
    </w:p>
    <w:p>
      <w:pPr>
        <w:spacing w:after="0" w:line="188" w:lineRule="exact"/>
        <w:rPr>
          <w:sz w:val="20"/>
          <w:szCs w:val="20"/>
          <w:color w:val="auto"/>
        </w:rPr>
      </w:pPr>
    </w:p>
    <w:p>
      <w:pPr>
        <w:jc w:val="both"/>
        <w:ind w:left="100"/>
        <w:spacing w:after="0" w:line="270" w:lineRule="auto"/>
        <w:rPr>
          <w:sz w:val="20"/>
          <w:szCs w:val="20"/>
          <w:color w:val="auto"/>
        </w:rPr>
      </w:pPr>
      <w:r>
        <w:rPr>
          <w:rFonts w:ascii="Arial" w:cs="Arial" w:eastAsia="Arial" w:hAnsi="Arial"/>
          <w:sz w:val="17"/>
          <w:szCs w:val="17"/>
          <w:u w:val="single" w:color="auto"/>
          <w:color w:val="auto"/>
        </w:rPr>
        <w:t>Anti-discrimination statutes</w:t>
      </w:r>
      <w:r>
        <w:rPr>
          <w:rFonts w:ascii="Arial" w:cs="Arial" w:eastAsia="Arial" w:hAnsi="Arial"/>
          <w:sz w:val="17"/>
          <w:szCs w:val="17"/>
          <w:color w:val="auto"/>
        </w:rPr>
        <w:t>, such as Title VII of the Civil Rights Act of 1964, Sections 1981 and 1983 of the Civil Rights Act of 1866, and Executive Order 11,246, which prohibit discrimination based on race, color, national origin, religion, or sex; the Age Discrimination in Employment Act (“ADEA”) and Executive Order 11,141, which prohibit age discrimination in employment; the Equal Pay Act, which prohibits paying men and women unequal pay for equal work; the Americans With Disabilities Act (“ADA”) and Sections 503 and 504 of the Rehabilitation Act of 1973, which prohibit discrimination based on disability; the Genetic Information Nondiscrimination Act of 2008 (“GINA”), which prohibits discrimination based on genetic information; and any other federal, state, or local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182" w:lineRule="exact"/>
        <w:rPr>
          <w:sz w:val="20"/>
          <w:szCs w:val="20"/>
          <w:color w:val="auto"/>
        </w:rPr>
      </w:pPr>
    </w:p>
    <w:p>
      <w:pPr>
        <w:jc w:val="both"/>
        <w:ind w:left="100"/>
        <w:spacing w:after="0" w:line="312" w:lineRule="auto"/>
        <w:rPr>
          <w:sz w:val="20"/>
          <w:szCs w:val="20"/>
          <w:color w:val="auto"/>
        </w:rPr>
      </w:pPr>
      <w:r>
        <w:rPr>
          <w:rFonts w:ascii="Arial" w:cs="Arial" w:eastAsia="Arial" w:hAnsi="Arial"/>
          <w:sz w:val="16"/>
          <w:szCs w:val="16"/>
          <w:u w:val="single" w:color="auto"/>
          <w:color w:val="auto"/>
        </w:rPr>
        <w:t>Federal employment statutes</w:t>
      </w:r>
      <w:r>
        <w:rPr>
          <w:rFonts w:ascii="Arial" w:cs="Arial" w:eastAsia="Arial" w:hAnsi="Arial"/>
          <w:sz w:val="16"/>
          <w:szCs w:val="16"/>
          <w:color w:val="auto"/>
        </w:rPr>
        <w:t>, such as the Worker Adjustment and Retraining Notification Act (“WARN Act”), which requires that advance notice be given of certain work force reductions; the Employee Retirement Income Security Act of 1974 (“ERISA”), which, among other things, protects employee benefits; and any other federal laws relating to employment, such as veterans’ reemployment rights laws.</w:t>
      </w:r>
    </w:p>
    <w:p>
      <w:pPr>
        <w:spacing w:after="0" w:line="147" w:lineRule="exact"/>
        <w:rPr>
          <w:sz w:val="20"/>
          <w:szCs w:val="20"/>
          <w:color w:val="auto"/>
        </w:rPr>
      </w:pPr>
    </w:p>
    <w:p>
      <w:pPr>
        <w:jc w:val="both"/>
        <w:ind w:left="100"/>
        <w:spacing w:after="0" w:line="297" w:lineRule="auto"/>
        <w:rPr>
          <w:sz w:val="20"/>
          <w:szCs w:val="20"/>
          <w:color w:val="auto"/>
        </w:rPr>
      </w:pPr>
      <w:r>
        <w:rPr>
          <w:rFonts w:ascii="Arial" w:cs="Arial" w:eastAsia="Arial" w:hAnsi="Arial"/>
          <w:sz w:val="16"/>
          <w:szCs w:val="16"/>
          <w:u w:val="single" w:color="auto"/>
          <w:color w:val="auto"/>
        </w:rPr>
        <w:t>Other laws</w:t>
      </w:r>
      <w:r>
        <w:rPr>
          <w:rFonts w:ascii="Arial" w:cs="Arial" w:eastAsia="Arial" w:hAnsi="Arial"/>
          <w:sz w:val="16"/>
          <w:szCs w:val="16"/>
          <w:color w:val="auto"/>
        </w:rPr>
        <w:t>, such as any federal, state, or local laws mandating leaves of absence,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58" w:lineRule="exact"/>
        <w:rPr>
          <w:sz w:val="20"/>
          <w:szCs w:val="20"/>
          <w:color w:val="auto"/>
        </w:rPr>
      </w:pPr>
    </w:p>
    <w:p>
      <w:pPr>
        <w:jc w:val="both"/>
        <w:ind w:left="100"/>
        <w:spacing w:after="0" w:line="271" w:lineRule="auto"/>
        <w:rPr>
          <w:sz w:val="20"/>
          <w:szCs w:val="20"/>
          <w:color w:val="auto"/>
        </w:rPr>
      </w:pPr>
      <w:r>
        <w:rPr>
          <w:rFonts w:ascii="Arial" w:cs="Arial" w:eastAsia="Arial" w:hAnsi="Arial"/>
          <w:sz w:val="17"/>
          <w:szCs w:val="17"/>
          <w:u w:val="single" w:color="auto"/>
          <w:color w:val="auto"/>
        </w:rPr>
        <w:t>Examples of released Claims</w:t>
      </w:r>
      <w:r>
        <w:rPr>
          <w:rFonts w:ascii="Arial" w:cs="Arial" w:eastAsia="Arial" w:hAnsi="Arial"/>
          <w:sz w:val="17"/>
          <w:szCs w:val="17"/>
          <w:color w:val="auto"/>
        </w:rPr>
        <w:t xml:space="preserve"> include, but are not limited to the following (except to the extent explicitly preserved by Section 1 or 2(b) of this Agreement): (i) Claims that in any way relate to or arose during my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I have irrevocable or vested rights to severance or similar benefits or to post-employment health or group insurance benefits; (iv) any Claims to attorneys’ fees or other indemnities (such as under the Civil Rights Attorneys’ Fees Act), with respect to Claims I am releasing; or (v) claims under the Connecticut Human Rights and Opportunities Law, the Connecticut Family and Medical Leave Law, the Connecticut Age Discrimination and Employee Insurance Benefits Law, and the Connecticut Smokers’ Rights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345440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t>If, despite this Agreement, I sue or bring an arbitration action asserting any Claim that I have released, I will be liable to the Released Party (as defined below) for its attorneys’ fees, other defense costs, and any other damages that my suit or arbitration causes, except those attributable to ADEA claims. I promise not to accept any relief or remedies not set forth in this Agreement as to any Claim I have released by signing it.</w:t>
      </w:r>
    </w:p>
    <w:p>
      <w:pPr>
        <w:spacing w:after="0" w:line="177" w:lineRule="exact"/>
        <w:rPr>
          <w:sz w:val="20"/>
          <w:szCs w:val="20"/>
          <w:color w:val="auto"/>
        </w:rPr>
      </w:pPr>
    </w:p>
    <w:p>
      <w:pPr>
        <w:jc w:val="both"/>
        <w:ind w:firstLine="1305"/>
        <w:spacing w:after="0" w:line="314" w:lineRule="auto"/>
        <w:tabs>
          <w:tab w:leader="none" w:pos="1745"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Claims Not Released</w:t>
      </w:r>
      <w:r>
        <w:rPr>
          <w:rFonts w:ascii="Arial" w:cs="Arial" w:eastAsia="Arial" w:hAnsi="Arial"/>
          <w:sz w:val="16"/>
          <w:szCs w:val="16"/>
          <w:color w:val="auto"/>
        </w:rPr>
        <w:t>: This Agreement does not release any claims that the law does not permit me to release. Nothing herein affects</w:t>
      </w:r>
      <w:r>
        <w:rPr>
          <w:rFonts w:ascii="Arial" w:cs="Arial" w:eastAsia="Arial" w:hAnsi="Arial"/>
          <w:sz w:val="16"/>
          <w:szCs w:val="16"/>
          <w:b w:val="1"/>
          <w:bCs w:val="1"/>
          <w:color w:val="auto"/>
        </w:rPr>
        <w:t xml:space="preserve"> </w:t>
      </w:r>
      <w:r>
        <w:rPr>
          <w:rFonts w:ascii="Arial" w:cs="Arial" w:eastAsia="Arial" w:hAnsi="Arial"/>
          <w:sz w:val="16"/>
          <w:szCs w:val="16"/>
          <w:color w:val="auto"/>
        </w:rPr>
        <w:t>my rights to indemnification, reimbursement for business expenses incurred through the Termination Date in accordance with Company policy, payment for accrued but unused vacation in accordance with Company policy, and vested benefits under the Company’s 401(k) plan, subject to the terms of such plan.</w:t>
      </w:r>
    </w:p>
    <w:p>
      <w:pPr>
        <w:spacing w:after="0" w:line="142" w:lineRule="exact"/>
        <w:rPr>
          <w:rFonts w:ascii="Arial" w:cs="Arial" w:eastAsia="Arial" w:hAnsi="Arial"/>
          <w:sz w:val="16"/>
          <w:szCs w:val="16"/>
          <w:color w:val="auto"/>
        </w:rPr>
      </w:pPr>
    </w:p>
    <w:p>
      <w:pPr>
        <w:jc w:val="both"/>
        <w:ind w:firstLine="1305"/>
        <w:spacing w:after="0" w:line="258" w:lineRule="auto"/>
        <w:tabs>
          <w:tab w:leader="none" w:pos="1958"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Released Parties</w:t>
      </w:r>
      <w:r>
        <w:rPr>
          <w:rFonts w:ascii="Arial" w:cs="Arial" w:eastAsia="Arial" w:hAnsi="Arial"/>
          <w:sz w:val="18"/>
          <w:szCs w:val="18"/>
          <w:color w:val="auto"/>
        </w:rPr>
        <w:t>: The Released Parties are the Company, all current and former parents, subsidiaries, related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3 -- </w:t>
      </w:r>
      <w:r>
        <w:rPr>
          <w:rFonts w:ascii="Arial" w:cs="Arial" w:eastAsia="Arial" w:hAnsi="Arial"/>
          <w:sz w:val="18"/>
          <w:szCs w:val="18"/>
          <w:b w:val="1"/>
          <w:bCs w:val="1"/>
          <w:u w:val="single" w:color="auto"/>
          <w:color w:val="auto"/>
        </w:rPr>
        <w:t>Promises</w:t>
      </w:r>
    </w:p>
    <w:p>
      <w:pPr>
        <w:spacing w:after="0" w:line="225" w:lineRule="exact"/>
        <w:rPr>
          <w:sz w:val="20"/>
          <w:szCs w:val="20"/>
          <w:color w:val="auto"/>
        </w:rPr>
      </w:pPr>
    </w:p>
    <w:p>
      <w:pPr>
        <w:jc w:val="both"/>
        <w:ind w:firstLine="1305"/>
        <w:spacing w:after="0" w:line="266" w:lineRule="auto"/>
        <w:tabs>
          <w:tab w:leader="none" w:pos="185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Employment Termination</w:t>
      </w:r>
      <w:r>
        <w:rPr>
          <w:rFonts w:ascii="Arial" w:cs="Arial" w:eastAsia="Arial" w:hAnsi="Arial"/>
          <w:sz w:val="18"/>
          <w:szCs w:val="18"/>
          <w:color w:val="auto"/>
        </w:rPr>
        <w:t>: I agree that my employment with the Company and its affiliates has ended or is ending as of my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Date, and that I am accepting payments and benefits under this Agreement in lieu of any such other rights or benefits to which I possibly could be or become entitled. I have not been told that the Company or any Released Party will rehire me.</w:t>
      </w:r>
    </w:p>
    <w:p>
      <w:pPr>
        <w:spacing w:after="0" w:line="176" w:lineRule="exact"/>
        <w:rPr>
          <w:rFonts w:ascii="Arial" w:cs="Arial" w:eastAsia="Arial" w:hAnsi="Arial"/>
          <w:sz w:val="18"/>
          <w:szCs w:val="18"/>
          <w:color w:val="auto"/>
        </w:rPr>
      </w:pPr>
    </w:p>
    <w:p>
      <w:pPr>
        <w:ind w:firstLine="1305"/>
        <w:spacing w:after="0" w:line="282" w:lineRule="auto"/>
        <w:tabs>
          <w:tab w:leader="none" w:pos="1769"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Resignation of All Other Positions</w:t>
      </w:r>
      <w:r>
        <w:rPr>
          <w:rFonts w:ascii="Arial" w:cs="Arial" w:eastAsia="Arial" w:hAnsi="Arial"/>
          <w:sz w:val="18"/>
          <w:szCs w:val="18"/>
          <w:color w:val="auto"/>
        </w:rPr>
        <w:t>: Upon relinquishment of my role as Chief Human Resources Officer, I agree to resign from all</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positions that I hold as an officer or member of the Board (or a committee thereof) of the Company or any of its affiliates.</w:t>
      </w:r>
    </w:p>
    <w:p>
      <w:pPr>
        <w:spacing w:after="0" w:line="161" w:lineRule="exact"/>
        <w:rPr>
          <w:rFonts w:ascii="Arial" w:cs="Arial" w:eastAsia="Arial" w:hAnsi="Arial"/>
          <w:sz w:val="18"/>
          <w:szCs w:val="18"/>
          <w:color w:val="auto"/>
        </w:rPr>
      </w:pPr>
    </w:p>
    <w:p>
      <w:pPr>
        <w:jc w:val="both"/>
        <w:ind w:firstLine="1305"/>
        <w:spacing w:after="0" w:line="271" w:lineRule="auto"/>
        <w:tabs>
          <w:tab w:leader="none" w:pos="1762"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Company Property and Debts</w:t>
      </w:r>
      <w:r>
        <w:rPr>
          <w:rFonts w:ascii="Arial" w:cs="Arial" w:eastAsia="Arial" w:hAnsi="Arial"/>
          <w:sz w:val="17"/>
          <w:szCs w:val="17"/>
          <w:color w:val="auto"/>
        </w:rPr>
        <w:t>: On or before my Termination Date, I will return to the Company all files, memoranda,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copies of the foregoing, Company-provided credit cards, keys, building passes, security passes, access or identification cards, devices and equipment belonging to the Company (including computers, laptops, tablets, smart phones, handheld electronic devices, telephone equipment, and other electronic devices, including PDAs), and any other property of the Company or any Released Party in my possession or control, other than my car and specific mutually approved devices, all with the Company’s consent. The Company will promptly transfer the title of the car to me on or promptly after my Termination Date. I have cooperated with the Company and will cooperate with the Company regarding the proper handling of any digital property of the Company that may be retained in mobile phone or related digital storage devices, media or accounts. As of my Termination Date, I will have cleared all expense accounts, repaid everything I owe to the Company or any Released Party, paid all amounts I owe on Company-provided credit cards or accounts (such as mobile or smart phone accounts), and canceled or personally assumed any such credit cards or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jc w:val="both"/>
        <w:ind w:left="-1200" w:firstLine="1305"/>
        <w:spacing w:after="0" w:line="266" w:lineRule="auto"/>
        <w:tabs>
          <w:tab w:leader="none" w:pos="569"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I am responsible for paying any taxes on amounts I receive because I signed this Agreement. I agree that the Company is to</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 all taxes it determines it is legally required to withhold. I agree not to make any claim against the Company or any other person based on how the Company reports amounts paid under this Agreement to tax authorities.</w:t>
      </w:r>
    </w:p>
    <w:p>
      <w:pPr>
        <w:spacing w:after="0" w:line="176" w:lineRule="exact"/>
        <w:rPr>
          <w:rFonts w:ascii="Arial" w:cs="Arial" w:eastAsia="Arial" w:hAnsi="Arial"/>
          <w:sz w:val="18"/>
          <w:szCs w:val="18"/>
          <w:color w:val="auto"/>
        </w:rPr>
      </w:pPr>
    </w:p>
    <w:p>
      <w:pPr>
        <w:ind w:left="520" w:hanging="415"/>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Ownership of Claims</w:t>
      </w:r>
      <w:r>
        <w:rPr>
          <w:rFonts w:ascii="Arial" w:cs="Arial" w:eastAsia="Arial" w:hAnsi="Arial"/>
          <w:sz w:val="17"/>
          <w:szCs w:val="17"/>
          <w:color w:val="auto"/>
        </w:rPr>
        <w:t>: I have not assigned or transferred any Claim I am purporting to release, nor have I attempted to do so.</w:t>
      </w:r>
    </w:p>
    <w:p>
      <w:pPr>
        <w:spacing w:after="0" w:line="236" w:lineRule="exact"/>
        <w:rPr>
          <w:rFonts w:ascii="Arial" w:cs="Arial" w:eastAsia="Arial" w:hAnsi="Arial"/>
          <w:sz w:val="17"/>
          <w:szCs w:val="17"/>
          <w:color w:val="auto"/>
        </w:rPr>
      </w:pPr>
    </w:p>
    <w:p>
      <w:pPr>
        <w:jc w:val="both"/>
        <w:ind w:left="-1200" w:firstLine="1305"/>
        <w:spacing w:after="0" w:line="286" w:lineRule="auto"/>
        <w:tabs>
          <w:tab w:leader="none" w:pos="515"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Communication with Government Agency; Immunity</w:t>
      </w:r>
      <w:r>
        <w:rPr>
          <w:rFonts w:ascii="Arial" w:cs="Arial" w:eastAsia="Arial" w:hAnsi="Arial"/>
          <w:sz w:val="16"/>
          <w:szCs w:val="16"/>
          <w:color w:val="auto"/>
        </w:rPr>
        <w:t>: This Agreement does not preclude me from filing an administrative charge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communicating with any federal, state or local government office, official or agency. I promise never to seek or accept any damages, remedies or other relief for myself personally with respect to any Claim released by Paragraph 2(a) of this Agreement. Nothing in this Agreement is designed to interfere with, restrain, restrict, or prevent communications protected by state or federal law, including as protected by (a) Section 7 of the National Labor Relations Act of 1935 (“NLRA”) (or court order), regarding wages, hours, or other terms and conditions of employment or (b) Exchange Act Rule 21F-17, addressing communications (including by my attorney) with, or testimony before, the SEC, FINRA, or other regulatory authority regarding possible securities law violations. Furthermore, nothing in this Agreement prohibits me from communicating with or reporting possible violations of law or regulation to any federal, state, or local governmental office, official, agency, or entity. Notwithstanding my confidentiality obligations set forth in this Agreement, I understand that, pursuant to the Defend Trade Secrets Act of 2016, I will not be held criminally or civilly liable under any U.S.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 also understand that if I file a lawsuit for retaliation by the Company for reporting a suspected violation of law, I may disclose the trade secret to my attorney and use the trade secret information in the court proceeding, if I (A) file any document containing the trade secret under seal; and (B) do not disclose the trade secret, except pursuant to court order. I understand that if a disclosure of trade secrets was not done in good faith pursuant to the above, then I may be subject to liability, including, without limitation, punitive damages and attorneys’ fees.</w:t>
      </w:r>
    </w:p>
    <w:p>
      <w:pPr>
        <w:spacing w:after="0" w:line="168" w:lineRule="exact"/>
        <w:rPr>
          <w:rFonts w:ascii="Arial" w:cs="Arial" w:eastAsia="Arial" w:hAnsi="Arial"/>
          <w:sz w:val="16"/>
          <w:szCs w:val="16"/>
          <w:color w:val="auto"/>
        </w:rPr>
      </w:pPr>
    </w:p>
    <w:p>
      <w:pPr>
        <w:jc w:val="both"/>
        <w:ind w:left="-1200" w:firstLine="1305"/>
        <w:spacing w:after="0" w:line="281" w:lineRule="auto"/>
        <w:tabs>
          <w:tab w:leader="none" w:pos="531"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Mutual Agreement Not to Disparage or Harm</w:t>
      </w:r>
      <w:r>
        <w:rPr>
          <w:rFonts w:ascii="Arial" w:cs="Arial" w:eastAsia="Arial" w:hAnsi="Arial"/>
          <w:sz w:val="17"/>
          <w:szCs w:val="17"/>
          <w:color w:val="auto"/>
        </w:rPr>
        <w:t>: Subject to Section 3(f), I agree not to criticize, denigrate, or disparage any Released</w:t>
      </w:r>
      <w:r>
        <w:rPr>
          <w:rFonts w:ascii="Arial" w:cs="Arial" w:eastAsia="Arial" w:hAnsi="Arial"/>
          <w:sz w:val="17"/>
          <w:szCs w:val="17"/>
          <w:b w:val="1"/>
          <w:bCs w:val="1"/>
          <w:color w:val="auto"/>
        </w:rPr>
        <w:t xml:space="preserve"> </w:t>
      </w:r>
      <w:r>
        <w:rPr>
          <w:rFonts w:ascii="Arial" w:cs="Arial" w:eastAsia="Arial" w:hAnsi="Arial"/>
          <w:sz w:val="17"/>
          <w:szCs w:val="17"/>
          <w:color w:val="auto"/>
        </w:rPr>
        <w:t>Party and, in particular, not to criticize, denigrate, or disparage any current or former employee of the Company. I understand and agree that breach of this provision will result in damages that are difficult to quantify. The Company likewise agrees not to criticize, denigrate, or disparage me or my work in any communication to a third party. I agree not to incur any expenses, obligations, or liabilities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339090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63" w:name="page64"/>
    <w:bookmarkEnd w:id="63"/>
    <w:p>
      <w:pPr>
        <w:jc w:val="both"/>
        <w:ind w:left="-1200" w:firstLine="1305"/>
        <w:spacing w:after="0" w:line="286" w:lineRule="auto"/>
        <w:tabs>
          <w:tab w:leader="none" w:pos="56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Confidential and Proprietary Information and Existing Obligations</w:t>
      </w:r>
      <w:r>
        <w:rPr>
          <w:rFonts w:ascii="Arial" w:cs="Arial" w:eastAsia="Arial" w:hAnsi="Arial"/>
          <w:sz w:val="16"/>
          <w:szCs w:val="16"/>
          <w:color w:val="auto"/>
        </w:rPr>
        <w:t>: Subject to Section 3(f), I understand that, at all times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future, I will remain bound by any Company or Company affiliate agreement or policy relating to confidential information, proprietary information, invention, or similar matters to which I am now subject, including but not limited to any FactSet Research Systems Inc. Intellectual Property Agreement which I previously signed, and which is expressly incorporated by reference herein, and I agree that to the extent any provision in such agreement or policy conflicts with any provision in this Agreement, the provision or interpretation affording the greater protection to the Company shall govern. In particular, I acknowledge that my employment by the Company created a relationship of confidence and trust with respect to any information of a confidential or secret nature disclosed to me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 agree and represent that I have not disclosed, copied, disseminated, shared or transmitted any Confidential Information to any person, firm, corporation or entity for any reason or purpose whatsoever, except in the course of carrying out my duties and responsibilities of employment with the Company. I also agree, at all times in the future, not to make use of any Confidential Information for my own purposes or for the benefit of any person, firm, corporation or other entity. I further warrant and represent that all Confidential Information in my possession, custody or control that is or was a property of the Company has been or shall be returned to the Company by the date I sign this Agreement.</w:t>
      </w:r>
    </w:p>
    <w:p>
      <w:pPr>
        <w:spacing w:after="0" w:line="165" w:lineRule="exact"/>
        <w:rPr>
          <w:rFonts w:ascii="Arial" w:cs="Arial" w:eastAsia="Arial" w:hAnsi="Arial"/>
          <w:sz w:val="16"/>
          <w:szCs w:val="16"/>
          <w:color w:val="auto"/>
        </w:rPr>
      </w:pPr>
    </w:p>
    <w:p>
      <w:pPr>
        <w:ind w:left="500" w:hanging="395"/>
        <w:spacing w:after="0"/>
        <w:tabs>
          <w:tab w:leader="none" w:pos="50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Implementation</w:t>
      </w:r>
      <w:r>
        <w:rPr>
          <w:rFonts w:ascii="Arial" w:cs="Arial" w:eastAsia="Arial" w:hAnsi="Arial"/>
          <w:sz w:val="17"/>
          <w:szCs w:val="17"/>
          <w:color w:val="auto"/>
        </w:rPr>
        <w:t>: I agree to sign any documents and do anything else that in the future is needed to implement this Agreement.</w:t>
      </w:r>
    </w:p>
    <w:p>
      <w:pPr>
        <w:spacing w:after="0" w:line="236" w:lineRule="exact"/>
        <w:rPr>
          <w:rFonts w:ascii="Arial" w:cs="Arial" w:eastAsia="Arial" w:hAnsi="Arial"/>
          <w:sz w:val="17"/>
          <w:szCs w:val="17"/>
          <w:color w:val="auto"/>
        </w:rPr>
      </w:pPr>
    </w:p>
    <w:p>
      <w:pPr>
        <w:ind w:left="-1200" w:firstLine="1305"/>
        <w:spacing w:after="0" w:line="282" w:lineRule="auto"/>
        <w:tabs>
          <w:tab w:leader="none" w:pos="525"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Other Representations</w:t>
      </w:r>
      <w:r>
        <w:rPr>
          <w:rFonts w:ascii="Arial" w:cs="Arial" w:eastAsia="Arial" w:hAnsi="Arial"/>
          <w:sz w:val="18"/>
          <w:szCs w:val="18"/>
          <w:color w:val="auto"/>
        </w:rPr>
        <w:t>: In addition to my other representations in this Agreement, I have made the following representations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which I acknowledge it also has relied in entering into this Agreement with me:</w:t>
      </w:r>
    </w:p>
    <w:p>
      <w:pPr>
        <w:spacing w:after="0" w:line="165" w:lineRule="exact"/>
        <w:rPr>
          <w:rFonts w:ascii="Arial" w:cs="Arial" w:eastAsia="Arial" w:hAnsi="Arial"/>
          <w:sz w:val="18"/>
          <w:szCs w:val="18"/>
          <w:color w:val="auto"/>
        </w:rPr>
      </w:pPr>
    </w:p>
    <w:p>
      <w:pPr>
        <w:jc w:val="both"/>
        <w:ind w:left="1080" w:hanging="327"/>
        <w:spacing w:after="0" w:line="276" w:lineRule="auto"/>
        <w:tabs>
          <w:tab w:leader="none" w:pos="1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I have not suffered any job-related wrongs or injuries, such as any type of discrimination, for which I might still be entitled to compensation or relief in the future. I have properly reported any and all job-related wrongs or injuries for which I might still be entitled to compensation or relief, such as an injury for which I might receive a workers’ compensation award in the future. I have properly reported all hours that I have worked and I have been paid all wages, overtime, commissions, compensation, benefits, and other amounts that the Company or any Released Party should have paid me in the past.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341630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580" w:right="239" w:bottom="1440" w:gutter="0" w:footer="0" w:header="0"/>
        </w:sectPr>
      </w:pPr>
    </w:p>
    <w:bookmarkStart w:id="64" w:name="page65"/>
    <w:bookmarkEnd w:id="64"/>
    <w:p>
      <w:pPr>
        <w:ind w:left="2280" w:hanging="327"/>
        <w:spacing w:after="0"/>
        <w:tabs>
          <w:tab w:leader="none" w:pos="2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Agreement is not an admission of wrongdoing by the Company or any other Released Party.</w:t>
      </w:r>
    </w:p>
    <w:p>
      <w:pPr>
        <w:spacing w:after="0" w:line="225" w:lineRule="exact"/>
        <w:rPr>
          <w:rFonts w:ascii="Arial" w:cs="Arial" w:eastAsia="Arial" w:hAnsi="Arial"/>
          <w:sz w:val="18"/>
          <w:szCs w:val="18"/>
          <w:color w:val="auto"/>
        </w:rPr>
      </w:pPr>
    </w:p>
    <w:p>
      <w:pPr>
        <w:ind w:left="2280" w:hanging="327"/>
        <w:spacing w:after="0"/>
        <w:tabs>
          <w:tab w:leader="none" w:pos="22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I am intentionally releasing claims that I do not know I might have and that, with hindsight, I might regret having released.</w:t>
      </w:r>
    </w:p>
    <w:p>
      <w:pPr>
        <w:spacing w:after="0" w:line="236" w:lineRule="exact"/>
        <w:rPr>
          <w:rFonts w:ascii="Arial" w:cs="Arial" w:eastAsia="Arial" w:hAnsi="Arial"/>
          <w:sz w:val="17"/>
          <w:szCs w:val="17"/>
          <w:color w:val="auto"/>
        </w:rPr>
      </w:pPr>
    </w:p>
    <w:p>
      <w:pPr>
        <w:ind w:left="2280" w:hanging="327"/>
        <w:spacing w:after="0" w:line="277" w:lineRule="auto"/>
        <w:tabs>
          <w:tab w:leader="none" w:pos="2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Company or I successfully assert that any provision in this Release is void, the rest of the Agreement shall remain valid and enforceable.</w:t>
      </w:r>
    </w:p>
    <w:p>
      <w:pPr>
        <w:spacing w:after="0" w:line="166" w:lineRule="exact"/>
        <w:rPr>
          <w:rFonts w:ascii="Arial" w:cs="Arial" w:eastAsia="Arial" w:hAnsi="Arial"/>
          <w:sz w:val="18"/>
          <w:szCs w:val="18"/>
          <w:color w:val="auto"/>
        </w:rPr>
      </w:pPr>
    </w:p>
    <w:p>
      <w:pPr>
        <w:jc w:val="both"/>
        <w:ind w:firstLine="1305"/>
        <w:spacing w:after="0" w:line="256" w:lineRule="auto"/>
        <w:tabs>
          <w:tab w:leader="none" w:pos="1819"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False Claims Representations and Promises</w:t>
      </w:r>
      <w:r>
        <w:rPr>
          <w:rFonts w:ascii="Arial" w:cs="Arial" w:eastAsia="Arial" w:hAnsi="Arial"/>
          <w:sz w:val="18"/>
          <w:szCs w:val="18"/>
          <w:color w:val="auto"/>
        </w:rPr>
        <w:t>: I have disclosed to the Company any information I have concerning any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the Company or any affiliate that I have any reason to believe may be unlawful or that involves any false claims to the United States. I promise to cooperate fully in any investigation the Company or any affiliate undertakes into matters occurring during my employment with the Company or any affiliate. I understand that nothing in this Agreement prevents me from cooperating with any U.S. government investigation. In addition, to the fullest extent permitted by law, I hereby irrevocably assign to the U.S. government any right I might have to any proceeds or awards in connection with any false claims proceedings against the Company or any affiliate.</w:t>
      </w:r>
    </w:p>
    <w:p>
      <w:pPr>
        <w:spacing w:after="0" w:line="187" w:lineRule="exact"/>
        <w:rPr>
          <w:rFonts w:ascii="Arial" w:cs="Arial" w:eastAsia="Arial" w:hAnsi="Arial"/>
          <w:sz w:val="18"/>
          <w:szCs w:val="18"/>
          <w:color w:val="auto"/>
        </w:rPr>
      </w:pPr>
    </w:p>
    <w:p>
      <w:pPr>
        <w:jc w:val="both"/>
        <w:ind w:firstLine="1305"/>
        <w:spacing w:after="0" w:line="258" w:lineRule="auto"/>
        <w:tabs>
          <w:tab w:leader="none" w:pos="195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Cooperation Required</w:t>
      </w:r>
      <w:r>
        <w:rPr>
          <w:rFonts w:ascii="Arial" w:cs="Arial" w:eastAsia="Arial" w:hAnsi="Arial"/>
          <w:sz w:val="18"/>
          <w:szCs w:val="18"/>
          <w:color w:val="auto"/>
        </w:rPr>
        <w:t>: I agree that when requested by the Company, I will promptly and fully respond to all inquiries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affiliate and its representatives relating to any lawsuit in which I am identified as having factual information needed by the Company. To the extent I incur reasonable out-of-pocket expenses (such as postage costs or telephone charges) in assisting the Company or any affiliate at its request, the Company will mail me a reimbursement check for those expenses within 15 days after it receives my request for payment, along with satisfactory written substantiation of the claimed expenses.</w:t>
      </w:r>
    </w:p>
    <w:p>
      <w:pPr>
        <w:spacing w:after="0" w:line="183" w:lineRule="exact"/>
        <w:rPr>
          <w:rFonts w:ascii="Arial" w:cs="Arial" w:eastAsia="Arial" w:hAnsi="Arial"/>
          <w:sz w:val="18"/>
          <w:szCs w:val="18"/>
          <w:color w:val="auto"/>
        </w:rPr>
      </w:pPr>
    </w:p>
    <w:p>
      <w:pPr>
        <w:ind w:firstLine="1305"/>
        <w:spacing w:after="0" w:line="282" w:lineRule="auto"/>
        <w:tabs>
          <w:tab w:leader="none" w:pos="1912"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Disclosure</w:t>
      </w:r>
      <w:r>
        <w:rPr>
          <w:rFonts w:ascii="Arial" w:cs="Arial" w:eastAsia="Arial" w:hAnsi="Arial"/>
          <w:sz w:val="18"/>
          <w:szCs w:val="18"/>
          <w:color w:val="auto"/>
        </w:rPr>
        <w:t>: Nothing herein shall prevent the Company or the Executive from disclosing the terms of this Agreement if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under applicable law or by a court of competent jurisdiction.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4 -- </w:t>
      </w:r>
      <w:r>
        <w:rPr>
          <w:rFonts w:ascii="Arial" w:cs="Arial" w:eastAsia="Arial" w:hAnsi="Arial"/>
          <w:sz w:val="18"/>
          <w:szCs w:val="18"/>
          <w:b w:val="1"/>
          <w:bCs w:val="1"/>
          <w:u w:val="single" w:color="auto"/>
          <w:color w:val="auto"/>
        </w:rPr>
        <w:t>Consequences of Violating Promises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 agree that the Company would be irreparably harmed by any actual or threatened violation of Section 3 that involves disclosure or use of confidential information, proprietary information, or trade secrets, and that the Company will be entitled to an injunction prohibiting me from committing any such violation.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5 -- </w:t>
      </w:r>
      <w:r>
        <w:rPr>
          <w:rFonts w:ascii="Arial" w:cs="Arial" w:eastAsia="Arial" w:hAnsi="Arial"/>
          <w:sz w:val="18"/>
          <w:szCs w:val="18"/>
          <w:b w:val="1"/>
          <w:bCs w:val="1"/>
          <w:u w:val="single" w:color="auto"/>
          <w:color w:val="auto"/>
        </w:rPr>
        <w:t>Consideration of Agreement</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I acknowledge that, before signing this Agreement, I was given at least 21 days in which to consider this Agreement. I waive any right I might have to additional time within which to consider this Agreement. I further acknowledge that: (1) I took advantage of the time I was given to consider this Agreement before signing it; (2) I carefully read this Agreement; (3) I fully understand it; (4) I am entering into it voluntarily; (5) I am receiving valuable consideration in exchange for my execution of this Agreement that I would not otherwise be entitled to receive; (6) the Company, by this writing, encouraged me to discuss this Agreement with my attorney (at my own expense) before signing it, and that I did so to the extent I deemed appropriate; and (7) any changes made to this Agreement, whether material or immaterial, will not restart the 21 day consideration period. I understand that I am entitled to revoke this Agreement, in writing, within 7 days once I sign it. Such revocation must be delivered to the Company as provided herein within the 7 day period, in which case I will receive no benefits and this Agreement will not go into effect. If I do not revoke this Agreement, it will become enforceable on the eighth day after I sign it. The Company need not sign this Agreement for it to become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left="1300"/>
        <w:spacing w:after="0"/>
        <w:rPr>
          <w:sz w:val="20"/>
          <w:szCs w:val="20"/>
          <w:color w:val="auto"/>
        </w:rPr>
      </w:pPr>
      <w:r>
        <w:rPr>
          <w:rFonts w:ascii="Arial" w:cs="Arial" w:eastAsia="Arial" w:hAnsi="Arial"/>
          <w:sz w:val="18"/>
          <w:szCs w:val="18"/>
          <w:b w:val="1"/>
          <w:bCs w:val="1"/>
          <w:color w:val="auto"/>
        </w:rPr>
        <w:t xml:space="preserve">Section 6 -- </w:t>
      </w: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firstLine="1305"/>
        <w:spacing w:after="0" w:line="295" w:lineRule="auto"/>
        <w:tabs>
          <w:tab w:leader="none" w:pos="1901"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In addition to any Company or Company affiliate agreement or policy relating to the confidentiality of</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Information, inventions, or similar matters referenced in Section 3 above, this Agreement is the entire agreement between me and the Company relating to my termination of employment or the subject matter of this Agreement. This Agreement may not be modified or canceled in any manner, nor may any provision of it or any legal remedy with respect to it be waived, except by a writing signed by both me and an authorized Company official. I acknowledge that the Company has made no representations or promises to me (such as that my former position will remain vacant), other than those in or referred to by this Agreement. If any provision in this Agreement is found to be unenforceable, all other provisions will remain fully enforceable.</w:t>
      </w:r>
    </w:p>
    <w:p>
      <w:pPr>
        <w:spacing w:after="0" w:line="155" w:lineRule="exact"/>
        <w:rPr>
          <w:rFonts w:ascii="Arial" w:cs="Arial" w:eastAsia="Arial" w:hAnsi="Arial"/>
          <w:sz w:val="16"/>
          <w:szCs w:val="16"/>
          <w:color w:val="auto"/>
        </w:rPr>
      </w:pPr>
    </w:p>
    <w:p>
      <w:pPr>
        <w:ind w:firstLine="1305"/>
        <w:spacing w:after="0" w:line="282" w:lineRule="auto"/>
        <w:tabs>
          <w:tab w:leader="none" w:pos="1758"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Successors</w:t>
      </w:r>
      <w:r>
        <w:rPr>
          <w:rFonts w:ascii="Arial" w:cs="Arial" w:eastAsia="Arial" w:hAnsi="Arial"/>
          <w:sz w:val="18"/>
          <w:szCs w:val="18"/>
          <w:color w:val="auto"/>
        </w:rPr>
        <w:t>: This Agreement binds my heirs, administrators, representatives, executors, successors, and assigns, and will inure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all Released Parties and their respective heirs, administrators, representatives, executors, successors, and assigns.</w:t>
      </w:r>
    </w:p>
    <w:p>
      <w:pPr>
        <w:spacing w:after="0" w:line="161" w:lineRule="exact"/>
        <w:rPr>
          <w:rFonts w:ascii="Arial" w:cs="Arial" w:eastAsia="Arial" w:hAnsi="Arial"/>
          <w:sz w:val="18"/>
          <w:szCs w:val="18"/>
          <w:color w:val="auto"/>
        </w:rPr>
      </w:pPr>
    </w:p>
    <w:p>
      <w:pPr>
        <w:jc w:val="both"/>
        <w:ind w:firstLine="1305"/>
        <w:spacing w:after="0" w:line="261" w:lineRule="auto"/>
        <w:tabs>
          <w:tab w:leader="none" w:pos="176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This Agreement shall be construed as a whole according to its fair meaning. It shall not be construed strictly for or</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me or any Released Party.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7 -- </w:t>
      </w:r>
      <w:r>
        <w:rPr>
          <w:rFonts w:ascii="Arial" w:cs="Arial" w:eastAsia="Arial" w:hAnsi="Arial"/>
          <w:sz w:val="18"/>
          <w:szCs w:val="18"/>
          <w:b w:val="1"/>
          <w:bCs w:val="1"/>
          <w:u w:val="single" w:color="auto"/>
          <w:color w:val="auto"/>
        </w:rPr>
        <w:t>Arbitration of Disputes</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Company and I agree to resolve any disputes we may have with each other through final, binding and confidential arbitration consistent with applicable law. For example, I am agreeing to arbitrate any dispute about the validity of this Agreement or any discrimination claim. I also agree to resolve through final, binding and confidential arbitration any disputes I have with any other Released Party who elects to arbitrate those disputes under this subsection. Arbitration shall be conducted by the American Arbitration Association in accordance with its employment dispute resolution rules which can be found at www.adr.org/employment, and consistent with state law. A neutral arbitrator will preside over the arbitration and issue a written decision subject to limited judicial review. The decision shall remain confidential between the parties and shall not be published by the arbitrator or the AAA. All remedies available under law will be available in the Arbitration. The Arbitration proceedings will allow for adequate discovery. Commencement of the Arbitration will be at a minimal cost to me. This agreement to arbitrate does not apply to government agency proceedings. By agreeing to this Agreement, I understand that I am waiving my right to a jury trial.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65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65350"/>
                    </a:xfrm>
                    <a:prstGeom prst="rect">
                      <a:avLst/>
                    </a:prstGeom>
                    <a:noFill/>
                  </pic:spPr>
                </pic:pic>
              </a:graphicData>
            </a:graphic>
          </wp:anchor>
        </w:drawing>
        <w:t>YOU MAY NOT MAKE ANY CHANGES TO THE TERMS OF THIS AGREEMENT.</w:t>
      </w:r>
    </w:p>
    <w:p>
      <w:pPr>
        <w:spacing w:after="0" w:line="225" w:lineRule="exact"/>
        <w:rPr>
          <w:sz w:val="20"/>
          <w:szCs w:val="20"/>
          <w:color w:val="auto"/>
        </w:rPr>
      </w:pPr>
    </w:p>
    <w:p>
      <w:pPr>
        <w:jc w:val="both"/>
        <w:ind w:left="80"/>
        <w:spacing w:after="0" w:line="266" w:lineRule="auto"/>
        <w:rPr>
          <w:sz w:val="20"/>
          <w:szCs w:val="20"/>
          <w:color w:val="auto"/>
        </w:rPr>
      </w:pPr>
      <w:r>
        <w:rPr>
          <w:rFonts w:ascii="Arial" w:cs="Arial" w:eastAsia="Arial" w:hAnsi="Arial"/>
          <w:sz w:val="18"/>
          <w:szCs w:val="18"/>
          <w:b w:val="1"/>
          <w:bCs w:val="1"/>
          <w:color w:val="auto"/>
        </w:rPr>
        <w:t>BEFORE SIGNING THIS AGREEMENT, TAKE IT HOME, READ IT, AND CAREFULLY CONSIDER IT. IF YOU CHOOSE, DISCUSS IT WITH YOUR ATTORNEY (AT YOUR OWN EXPENSE). YOU HAVE 21 DAYS TO CONSIDER THIS AGREEMENT. IF YOU DO NOT SIGN AND RETURN THIS AGREEMENT WITHIN THIS 21-DAY PERIOD, IT AUTOMATICALLY EXPIRES.</w:t>
      </w:r>
    </w:p>
    <w:p>
      <w:pPr>
        <w:spacing w:after="0" w:line="176" w:lineRule="exact"/>
        <w:rPr>
          <w:sz w:val="20"/>
          <w:szCs w:val="20"/>
          <w:color w:val="auto"/>
        </w:rPr>
      </w:pPr>
    </w:p>
    <w:p>
      <w:pPr>
        <w:jc w:val="both"/>
        <w:ind w:left="80"/>
        <w:spacing w:after="0" w:line="282" w:lineRule="auto"/>
        <w:rPr>
          <w:sz w:val="20"/>
          <w:szCs w:val="20"/>
          <w:color w:val="auto"/>
        </w:rPr>
      </w:pPr>
      <w:r>
        <w:rPr>
          <w:rFonts w:ascii="Arial" w:cs="Arial" w:eastAsia="Arial" w:hAnsi="Arial"/>
          <w:sz w:val="18"/>
          <w:szCs w:val="18"/>
          <w:b w:val="1"/>
          <w:bCs w:val="1"/>
          <w:color w:val="auto"/>
        </w:rPr>
        <w:t>ONCE YOU SIGN THIS AGREEMENT, YOU WILL HAVE AN ADDITIONAL 7 DAYS TO REVOKE IT. IF YOU CHOOSE TO REVOKE THIS AGREEMENT, YOU MUST DELIVER A WRITTEN NOTICE OF REVOCATION TO:</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RACHEL STERN, GENERAL COUNSEL</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FACTSET RESEARCH SYSTEMS INC.</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601 MERRITT 7, NORWALK, CT 06851</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BY SIGNING THIS AGREEMENT, YOU WILL BE WAIVING YOUR KNOWN AND UNKNOWN CLAIMS.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Executed at Norwalk, Connecticut, this 5th day of July, 2018, and signed under penalty of perjury under the laws of the state of Connecticut.</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Edward Baker-Greene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-10160</wp:posOffset>
            </wp:positionV>
            <wp:extent cx="21590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0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Edward Baker-Greene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-10160</wp:posOffset>
            </wp:positionV>
            <wp:extent cx="21653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65350"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Executed at Norwalk, Connecticut, this 5th day of July, 2018.</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FactSet Research Systems Inc.</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-10160</wp:posOffset>
            </wp:positionV>
            <wp:extent cx="2210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1043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 Philip Snow, Chief Executive Officer</w:t>
      </w:r>
    </w:p>
    <w:p>
      <w:pPr>
        <w:sectPr>
          <w:pgSz w:w="11900" w:h="16838" w:orient="portrait"/>
          <w:cols w:equalWidth="0" w:num="1">
            <w:col w:w="11340"/>
          </w:cols>
          <w:pgMar w:left="240" w:top="661" w:right="3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 Philip Snow, certify that:</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2018</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F. PHILIP SNOW</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-130810</wp:posOffset>
            </wp:positionV>
            <wp:extent cx="22809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Maurizio Nicolelli, certify that:</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FactSet Research Systems Inc.;</w:t>
      </w:r>
    </w:p>
    <w:p>
      <w:pPr>
        <w:spacing w:after="0" w:line="225"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44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8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any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10, 2018</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MAURIZIO NICOLELLI</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Senior Vice President, Chief Financial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260" w:right="266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80"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2018, as filed with the Securities and Exchange Commission on the date hereof (the “Report”), I, F. Philip Snow,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F. PHILIP SNOW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809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In connection with the Quarterly Report of FactSet Research Systems Inc. (the “Company”) on Form 10-Q for the quarter ended May 31, 2018, as filed with the Securities and Exchange Commission on the date hereof (the “Report”), I, Maurizio Nicolelli, do hereby certify, pursuant to 18 U.S.C. §1350, as adopted pursuant to §906 of the Sarbanes-Oxley Act of 2002, that:</w:t>
      </w:r>
    </w:p>
    <w:p>
      <w:pPr>
        <w:spacing w:after="0" w:line="181" w:lineRule="exact"/>
        <w:rPr>
          <w:sz w:val="20"/>
          <w:szCs w:val="20"/>
          <w:color w:val="auto"/>
        </w:rPr>
      </w:pPr>
    </w:p>
    <w:p>
      <w:pPr>
        <w:ind w:left="700" w:hanging="251"/>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MAURIZIO NICOLELLI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1045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10,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5"/>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2"/>
    </w:lvl>
  </w:abstractNum>
  <w:abstractNum w:abstractNumId="9">
    <w:nsid w:val="2CA88611"/>
    <w:multiLevelType w:val="hybridMultilevel"/>
    <w:lvl w:ilvl="0">
      <w:lvlJc w:val="left"/>
      <w:lvlText w:val="%1."/>
      <w:numFmt w:val="decimal"/>
      <w:start w:val="8"/>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2"/>
    </w:lvl>
  </w:abstractNum>
  <w:abstractNum w:abstractNumId="12">
    <w:nsid w:val="3A95F874"/>
    <w:multiLevelType w:val="hybridMultilevel"/>
    <w:lvl w:ilvl="0">
      <w:lvlJc w:val="left"/>
      <w:lvlText w:val="%1."/>
      <w:numFmt w:val="decimal"/>
      <w:start w:val="13"/>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lowerRoman"/>
      <w:start w:val="3"/>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5"/>
    </w:lvl>
    <w:lvl w:ilvl="1">
      <w:lvlJc w:val="left"/>
      <w:lvlText w:val="%2."/>
      <w:numFmt w:val="lowerRoman"/>
      <w:start w:val="1"/>
    </w:lvl>
  </w:abstractNum>
  <w:abstractNum w:abstractNumId="22">
    <w:nsid w:val="419AC241"/>
    <w:multiLevelType w:val="hybridMultilevel"/>
    <w:lvl w:ilvl="0">
      <w:lvlJc w:val="left"/>
      <w:lvlText w:val="(%1)"/>
      <w:numFmt w:val="lowerLetter"/>
      <w:start w:val="7"/>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4"/>
    </w:lvl>
  </w:abstractNum>
  <w:abstractNum w:abstractNumId="27">
    <w:nsid w:val="77465F01"/>
    <w:multiLevelType w:val="hybridMultilevel"/>
    <w:lvl w:ilvl="0">
      <w:lvlJc w:val="left"/>
      <w:lvlText w:val="(%1)"/>
      <w:numFmt w:val="lowerLetter"/>
      <w:start w:val="8"/>
    </w:lvl>
    <w:lvl w:ilvl="1">
      <w:lvlJc w:val="left"/>
      <w:lvlText w:val="%2."/>
      <w:numFmt w:val="lowerRoman"/>
      <w:start w:val="1"/>
    </w:lvl>
  </w:abstractNum>
  <w:abstractNum w:abstractNumId="28">
    <w:nsid w:val="7724C67E"/>
    <w:multiLevelType w:val="hybridMultilevel"/>
    <w:lvl w:ilvl="0">
      <w:lvlJc w:val="left"/>
      <w:lvlText w:val="%1"/>
      <w:numFmt w:val="lowerLetter"/>
      <w:start w:val="1"/>
    </w:lvl>
    <w:lvl w:ilvl="1">
      <w:lvlJc w:val="left"/>
      <w:lvlText w:val="%2."/>
      <w:numFmt w:val="lowerRoman"/>
      <w:start w:val="2"/>
    </w:lvl>
  </w:abstractNum>
  <w:abstractNum w:abstractNumId="29">
    <w:nsid w:val="5C482A97"/>
    <w:multiLevelType w:val="hybridMultilevel"/>
    <w:lvl w:ilvl="0">
      <w:lvlJc w:val="left"/>
      <w:lvlText w:val="(%1)"/>
      <w:numFmt w:val="lowerLetter"/>
      <w:start w:val="11"/>
    </w:lvl>
    <w:lvl w:ilvl="1">
      <w:lvlJc w:val="left"/>
      <w:lvlText w:val="%2"/>
      <w:numFmt w:val="lowerRoman"/>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5"/>
    </w:lvl>
    <w:lvl w:ilvl="1">
      <w:lvlJc w:val="left"/>
      <w:lvlText w:val="%2."/>
      <w:numFmt w:val="lowerRoman"/>
      <w:start w:val="1"/>
    </w:lvl>
  </w:abstractNum>
  <w:abstractNum w:abstractNumId="33">
    <w:nsid w:val="2D517796"/>
    <w:multiLevelType w:val="hybridMultilevel"/>
    <w:lvl w:ilvl="0">
      <w:lvlJc w:val="left"/>
      <w:lvlText w:val="(%1)"/>
      <w:numFmt w:val="lowerLetter"/>
      <w:start w:val="7"/>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2"/>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4"/>
    </w:lvl>
  </w:abstractNum>
  <w:abstractNum w:abstractNumId="38">
    <w:nsid w:val="6A2342EC"/>
    <w:multiLevelType w:val="hybridMultilevel"/>
    <w:lvl w:ilvl="0">
      <w:lvlJc w:val="left"/>
      <w:lvlText w:val="(%1)"/>
      <w:numFmt w:val="lowerLetter"/>
      <w:start w:val="8"/>
    </w:lvl>
    <w:lvl w:ilvl="1">
      <w:lvlJc w:val="left"/>
      <w:lvlText w:val="%2."/>
      <w:numFmt w:val="lowerRoman"/>
      <w:start w:val="1"/>
    </w:lvl>
  </w:abstractNum>
  <w:abstractNum w:abstractNumId="39">
    <w:nsid w:val="2A487CB0"/>
    <w:multiLevelType w:val="hybridMultilevel"/>
    <w:lvl w:ilvl="0">
      <w:lvlJc w:val="left"/>
      <w:lvlText w:val="%1"/>
      <w:numFmt w:val="lowerLetter"/>
      <w:start w:val="1"/>
    </w:lvl>
    <w:lvl w:ilvl="1">
      <w:lvlJc w:val="left"/>
      <w:lvlText w:val="%2."/>
      <w:numFmt w:val="lowerRoman"/>
      <w:start w:val="2"/>
    </w:lvl>
  </w:abstractNum>
  <w:abstractNum w:abstractNumId="40">
    <w:nsid w:val="1D4ED43B"/>
    <w:multiLevelType w:val="hybridMultilevel"/>
    <w:lvl w:ilvl="0">
      <w:lvlJc w:val="left"/>
      <w:lvlText w:val="(%1)"/>
      <w:numFmt w:val="lowerLetter"/>
      <w:start w:val="11"/>
    </w:lvl>
    <w:lvl w:ilvl="1">
      <w:lvlJc w:val="left"/>
      <w:lvlText w:val="%2"/>
      <w:numFmt w:val="lowerRoman"/>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2020-01-13T17:17:26Z</dcterms:created>
  <dcterms:modified xsi:type="dcterms:W3CDTF">2020-01-13T17:17:26Z</dcterms:modified>
</cp:coreProperties>
</file>