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29"/>
          <w:szCs w:val="29"/>
          <w:color w:val="auto"/>
        </w:rPr>
        <w:t>Form 10-K</w:t>
      </w:r>
    </w:p>
    <w:p>
      <w:pPr>
        <w:spacing w:after="0" w:line="26" w:lineRule="exact"/>
        <w:rPr>
          <w:sz w:val="24"/>
          <w:szCs w:val="24"/>
          <w:color w:val="auto"/>
        </w:rPr>
      </w:pPr>
    </w:p>
    <w:p>
      <w:pPr>
        <w:ind w:left="700" w:hanging="424"/>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fiscal year ended August 31, 2022</w:t>
      </w:r>
    </w:p>
    <w:p>
      <w:pPr>
        <w:spacing w:after="0" w:line="44" w:lineRule="exact"/>
        <w:rPr>
          <w:sz w:val="24"/>
          <w:szCs w:val="24"/>
          <w:color w:val="auto"/>
        </w:rPr>
      </w:pPr>
    </w:p>
    <w:p>
      <w:pPr>
        <w:ind w:left="700" w:hanging="424"/>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-7620</wp:posOffset>
            </wp:positionV>
            <wp:extent cx="802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FACTSET RESEARCH SYSTEMS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00" w:type="dxa"/>
            <w:vAlign w:val="bottom"/>
          </w:tcPr>
          <w:p>
            <w:pPr>
              <w:spacing w:after="0"/>
              <w:rPr>
                <w:sz w:val="20"/>
                <w:szCs w:val="20"/>
                <w:color w:val="auto"/>
              </w:rPr>
            </w:pPr>
          </w:p>
        </w:tc>
        <w:tc>
          <w:tcPr>
            <w:tcW w:w="4400" w:type="dxa"/>
            <w:vAlign w:val="bottom"/>
          </w:tcPr>
          <w:p>
            <w:pPr>
              <w:jc w:val="right"/>
              <w:ind w:right="1950"/>
              <w:spacing w:after="0"/>
              <w:rPr>
                <w:sz w:val="20"/>
                <w:szCs w:val="20"/>
                <w:color w:val="auto"/>
              </w:rPr>
            </w:pPr>
            <w:r>
              <w:rPr>
                <w:rFonts w:ascii="Times New Roman" w:cs="Times New Roman" w:eastAsia="Times New Roman" w:hAnsi="Times New Roman"/>
                <w:sz w:val="18"/>
                <w:szCs w:val="18"/>
                <w:b w:val="1"/>
                <w:bCs w:val="1"/>
                <w:color w:val="auto"/>
              </w:rPr>
              <w:t>13-3362547</w:t>
            </w:r>
          </w:p>
        </w:tc>
        <w:tc>
          <w:tcPr>
            <w:tcW w:w="0" w:type="dxa"/>
            <w:vAlign w:val="bottom"/>
          </w:tcPr>
          <w:p>
            <w:pPr>
              <w:spacing w:after="0"/>
              <w:rPr>
                <w:sz w:val="1"/>
                <w:szCs w:val="1"/>
                <w:color w:val="auto"/>
              </w:rPr>
            </w:pPr>
          </w:p>
        </w:tc>
      </w:tr>
      <w:tr>
        <w:trPr>
          <w:trHeight w:val="234"/>
        </w:trPr>
        <w:tc>
          <w:tcPr>
            <w:tcW w:w="4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100" w:type="dxa"/>
            <w:vAlign w:val="bottom"/>
          </w:tcPr>
          <w:p>
            <w:pPr>
              <w:spacing w:after="0"/>
              <w:rPr>
                <w:sz w:val="20"/>
                <w:szCs w:val="20"/>
                <w:color w:val="auto"/>
              </w:rPr>
            </w:pPr>
          </w:p>
        </w:tc>
        <w:tc>
          <w:tcPr>
            <w:tcW w:w="44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92"/>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40" w:type="dxa"/>
            <w:vAlign w:val="bottom"/>
            <w:gridSpan w:val="4"/>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 06850</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40" w:type="dxa"/>
            <w:vAlign w:val="bottom"/>
            <w:gridSpan w:val="4"/>
          </w:tcPr>
          <w:p>
            <w:pPr>
              <w:jc w:val="center"/>
              <w:ind w:right="79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40" w:type="dxa"/>
            <w:vAlign w:val="bottom"/>
            <w:gridSpan w:val="4"/>
          </w:tcPr>
          <w:p>
            <w:pPr>
              <w:jc w:val="center"/>
              <w:ind w:right="7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(203) 810-1000</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40" w:type="dxa"/>
            <w:vAlign w:val="bottom"/>
            <w:gridSpan w:val="4"/>
          </w:tcPr>
          <w:p>
            <w:pPr>
              <w:jc w:val="center"/>
              <w:ind w:right="7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Title of each class</w:t>
            </w:r>
          </w:p>
        </w:tc>
        <w:tc>
          <w:tcPr>
            <w:tcW w:w="6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98"/>
              </w:rPr>
              <w:t>Trading Symbols(s)</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620" w:type="dxa"/>
            <w:vAlign w:val="bottom"/>
          </w:tcPr>
          <w:p>
            <w:pPr>
              <w:spacing w:after="0"/>
              <w:rPr>
                <w:sz w:val="19"/>
                <w:szCs w:val="19"/>
                <w:color w:val="auto"/>
              </w:rPr>
            </w:pPr>
          </w:p>
        </w:tc>
        <w:tc>
          <w:tcPr>
            <w:tcW w:w="2100" w:type="dxa"/>
            <w:vAlign w:val="bottom"/>
            <w:tcBorders>
              <w:right w:val="single" w:sz="8" w:color="auto"/>
            </w:tcBorders>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FDS</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2"/>
        </w:trPr>
        <w:tc>
          <w:tcPr>
            <w:tcW w:w="300" w:type="dxa"/>
            <w:vAlign w:val="bottom"/>
            <w:tcBorders>
              <w:right w:val="single" w:sz="8" w:color="auto"/>
            </w:tcBorders>
          </w:tcPr>
          <w:p>
            <w:pPr>
              <w:spacing w:after="0"/>
              <w:rPr>
                <w:sz w:val="8"/>
                <w:szCs w:val="8"/>
                <w:color w:val="auto"/>
              </w:rPr>
            </w:pPr>
          </w:p>
        </w:tc>
        <w:tc>
          <w:tcPr>
            <w:tcW w:w="3560" w:type="dxa"/>
            <w:vAlign w:val="bottom"/>
            <w:tcBorders>
              <w:right w:val="single" w:sz="8" w:color="auto"/>
            </w:tcBorders>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100" w:type="dxa"/>
            <w:vAlign w:val="bottom"/>
            <w:tcBorders>
              <w:right w:val="single" w:sz="8" w:color="auto"/>
            </w:tcBorders>
            <w:vMerge w:val="continue"/>
          </w:tcPr>
          <w:p>
            <w:pPr>
              <w:spacing w:after="0"/>
              <w:rPr>
                <w:sz w:val="8"/>
                <w:szCs w:val="8"/>
                <w:color w:val="auto"/>
              </w:rPr>
            </w:pPr>
          </w:p>
        </w:tc>
        <w:tc>
          <w:tcPr>
            <w:tcW w:w="4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21"/>
        </w:trPr>
        <w:tc>
          <w:tcPr>
            <w:tcW w:w="300" w:type="dxa"/>
            <w:vAlign w:val="bottom"/>
            <w:tcBorders>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44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40" w:type="dxa"/>
            <w:vAlign w:val="bottom"/>
            <w:gridSpan w:val="4"/>
          </w:tcPr>
          <w:p>
            <w:pPr>
              <w:jc w:val="center"/>
              <w:ind w:right="7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0" w:type="dxa"/>
            <w:vAlign w:val="bottom"/>
          </w:tcPr>
          <w:p>
            <w:pPr>
              <w:spacing w:after="0"/>
              <w:rPr>
                <w:sz w:val="1"/>
                <w:szCs w:val="1"/>
                <w:color w:val="auto"/>
              </w:rPr>
            </w:pPr>
          </w:p>
        </w:tc>
      </w:tr>
      <w:tr>
        <w:trPr>
          <w:trHeight w:val="215"/>
        </w:trPr>
        <w:tc>
          <w:tcPr>
            <w:tcW w:w="10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x</w:t>
            </w:r>
          </w:p>
        </w:tc>
        <w:tc>
          <w:tcPr>
            <w:tcW w:w="3340" w:type="dxa"/>
            <w:vAlign w:val="bottom"/>
            <w:gridSpan w:val="2"/>
          </w:tcPr>
          <w:p>
            <w:pPr>
              <w:jc w:val="right"/>
              <w:ind w:right="2880"/>
              <w:spacing w:after="0"/>
              <w:rPr>
                <w:sz w:val="20"/>
                <w:szCs w:val="20"/>
                <w:color w:val="auto"/>
              </w:rPr>
            </w:pPr>
            <w:r>
              <w:rPr>
                <w:rFonts w:ascii="Times New Roman" w:cs="Times New Roman" w:eastAsia="Times New Roman" w:hAnsi="Times New Roman"/>
                <w:sz w:val="18"/>
                <w:szCs w:val="18"/>
                <w:color w:val="auto"/>
              </w:rPr>
              <w:t xml:space="preserve">No </w:t>
            </w:r>
            <w:r>
              <w:rPr>
                <w:rFonts w:ascii="Arial" w:cs="Arial" w:eastAsia="Arial" w:hAnsi="Arial"/>
                <w:sz w:val="18"/>
                <w:szCs w:val="18"/>
                <w:color w:val="auto"/>
              </w:rPr>
              <w:t>o</w:t>
            </w:r>
          </w:p>
        </w:tc>
        <w:tc>
          <w:tcPr>
            <w:tcW w:w="2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o</w:t>
            </w:r>
          </w:p>
        </w:tc>
        <w:tc>
          <w:tcPr>
            <w:tcW w:w="3340" w:type="dxa"/>
            <w:vAlign w:val="bottom"/>
            <w:gridSpan w:val="2"/>
          </w:tcPr>
          <w:p>
            <w:pPr>
              <w:jc w:val="right"/>
              <w:ind w:right="2880"/>
              <w:spacing w:after="0"/>
              <w:rPr>
                <w:sz w:val="20"/>
                <w:szCs w:val="20"/>
                <w:color w:val="auto"/>
              </w:rPr>
            </w:pPr>
            <w:r>
              <w:rPr>
                <w:rFonts w:ascii="Times New Roman" w:cs="Times New Roman" w:eastAsia="Times New Roman" w:hAnsi="Times New Roman"/>
                <w:sz w:val="18"/>
                <w:szCs w:val="18"/>
                <w:color w:val="auto"/>
              </w:rPr>
              <w:t xml:space="preserve">No </w:t>
            </w:r>
            <w:r>
              <w:rPr>
                <w:rFonts w:ascii="Arial" w:cs="Arial" w:eastAsia="Arial" w:hAnsi="Arial"/>
                <w:sz w:val="18"/>
                <w:szCs w:val="18"/>
                <w:color w:val="auto"/>
              </w:rPr>
              <w:t>x</w:t>
            </w:r>
          </w:p>
        </w:tc>
        <w:tc>
          <w:tcPr>
            <w:tcW w:w="2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jc w:val="both"/>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Accelerated filer</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5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color w:val="auto"/>
        </w:rPr>
        <w:t>o</w:t>
      </w:r>
    </w:p>
    <w:p>
      <w:pPr>
        <w:spacing w:after="0" w:line="1"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 w:lineRule="exact"/>
        <w:rPr>
          <w:sz w:val="24"/>
          <w:szCs w:val="24"/>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issued its audit report.</w:t>
      </w:r>
      <w:r>
        <w:rPr>
          <w:sz w:val="20"/>
          <w:szCs w:val="20"/>
          <w:color w:val="auto"/>
        </w:rPr>
        <w:tab/>
      </w:r>
      <w:r>
        <w:rPr>
          <w:rFonts w:ascii="Arial" w:cs="Arial" w:eastAsia="Arial" w:hAnsi="Arial"/>
          <w:sz w:val="16"/>
          <w:szCs w:val="16"/>
          <w:color w:val="auto"/>
        </w:rPr>
        <w:t>x</w:t>
      </w:r>
    </w:p>
    <w:p>
      <w:pPr>
        <w:spacing w:after="0" w:line="9" w:lineRule="exact"/>
        <w:rPr>
          <w:sz w:val="24"/>
          <w:szCs w:val="24"/>
          <w:color w:val="auto"/>
        </w:rPr>
      </w:pPr>
    </w:p>
    <w:p>
      <w:pPr>
        <w:spacing w:after="0"/>
        <w:tabs>
          <w:tab w:leader="none" w:pos="7680" w:val="left"/>
          <w:tab w:leader="none" w:pos="82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o</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x</w:t>
      </w:r>
    </w:p>
    <w:p>
      <w:pPr>
        <w:spacing w:after="0" w:line="11"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based upon the closing price of a share of the registrant’s common stock on February 28, 2022, the last business day of the registrant’s most recently completed second fiscal quarter, as reported by the New York Stock Exchange on that date, was $15,374,820,800.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10, 2022, there were 38,079,436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Certain information required by Part III of this Annual Report on Form 10-K is incorporated by reference to our definitive Proxy Statement for our 2022 Annual Meeting of Stockholders, which will be filed with the Securities and Exchange Commission not later than 120 days after August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FACTSET RESEARCH SYSTEMS INC.</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10-K</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 The Fiscal Year Ended August 31, 2022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BFE4FF"/>
          </w:tcPr>
          <w:p>
            <w:pPr>
              <w:spacing w:after="0"/>
              <w:rPr>
                <w:sz w:val="18"/>
                <w:szCs w:val="18"/>
                <w:color w:val="auto"/>
              </w:rPr>
            </w:pPr>
          </w:p>
        </w:tc>
        <w:tc>
          <w:tcPr>
            <w:tcW w:w="3240" w:type="dxa"/>
            <w:vAlign w:val="bottom"/>
            <w:gridSpan w:val="11"/>
            <w:shd w:val="clear" w:color="auto" w:fill="BFE4FF"/>
          </w:tcPr>
          <w:p>
            <w:pPr>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8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60" w:type="dxa"/>
            <w:vAlign w:val="bottom"/>
            <w:tcBorders>
              <w:top w:val="single" w:sz="8" w:color="BFE4FF"/>
            </w:tcBorders>
          </w:tcPr>
          <w:p>
            <w:pPr>
              <w:spacing w:after="0"/>
              <w:rPr>
                <w:sz w:val="16"/>
                <w:szCs w:val="16"/>
                <w:color w:val="auto"/>
              </w:rPr>
            </w:pPr>
          </w:p>
        </w:tc>
        <w:tc>
          <w:tcPr>
            <w:tcW w:w="60" w:type="dxa"/>
            <w:vAlign w:val="bottom"/>
            <w:tcBorders>
              <w:top w:val="single" w:sz="8" w:color="BFE4FF"/>
            </w:tcBorders>
          </w:tcPr>
          <w:p>
            <w:pPr>
              <w:spacing w:after="0"/>
              <w:rPr>
                <w:sz w:val="16"/>
                <w:szCs w:val="16"/>
                <w:color w:val="auto"/>
              </w:rPr>
            </w:pPr>
          </w:p>
        </w:tc>
        <w:tc>
          <w:tcPr>
            <w:tcW w:w="20" w:type="dxa"/>
            <w:vAlign w:val="bottom"/>
            <w:tcBorders>
              <w:top w:val="single" w:sz="8" w:color="BFE4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160" w:type="dxa"/>
            <w:vAlign w:val="bottom"/>
            <w:tcBorders>
              <w:top w:val="single" w:sz="8" w:color="BFE4FF"/>
            </w:tcBorders>
          </w:tcPr>
          <w:p>
            <w:pPr>
              <w:spacing w:after="0"/>
              <w:rPr>
                <w:sz w:val="16"/>
                <w:szCs w:val="16"/>
                <w:color w:val="auto"/>
              </w:rPr>
            </w:pPr>
          </w:p>
        </w:tc>
        <w:tc>
          <w:tcPr>
            <w:tcW w:w="1980" w:type="dxa"/>
            <w:vAlign w:val="bottom"/>
            <w:tcBorders>
              <w:top w:val="single" w:sz="8" w:color="BFE4FF"/>
            </w:tcBorders>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00" w:type="dxa"/>
            <w:vAlign w:val="bottom"/>
            <w:tcBorders>
              <w:top w:val="single" w:sz="8" w:color="BFE4FF"/>
            </w:tcBorders>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720" w:type="dxa"/>
            <w:vAlign w:val="bottom"/>
            <w:tcBorders>
              <w:top w:val="single" w:sz="8" w:color="BFE4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1B.</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1540" w:type="dxa"/>
            <w:vAlign w:val="bottom"/>
            <w:tcBorders>
              <w:top w:val="single" w:sz="8" w:color="BFE4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620" w:type="dxa"/>
            <w:vAlign w:val="bottom"/>
            <w:tcBorders>
              <w:top w:val="single" w:sz="8" w:color="0000FF"/>
            </w:tcBorders>
          </w:tcPr>
          <w:p>
            <w:pPr>
              <w:spacing w:after="0"/>
              <w:rPr>
                <w:sz w:val="16"/>
                <w:szCs w:val="16"/>
                <w:color w:val="auto"/>
              </w:rPr>
            </w:pPr>
          </w:p>
        </w:tc>
        <w:tc>
          <w:tcPr>
            <w:tcW w:w="1080" w:type="dxa"/>
            <w:vAlign w:val="bottom"/>
            <w:tcBorders>
              <w:top w:val="single" w:sz="8" w:color="BFE4FF"/>
            </w:tcBorders>
            <w:gridSpan w:val="3"/>
          </w:tcPr>
          <w:p>
            <w:pPr>
              <w:spacing w:after="0"/>
              <w:rPr>
                <w:sz w:val="16"/>
                <w:szCs w:val="16"/>
                <w:color w:val="auto"/>
              </w:rPr>
            </w:pPr>
          </w:p>
        </w:tc>
        <w:tc>
          <w:tcPr>
            <w:tcW w:w="80" w:type="dxa"/>
            <w:vAlign w:val="bottom"/>
            <w:tcBorders>
              <w:top w:val="single" w:sz="8" w:color="BFE4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BFE4FF"/>
            </w:tcBorders>
          </w:tcPr>
          <w:p>
            <w:pPr>
              <w:spacing w:after="0"/>
              <w:rPr>
                <w:sz w:val="16"/>
                <w:szCs w:val="16"/>
                <w:color w:val="auto"/>
              </w:rPr>
            </w:pPr>
          </w:p>
        </w:tc>
        <w:tc>
          <w:tcPr>
            <w:tcW w:w="240" w:type="dxa"/>
            <w:vAlign w:val="bottom"/>
            <w:tcBorders>
              <w:top w:val="single" w:sz="8" w:color="BFE4FF"/>
            </w:tcBorders>
          </w:tcPr>
          <w:p>
            <w:pPr>
              <w:spacing w:after="0"/>
              <w:rPr>
                <w:sz w:val="16"/>
                <w:szCs w:val="16"/>
                <w:color w:val="auto"/>
              </w:rPr>
            </w:pPr>
          </w:p>
        </w:tc>
        <w:tc>
          <w:tcPr>
            <w:tcW w:w="820" w:type="dxa"/>
            <w:vAlign w:val="bottom"/>
            <w:tcBorders>
              <w:top w:val="single" w:sz="8" w:color="BFE4FF"/>
            </w:tcBorders>
          </w:tcPr>
          <w:p>
            <w:pPr>
              <w:spacing w:after="0"/>
              <w:rPr>
                <w:sz w:val="16"/>
                <w:szCs w:val="16"/>
                <w:color w:val="auto"/>
              </w:rPr>
            </w:pPr>
          </w:p>
        </w:tc>
        <w:tc>
          <w:tcPr>
            <w:tcW w:w="40" w:type="dxa"/>
            <w:vAlign w:val="bottom"/>
            <w:tcBorders>
              <w:top w:val="single" w:sz="8" w:color="BFE4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760" w:type="dxa"/>
            <w:vAlign w:val="bottom"/>
            <w:tcBorders>
              <w:top w:val="single" w:sz="8" w:color="BFE4FF"/>
            </w:tcBorders>
          </w:tcPr>
          <w:p>
            <w:pPr>
              <w:spacing w:after="0"/>
              <w:rPr>
                <w:sz w:val="16"/>
                <w:szCs w:val="16"/>
                <w:color w:val="auto"/>
              </w:rPr>
            </w:pPr>
          </w:p>
        </w:tc>
        <w:tc>
          <w:tcPr>
            <w:tcW w:w="280" w:type="dxa"/>
            <w:vAlign w:val="bottom"/>
            <w:tcBorders>
              <w:top w:val="single" w:sz="8" w:color="BFE4FF"/>
            </w:tcBorders>
          </w:tcPr>
          <w:p>
            <w:pPr>
              <w:spacing w:after="0"/>
              <w:rPr>
                <w:sz w:val="16"/>
                <w:szCs w:val="16"/>
                <w:color w:val="auto"/>
              </w:rPr>
            </w:pPr>
          </w:p>
        </w:tc>
        <w:tc>
          <w:tcPr>
            <w:tcW w:w="1080" w:type="dxa"/>
            <w:vAlign w:val="bottom"/>
            <w:tcBorders>
              <w:top w:val="single" w:sz="8" w:color="BFE4FF"/>
            </w:tcBorders>
          </w:tcPr>
          <w:p>
            <w:pPr>
              <w:spacing w:after="0"/>
              <w:rPr>
                <w:sz w:val="16"/>
                <w:szCs w:val="16"/>
                <w:color w:val="auto"/>
              </w:rPr>
            </w:pPr>
          </w:p>
        </w:tc>
        <w:tc>
          <w:tcPr>
            <w:tcW w:w="1020" w:type="dxa"/>
            <w:vAlign w:val="bottom"/>
            <w:tcBorders>
              <w:top w:val="single" w:sz="8" w:color="BFE4FF"/>
            </w:tcBorders>
          </w:tcPr>
          <w:p>
            <w:pPr>
              <w:spacing w:after="0"/>
              <w:rPr>
                <w:sz w:val="16"/>
                <w:szCs w:val="16"/>
                <w:color w:val="auto"/>
              </w:rPr>
            </w:pPr>
          </w:p>
        </w:tc>
        <w:tc>
          <w:tcPr>
            <w:tcW w:w="220" w:type="dxa"/>
            <w:vAlign w:val="bottom"/>
            <w:tcBorders>
              <w:top w:val="single" w:sz="8" w:color="BFE4FF"/>
            </w:tcBorders>
          </w:tcPr>
          <w:p>
            <w:pPr>
              <w:spacing w:after="0"/>
              <w:rPr>
                <w:sz w:val="16"/>
                <w:szCs w:val="16"/>
                <w:color w:val="auto"/>
              </w:rPr>
            </w:pPr>
          </w:p>
        </w:tc>
        <w:tc>
          <w:tcPr>
            <w:tcW w:w="100" w:type="dxa"/>
            <w:vAlign w:val="bottom"/>
            <w:tcBorders>
              <w:top w:val="single" w:sz="8" w:color="BFE4FF"/>
            </w:tcBorders>
          </w:tcPr>
          <w:p>
            <w:pPr>
              <w:spacing w:after="0"/>
              <w:rPr>
                <w:sz w:val="16"/>
                <w:szCs w:val="16"/>
                <w:color w:val="auto"/>
              </w:rPr>
            </w:pPr>
          </w:p>
        </w:tc>
        <w:tc>
          <w:tcPr>
            <w:tcW w:w="340" w:type="dxa"/>
            <w:vAlign w:val="bottom"/>
            <w:tcBorders>
              <w:top w:val="single" w:sz="8" w:color="BFE4FF"/>
            </w:tcBorders>
          </w:tcPr>
          <w:p>
            <w:pPr>
              <w:spacing w:after="0"/>
              <w:rPr>
                <w:sz w:val="16"/>
                <w:szCs w:val="16"/>
                <w:color w:val="auto"/>
              </w:rPr>
            </w:pPr>
          </w:p>
        </w:tc>
        <w:tc>
          <w:tcPr>
            <w:tcW w:w="340" w:type="dxa"/>
            <w:vAlign w:val="bottom"/>
            <w:tcBorders>
              <w:top w:val="single" w:sz="8" w:color="BFE4FF"/>
            </w:tcBorders>
          </w:tcPr>
          <w:p>
            <w:pPr>
              <w:spacing w:after="0"/>
              <w:rPr>
                <w:sz w:val="16"/>
                <w:szCs w:val="16"/>
                <w:color w:val="auto"/>
              </w:rPr>
            </w:pPr>
          </w:p>
        </w:tc>
        <w:tc>
          <w:tcPr>
            <w:tcW w:w="180" w:type="dxa"/>
            <w:vAlign w:val="bottom"/>
            <w:tcBorders>
              <w:top w:val="single" w:sz="8" w:color="BFE4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BFE4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720" w:type="dxa"/>
            <w:vAlign w:val="bottom"/>
            <w:gridSpan w:val="5"/>
            <w:vMerge w:val="restart"/>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20"/>
        </w:trPr>
        <w:tc>
          <w:tcPr>
            <w:tcW w:w="20" w:type="dxa"/>
            <w:vAlign w:val="bottom"/>
            <w:shd w:val="clear" w:color="auto" w:fill="BFE4FF"/>
          </w:tcPr>
          <w:p>
            <w:pPr>
              <w:spacing w:after="0" w:line="20" w:lineRule="exact"/>
              <w:rPr>
                <w:sz w:val="1"/>
                <w:szCs w:val="1"/>
                <w:color w:val="auto"/>
              </w:rPr>
            </w:pPr>
          </w:p>
        </w:tc>
        <w:tc>
          <w:tcPr>
            <w:tcW w:w="54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420" w:type="dxa"/>
            <w:vAlign w:val="bottom"/>
            <w:shd w:val="clear" w:color="auto" w:fill="BFE4FF"/>
          </w:tcPr>
          <w:p>
            <w:pPr>
              <w:spacing w:after="0" w:line="20" w:lineRule="exact"/>
              <w:rPr>
                <w:sz w:val="1"/>
                <w:szCs w:val="1"/>
                <w:color w:val="auto"/>
              </w:rPr>
            </w:pPr>
          </w:p>
        </w:tc>
        <w:tc>
          <w:tcPr>
            <w:tcW w:w="160" w:type="dxa"/>
            <w:vAlign w:val="bottom"/>
            <w:shd w:val="clear" w:color="auto" w:fill="BFE4FF"/>
          </w:tcPr>
          <w:p>
            <w:pPr>
              <w:spacing w:after="0" w:line="20" w:lineRule="exact"/>
              <w:rPr>
                <w:sz w:val="1"/>
                <w:szCs w:val="1"/>
                <w:color w:val="auto"/>
              </w:rPr>
            </w:pPr>
          </w:p>
        </w:tc>
        <w:tc>
          <w:tcPr>
            <w:tcW w:w="280" w:type="dxa"/>
            <w:vAlign w:val="bottom"/>
            <w:shd w:val="clear" w:color="auto" w:fill="BFE4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96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BFE4FF"/>
          </w:tcPr>
          <w:p>
            <w:pPr>
              <w:spacing w:after="0" w:line="20" w:lineRule="exact"/>
              <w:rPr>
                <w:sz w:val="1"/>
                <w:szCs w:val="1"/>
                <w:color w:val="auto"/>
              </w:rPr>
            </w:pPr>
          </w:p>
        </w:tc>
        <w:tc>
          <w:tcPr>
            <w:tcW w:w="720" w:type="dxa"/>
            <w:vAlign w:val="bottom"/>
            <w:gridSpan w:val="5"/>
            <w:vMerge w:val="continue"/>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shd w:val="clear" w:color="auto" w:fill="BFE4FF"/>
          </w:tcPr>
          <w:p>
            <w:pPr>
              <w:spacing w:after="0"/>
              <w:rPr>
                <w:sz w:val="6"/>
                <w:szCs w:val="6"/>
                <w:color w:val="auto"/>
              </w:rPr>
            </w:pPr>
          </w:p>
        </w:tc>
        <w:tc>
          <w:tcPr>
            <w:tcW w:w="540" w:type="dxa"/>
            <w:vAlign w:val="bottom"/>
            <w:shd w:val="clear" w:color="auto" w:fill="BFE4FF"/>
          </w:tcPr>
          <w:p>
            <w:pPr>
              <w:spacing w:after="0"/>
              <w:rPr>
                <w:sz w:val="6"/>
                <w:szCs w:val="6"/>
                <w:color w:val="auto"/>
              </w:rPr>
            </w:pPr>
          </w:p>
        </w:tc>
        <w:tc>
          <w:tcPr>
            <w:tcW w:w="60" w:type="dxa"/>
            <w:vAlign w:val="bottom"/>
            <w:shd w:val="clear" w:color="auto" w:fill="BFE4FF"/>
          </w:tcPr>
          <w:p>
            <w:pPr>
              <w:spacing w:after="0"/>
              <w:rPr>
                <w:sz w:val="6"/>
                <w:szCs w:val="6"/>
                <w:color w:val="auto"/>
              </w:rPr>
            </w:pPr>
          </w:p>
        </w:tc>
        <w:tc>
          <w:tcPr>
            <w:tcW w:w="60" w:type="dxa"/>
            <w:vAlign w:val="bottom"/>
            <w:shd w:val="clear" w:color="auto" w:fill="BFE4FF"/>
          </w:tcPr>
          <w:p>
            <w:pPr>
              <w:spacing w:after="0"/>
              <w:rPr>
                <w:sz w:val="6"/>
                <w:szCs w:val="6"/>
                <w:color w:val="auto"/>
              </w:rPr>
            </w:pPr>
          </w:p>
        </w:tc>
        <w:tc>
          <w:tcPr>
            <w:tcW w:w="20" w:type="dxa"/>
            <w:vAlign w:val="bottom"/>
            <w:shd w:val="clear" w:color="auto" w:fill="BFE4FF"/>
          </w:tcPr>
          <w:p>
            <w:pPr>
              <w:spacing w:after="0"/>
              <w:rPr>
                <w:sz w:val="6"/>
                <w:szCs w:val="6"/>
                <w:color w:val="auto"/>
              </w:rPr>
            </w:pPr>
          </w:p>
        </w:tc>
        <w:tc>
          <w:tcPr>
            <w:tcW w:w="420" w:type="dxa"/>
            <w:vAlign w:val="bottom"/>
            <w:shd w:val="clear" w:color="auto" w:fill="BFE4FF"/>
          </w:tcPr>
          <w:p>
            <w:pPr>
              <w:spacing w:after="0"/>
              <w:rPr>
                <w:sz w:val="6"/>
                <w:szCs w:val="6"/>
                <w:color w:val="auto"/>
              </w:rPr>
            </w:pPr>
          </w:p>
        </w:tc>
        <w:tc>
          <w:tcPr>
            <w:tcW w:w="160" w:type="dxa"/>
            <w:vAlign w:val="bottom"/>
            <w:shd w:val="clear" w:color="auto" w:fill="BFE4FF"/>
          </w:tcPr>
          <w:p>
            <w:pPr>
              <w:spacing w:after="0"/>
              <w:rPr>
                <w:sz w:val="6"/>
                <w:szCs w:val="6"/>
                <w:color w:val="auto"/>
              </w:rPr>
            </w:pPr>
          </w:p>
        </w:tc>
        <w:tc>
          <w:tcPr>
            <w:tcW w:w="280" w:type="dxa"/>
            <w:vAlign w:val="bottom"/>
            <w:shd w:val="clear" w:color="auto" w:fill="BFE4FF"/>
          </w:tcPr>
          <w:p>
            <w:pPr>
              <w:spacing w:after="0"/>
              <w:rPr>
                <w:sz w:val="6"/>
                <w:szCs w:val="6"/>
                <w:color w:val="auto"/>
              </w:rPr>
            </w:pPr>
          </w:p>
        </w:tc>
        <w:tc>
          <w:tcPr>
            <w:tcW w:w="620" w:type="dxa"/>
            <w:vAlign w:val="bottom"/>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40" w:type="dxa"/>
            <w:vAlign w:val="bottom"/>
            <w:shd w:val="clear" w:color="auto" w:fill="BFE4FF"/>
          </w:tcPr>
          <w:p>
            <w:pPr>
              <w:spacing w:after="0"/>
              <w:rPr>
                <w:sz w:val="6"/>
                <w:szCs w:val="6"/>
                <w:color w:val="auto"/>
              </w:rPr>
            </w:pPr>
          </w:p>
        </w:tc>
        <w:tc>
          <w:tcPr>
            <w:tcW w:w="960" w:type="dxa"/>
            <w:vAlign w:val="bottom"/>
            <w:shd w:val="clear" w:color="auto" w:fill="BFE4FF"/>
          </w:tcPr>
          <w:p>
            <w:pPr>
              <w:spacing w:after="0"/>
              <w:rPr>
                <w:sz w:val="6"/>
                <w:szCs w:val="6"/>
                <w:color w:val="auto"/>
              </w:rPr>
            </w:pPr>
          </w:p>
        </w:tc>
        <w:tc>
          <w:tcPr>
            <w:tcW w:w="7200" w:type="dxa"/>
            <w:vAlign w:val="bottom"/>
            <w:gridSpan w:val="23"/>
            <w:vMerge w:val="restart"/>
            <w:shd w:val="clear" w:color="auto" w:fill="BFE4FF"/>
          </w:tcPr>
          <w:p>
            <w:pPr>
              <w:ind w:left="80"/>
              <w:spacing w:after="0" w:line="169" w:lineRule="exact"/>
              <w:rPr>
                <w:sz w:val="20"/>
                <w:szCs w:val="20"/>
                <w:color w:val="auto"/>
              </w:rPr>
            </w:pPr>
            <w:r>
              <w:rPr>
                <w:rFonts w:ascii="Times New Roman" w:cs="Times New Roman" w:eastAsia="Times New Roman" w:hAnsi="Times New Roman"/>
                <w:sz w:val="18"/>
                <w:szCs w:val="18"/>
                <w:color w:val="0000FF"/>
              </w:rPr>
              <w:t>Equity Securities</w:t>
            </w:r>
          </w:p>
        </w:tc>
        <w:tc>
          <w:tcPr>
            <w:tcW w:w="720" w:type="dxa"/>
            <w:vAlign w:val="bottom"/>
            <w:gridSpan w:val="5"/>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Borders>
              <w:top w:val="single" w:sz="8" w:color="BFE4FF"/>
            </w:tcBorders>
            <w:shd w:val="clear" w:color="auto" w:fill="BFE4FF"/>
          </w:tcPr>
          <w:p>
            <w:pPr>
              <w:spacing w:after="0"/>
              <w:rPr>
                <w:sz w:val="6"/>
                <w:szCs w:val="6"/>
                <w:color w:val="auto"/>
              </w:rPr>
            </w:pPr>
          </w:p>
        </w:tc>
        <w:tc>
          <w:tcPr>
            <w:tcW w:w="540" w:type="dxa"/>
            <w:vAlign w:val="bottom"/>
            <w:tcBorders>
              <w:top w:val="single" w:sz="8" w:color="BFE4FF"/>
            </w:tcBorders>
            <w:shd w:val="clear" w:color="auto" w:fill="BFE4FF"/>
          </w:tcPr>
          <w:p>
            <w:pPr>
              <w:spacing w:after="0"/>
              <w:rPr>
                <w:sz w:val="6"/>
                <w:szCs w:val="6"/>
                <w:color w:val="auto"/>
              </w:rPr>
            </w:pPr>
          </w:p>
        </w:tc>
        <w:tc>
          <w:tcPr>
            <w:tcW w:w="60" w:type="dxa"/>
            <w:vAlign w:val="bottom"/>
            <w:tcBorders>
              <w:top w:val="single" w:sz="8" w:color="BFE4FF"/>
            </w:tcBorders>
            <w:shd w:val="clear" w:color="auto" w:fill="BFE4FF"/>
          </w:tcPr>
          <w:p>
            <w:pPr>
              <w:spacing w:after="0"/>
              <w:rPr>
                <w:sz w:val="6"/>
                <w:szCs w:val="6"/>
                <w:color w:val="auto"/>
              </w:rPr>
            </w:pPr>
          </w:p>
        </w:tc>
        <w:tc>
          <w:tcPr>
            <w:tcW w:w="60" w:type="dxa"/>
            <w:vAlign w:val="bottom"/>
            <w:tcBorders>
              <w:top w:val="single" w:sz="8" w:color="BFE4FF"/>
            </w:tcBorders>
            <w:shd w:val="clear" w:color="auto" w:fill="BFE4FF"/>
          </w:tcPr>
          <w:p>
            <w:pPr>
              <w:spacing w:after="0"/>
              <w:rPr>
                <w:sz w:val="6"/>
                <w:szCs w:val="6"/>
                <w:color w:val="auto"/>
              </w:rPr>
            </w:pPr>
          </w:p>
        </w:tc>
        <w:tc>
          <w:tcPr>
            <w:tcW w:w="20" w:type="dxa"/>
            <w:vAlign w:val="bottom"/>
            <w:tcBorders>
              <w:top w:val="single" w:sz="8" w:color="BFE4FF"/>
            </w:tcBorders>
            <w:shd w:val="clear" w:color="auto" w:fill="BFE4FF"/>
          </w:tcPr>
          <w:p>
            <w:pPr>
              <w:spacing w:after="0"/>
              <w:rPr>
                <w:sz w:val="6"/>
                <w:szCs w:val="6"/>
                <w:color w:val="auto"/>
              </w:rPr>
            </w:pPr>
          </w:p>
        </w:tc>
        <w:tc>
          <w:tcPr>
            <w:tcW w:w="420" w:type="dxa"/>
            <w:vAlign w:val="bottom"/>
            <w:tcBorders>
              <w:top w:val="single" w:sz="8" w:color="BFE4FF"/>
            </w:tcBorders>
            <w:shd w:val="clear" w:color="auto" w:fill="BFE4FF"/>
          </w:tcPr>
          <w:p>
            <w:pPr>
              <w:spacing w:after="0"/>
              <w:rPr>
                <w:sz w:val="6"/>
                <w:szCs w:val="6"/>
                <w:color w:val="auto"/>
              </w:rPr>
            </w:pPr>
          </w:p>
        </w:tc>
        <w:tc>
          <w:tcPr>
            <w:tcW w:w="160" w:type="dxa"/>
            <w:vAlign w:val="bottom"/>
            <w:tcBorders>
              <w:top w:val="single" w:sz="8" w:color="BFE4FF"/>
            </w:tcBorders>
            <w:shd w:val="clear" w:color="auto" w:fill="BFE4FF"/>
          </w:tcPr>
          <w:p>
            <w:pPr>
              <w:spacing w:after="0"/>
              <w:rPr>
                <w:sz w:val="6"/>
                <w:szCs w:val="6"/>
                <w:color w:val="auto"/>
              </w:rPr>
            </w:pPr>
          </w:p>
        </w:tc>
        <w:tc>
          <w:tcPr>
            <w:tcW w:w="280" w:type="dxa"/>
            <w:vAlign w:val="bottom"/>
            <w:tcBorders>
              <w:top w:val="single" w:sz="8" w:color="BFE4FF"/>
            </w:tcBorders>
            <w:shd w:val="clear" w:color="auto" w:fill="BFE4FF"/>
          </w:tcPr>
          <w:p>
            <w:pPr>
              <w:spacing w:after="0"/>
              <w:rPr>
                <w:sz w:val="6"/>
                <w:szCs w:val="6"/>
                <w:color w:val="auto"/>
              </w:rPr>
            </w:pPr>
          </w:p>
        </w:tc>
        <w:tc>
          <w:tcPr>
            <w:tcW w:w="620" w:type="dxa"/>
            <w:vAlign w:val="bottom"/>
            <w:tcBorders>
              <w:top w:val="single" w:sz="8" w:color="BFE4FF"/>
            </w:tcBorders>
            <w:shd w:val="clear" w:color="auto" w:fill="BFE4FF"/>
          </w:tcPr>
          <w:p>
            <w:pPr>
              <w:spacing w:after="0"/>
              <w:rPr>
                <w:sz w:val="6"/>
                <w:szCs w:val="6"/>
                <w:color w:val="auto"/>
              </w:rPr>
            </w:pPr>
          </w:p>
        </w:tc>
        <w:tc>
          <w:tcPr>
            <w:tcW w:w="80" w:type="dxa"/>
            <w:vAlign w:val="bottom"/>
            <w:tcBorders>
              <w:top w:val="single" w:sz="8" w:color="BFE4FF"/>
            </w:tcBorders>
            <w:shd w:val="clear" w:color="auto" w:fill="BFE4FF"/>
          </w:tcPr>
          <w:p>
            <w:pPr>
              <w:spacing w:after="0"/>
              <w:rPr>
                <w:sz w:val="6"/>
                <w:szCs w:val="6"/>
                <w:color w:val="auto"/>
              </w:rPr>
            </w:pPr>
          </w:p>
        </w:tc>
        <w:tc>
          <w:tcPr>
            <w:tcW w:w="40" w:type="dxa"/>
            <w:vAlign w:val="bottom"/>
            <w:tcBorders>
              <w:top w:val="single" w:sz="8" w:color="BFE4FF"/>
            </w:tcBorders>
            <w:shd w:val="clear" w:color="auto" w:fill="BFE4FF"/>
          </w:tcPr>
          <w:p>
            <w:pPr>
              <w:spacing w:after="0"/>
              <w:rPr>
                <w:sz w:val="6"/>
                <w:szCs w:val="6"/>
                <w:color w:val="auto"/>
              </w:rPr>
            </w:pPr>
          </w:p>
        </w:tc>
        <w:tc>
          <w:tcPr>
            <w:tcW w:w="960" w:type="dxa"/>
            <w:vAlign w:val="bottom"/>
            <w:tcBorders>
              <w:top w:val="single" w:sz="8" w:color="BFE4FF"/>
            </w:tcBorders>
            <w:shd w:val="clear" w:color="auto" w:fill="BFE4FF"/>
          </w:tcPr>
          <w:p>
            <w:pPr>
              <w:spacing w:after="0"/>
              <w:rPr>
                <w:sz w:val="6"/>
                <w:szCs w:val="6"/>
                <w:color w:val="auto"/>
              </w:rPr>
            </w:pPr>
          </w:p>
        </w:tc>
        <w:tc>
          <w:tcPr>
            <w:tcW w:w="7200" w:type="dxa"/>
            <w:vAlign w:val="bottom"/>
            <w:tcBorders>
              <w:top w:val="single" w:sz="8" w:color="BFE4FF"/>
            </w:tcBorders>
            <w:gridSpan w:val="23"/>
            <w:vMerge w:val="continue"/>
            <w:shd w:val="clear" w:color="auto" w:fill="BFE4FF"/>
          </w:tcPr>
          <w:p>
            <w:pPr>
              <w:spacing w:after="0"/>
              <w:rPr>
                <w:sz w:val="6"/>
                <w:szCs w:val="6"/>
                <w:color w:val="auto"/>
              </w:rPr>
            </w:pPr>
          </w:p>
        </w:tc>
        <w:tc>
          <w:tcPr>
            <w:tcW w:w="340" w:type="dxa"/>
            <w:vAlign w:val="bottom"/>
            <w:tcBorders>
              <w:top w:val="single" w:sz="8" w:color="BFE4FF"/>
            </w:tcBorders>
            <w:shd w:val="clear" w:color="auto" w:fill="BFE4FF"/>
          </w:tcPr>
          <w:p>
            <w:pPr>
              <w:spacing w:after="0"/>
              <w:rPr>
                <w:sz w:val="6"/>
                <w:szCs w:val="6"/>
                <w:color w:val="auto"/>
              </w:rPr>
            </w:pPr>
          </w:p>
        </w:tc>
        <w:tc>
          <w:tcPr>
            <w:tcW w:w="180" w:type="dxa"/>
            <w:vAlign w:val="bottom"/>
            <w:tcBorders>
              <w:top w:val="single" w:sz="8" w:color="BFE4FF"/>
            </w:tcBorders>
            <w:shd w:val="clear" w:color="auto" w:fill="BFE4FF"/>
          </w:tcPr>
          <w:p>
            <w:pPr>
              <w:spacing w:after="0"/>
              <w:rPr>
                <w:sz w:val="6"/>
                <w:szCs w:val="6"/>
                <w:color w:val="auto"/>
              </w:rPr>
            </w:pPr>
          </w:p>
        </w:tc>
        <w:tc>
          <w:tcPr>
            <w:tcW w:w="80" w:type="dxa"/>
            <w:vAlign w:val="bottom"/>
            <w:tcBorders>
              <w:top w:val="single" w:sz="8" w:color="0000FF"/>
            </w:tcBorders>
            <w:shd w:val="clear" w:color="auto" w:fill="BFE4FF"/>
          </w:tcPr>
          <w:p>
            <w:pPr>
              <w:spacing w:after="0"/>
              <w:rPr>
                <w:sz w:val="6"/>
                <w:szCs w:val="6"/>
                <w:color w:val="auto"/>
              </w:rPr>
            </w:pPr>
          </w:p>
        </w:tc>
        <w:tc>
          <w:tcPr>
            <w:tcW w:w="100" w:type="dxa"/>
            <w:vAlign w:val="bottom"/>
            <w:tcBorders>
              <w:top w:val="single" w:sz="8" w:color="0000FF"/>
            </w:tcBorders>
            <w:shd w:val="clear" w:color="auto" w:fill="BFE4FF"/>
          </w:tcPr>
          <w:p>
            <w:pPr>
              <w:spacing w:after="0"/>
              <w:rPr>
                <w:sz w:val="6"/>
                <w:szCs w:val="6"/>
                <w:color w:val="auto"/>
              </w:rPr>
            </w:pPr>
          </w:p>
        </w:tc>
        <w:tc>
          <w:tcPr>
            <w:tcW w:w="20" w:type="dxa"/>
            <w:vAlign w:val="bottom"/>
            <w:tcBorders>
              <w:top w:val="single" w:sz="8" w:color="BFE4FF"/>
            </w:tcBorders>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7.</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20" w:type="dxa"/>
            <w:vAlign w:val="bottom"/>
            <w:tcBorders>
              <w:top w:val="single" w:sz="8" w:color="0000FF"/>
            </w:tcBorders>
            <w:shd w:val="clear" w:color="auto" w:fill="BFE4FF"/>
          </w:tcPr>
          <w:p>
            <w:pPr>
              <w:spacing w:after="0" w:line="20" w:lineRule="exact"/>
              <w:rPr>
                <w:sz w:val="1"/>
                <w:szCs w:val="1"/>
                <w:color w:val="auto"/>
              </w:rPr>
            </w:pPr>
          </w:p>
        </w:tc>
        <w:tc>
          <w:tcPr>
            <w:tcW w:w="76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08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20" w:type="dxa"/>
            <w:vAlign w:val="bottom"/>
            <w:tcBorders>
              <w:top w:val="single" w:sz="8" w:color="0000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9.</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9B.</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BFE4FF"/>
          </w:tcPr>
          <w:p>
            <w:pPr>
              <w:spacing w:after="0"/>
              <w:rPr>
                <w:sz w:val="18"/>
                <w:szCs w:val="18"/>
                <w:color w:val="auto"/>
              </w:rPr>
            </w:pPr>
          </w:p>
        </w:tc>
        <w:tc>
          <w:tcPr>
            <w:tcW w:w="3240" w:type="dxa"/>
            <w:vAlign w:val="bottom"/>
            <w:gridSpan w:val="11"/>
            <w:shd w:val="clear" w:color="auto" w:fill="BFE4FF"/>
          </w:tcPr>
          <w:p>
            <w:pPr>
              <w:spacing w:after="0" w:line="189" w:lineRule="exact"/>
              <w:rPr>
                <w:sz w:val="20"/>
                <w:szCs w:val="20"/>
                <w:color w:val="auto"/>
              </w:rPr>
            </w:pPr>
            <w:r>
              <w:rPr>
                <w:rFonts w:ascii="Times New Roman" w:cs="Times New Roman" w:eastAsia="Times New Roman" w:hAnsi="Times New Roman"/>
                <w:sz w:val="18"/>
                <w:szCs w:val="18"/>
                <w:color w:val="0000FF"/>
              </w:rPr>
              <w:t>PART III</w:t>
            </w:r>
          </w:p>
        </w:tc>
        <w:tc>
          <w:tcPr>
            <w:tcW w:w="8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BFE4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160" w:type="dxa"/>
            <w:vAlign w:val="bottom"/>
            <w:tcBorders>
              <w:top w:val="single" w:sz="8" w:color="BFE4FF"/>
            </w:tcBorders>
          </w:tcPr>
          <w:p>
            <w:pPr>
              <w:spacing w:after="0"/>
              <w:rPr>
                <w:sz w:val="16"/>
                <w:szCs w:val="16"/>
                <w:color w:val="auto"/>
              </w:rPr>
            </w:pPr>
          </w:p>
        </w:tc>
        <w:tc>
          <w:tcPr>
            <w:tcW w:w="1980" w:type="dxa"/>
            <w:vAlign w:val="bottom"/>
            <w:tcBorders>
              <w:top w:val="single" w:sz="8" w:color="BFE4FF"/>
            </w:tcBorders>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7200" w:type="dxa"/>
            <w:vAlign w:val="bottom"/>
            <w:tcBorders>
              <w:top w:val="single" w:sz="8" w:color="BFE4FF"/>
            </w:tcBorders>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Borders>
              <w:top w:val="single" w:sz="8" w:color="BFE4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11.</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8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Matters</w:t>
            </w:r>
          </w:p>
        </w:tc>
        <w:tc>
          <w:tcPr>
            <w:tcW w:w="4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20" w:type="dxa"/>
            <w:vAlign w:val="bottom"/>
            <w:tcBorders>
              <w:top w:val="single" w:sz="8" w:color="0000FF"/>
            </w:tcBorders>
            <w:shd w:val="clear" w:color="auto" w:fill="BFE4FF"/>
          </w:tcPr>
          <w:p>
            <w:pPr>
              <w:spacing w:after="0" w:line="20" w:lineRule="exact"/>
              <w:rPr>
                <w:sz w:val="1"/>
                <w:szCs w:val="1"/>
                <w:color w:val="auto"/>
              </w:rPr>
            </w:pPr>
          </w:p>
        </w:tc>
        <w:tc>
          <w:tcPr>
            <w:tcW w:w="76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08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7200" w:type="dxa"/>
            <w:vAlign w:val="bottom"/>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BFE4FF"/>
          </w:tcPr>
          <w:p>
            <w:pPr>
              <w:spacing w:after="0"/>
              <w:rPr>
                <w:sz w:val="18"/>
                <w:szCs w:val="18"/>
                <w:color w:val="auto"/>
              </w:rPr>
            </w:pPr>
          </w:p>
        </w:tc>
        <w:tc>
          <w:tcPr>
            <w:tcW w:w="3240" w:type="dxa"/>
            <w:vAlign w:val="bottom"/>
            <w:gridSpan w:val="11"/>
            <w:shd w:val="clear" w:color="auto" w:fill="BFE4FF"/>
          </w:tcPr>
          <w:p>
            <w:pPr>
              <w:spacing w:after="0" w:line="189" w:lineRule="exact"/>
              <w:rPr>
                <w:sz w:val="20"/>
                <w:szCs w:val="20"/>
                <w:color w:val="auto"/>
              </w:rPr>
            </w:pPr>
            <w:r>
              <w:rPr>
                <w:rFonts w:ascii="Times New Roman" w:cs="Times New Roman" w:eastAsia="Times New Roman" w:hAnsi="Times New Roman"/>
                <w:sz w:val="18"/>
                <w:szCs w:val="18"/>
                <w:color w:val="0000FF"/>
              </w:rPr>
              <w:t>PART IV</w:t>
            </w:r>
          </w:p>
        </w:tc>
        <w:tc>
          <w:tcPr>
            <w:tcW w:w="8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160" w:type="dxa"/>
            <w:vAlign w:val="bottom"/>
            <w:tcBorders>
              <w:top w:val="single" w:sz="8" w:color="BFE4FF"/>
            </w:tcBorders>
          </w:tcPr>
          <w:p>
            <w:pPr>
              <w:spacing w:after="0"/>
              <w:rPr>
                <w:sz w:val="16"/>
                <w:szCs w:val="16"/>
                <w:color w:val="auto"/>
              </w:rPr>
            </w:pPr>
          </w:p>
        </w:tc>
        <w:tc>
          <w:tcPr>
            <w:tcW w:w="1980" w:type="dxa"/>
            <w:vAlign w:val="bottom"/>
            <w:tcBorders>
              <w:top w:val="single" w:sz="8" w:color="BFE4FF"/>
            </w:tcBorders>
            <w:gridSpan w:val="5"/>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7200" w:type="dxa"/>
            <w:vAlign w:val="bottom"/>
            <w:tcBorders>
              <w:top w:val="single" w:sz="8" w:color="BFE4FF"/>
            </w:tcBorders>
            <w:gridSpan w:val="23"/>
          </w:tcPr>
          <w:p>
            <w:pPr>
              <w:ind w:left="80"/>
              <w:spacing w:after="0" w:line="189"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20" w:type="dxa"/>
            <w:vAlign w:val="bottom"/>
            <w:tcBorders>
              <w:top w:val="single" w:sz="8" w:color="BFE4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980" w:type="dxa"/>
            <w:vAlign w:val="bottom"/>
            <w:gridSpan w:val="5"/>
            <w:shd w:val="clear" w:color="auto" w:fill="BFE4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7200" w:type="dxa"/>
            <w:vAlign w:val="bottom"/>
            <w:gridSpan w:val="23"/>
            <w:shd w:val="clear" w:color="auto" w:fill="BFE4FF"/>
          </w:tcPr>
          <w:p>
            <w:pPr>
              <w:ind w:left="8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20" w:type="dxa"/>
            <w:vAlign w:val="bottom"/>
            <w:gridSpan w:val="5"/>
            <w:shd w:val="clear" w:color="auto" w:fill="BFE4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94</w:t>
            </w:r>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00" w:type="dxa"/>
            <w:vAlign w:val="bottom"/>
            <w:gridSpan w:val="2"/>
          </w:tcPr>
          <w:p>
            <w:pPr>
              <w:spacing w:after="0"/>
              <w:rPr>
                <w:sz w:val="16"/>
                <w:szCs w:val="16"/>
                <w:color w:val="auto"/>
              </w:rPr>
            </w:pPr>
          </w:p>
        </w:tc>
        <w:tc>
          <w:tcPr>
            <w:tcW w:w="10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2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4"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and in other sections of this Annual Report on Form 10-K that are forward-looking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some cases, you can identify these statements by words such as "may," "might," "will," "should," "expects," "plans," "anticipates," "believes," "estimates," "intends," "projects," "indicates," "predicts," "potential," or "continue," and similar expressions.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Annual Report on Form 10-K, that should be specifically considered.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Annual Report on Form 10-K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that drives the investment community to see more, think bigger, and do its best work. Our strategy is to build the leading open content and analytics platform to deliver a differentiated advantage for our clients’ success.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more than 40 years, the FactSet platform has delivered expansive data, sophisticated analytics, and flexible technology used by global financial professionals to power their critical investment workflows. As of August 31, 2022, we had more than 7,500 clients comprised of approximately 180,000 investment professionals, including asset managers, bankers, wealth managers, asset owners, channel partners, hedge funds, corporate users, private equity and venture capital professionals. Our on- and off-platform solutions span the investment lifecycle to include investment research, portfolio construction and analysis, trade execution, performance measurement, risk management and reporting. Our revenues are primarily derived from subscriptions to our multi-asset class data and solutions powered by our connected content ("content refinery"). Our products and services include workstations, portfolio analytics and enterprise solutions.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 office functions.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the Americas, EMEA and Asia Pacific.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II, Item 8. of this Annual Report on Form 10-K for further discussion. For each of our reportable segments, we execute our strategy through three workflow solutions: Research &amp; Advisory; Analytics &amp; Trading; and Content &amp; Technology Solutions ("CTS").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FactSet was founded in 1978 and has been publicly traded since June 1996. We are dual-listed on the New York Stock Exchange ("NYSE") and the NASDAQ Stock Market ("NASDAQ") under the symbol "FDS". Fiscal 2022 marked our 44th year of operations, and we continue to focus on providing integrated and connected content, best-in-class products and exceptional client service.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needs of our clients evolve, they seek personalized and connected data, tools for multi-asset class investing, and reduced costs. Clients are also seeking cloud-based solutions, open and flexible systems, and increased efficiencies to support their digital transformations.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strategy is to build the leading open content and analytics platform to deliver differentiated advantages for our clients’ success. To execute this strategy, we plan on:</w:t>
      </w:r>
    </w:p>
    <w:p>
      <w:pPr>
        <w:spacing w:after="0" w:line="117" w:lineRule="exact"/>
        <w:rPr>
          <w:sz w:val="20"/>
          <w:szCs w:val="20"/>
          <w:color w:val="auto"/>
        </w:rPr>
      </w:pPr>
    </w:p>
    <w:p>
      <w:pPr>
        <w:jc w:val="both"/>
        <w:ind w:left="66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Growing our digital platform: </w:t>
      </w:r>
      <w:r>
        <w:rPr>
          <w:rFonts w:ascii="Times New Roman" w:cs="Times New Roman" w:eastAsia="Times New Roman" w:hAnsi="Times New Roman"/>
          <w:sz w:val="18"/>
          <w:szCs w:val="18"/>
          <w:color w:val="auto"/>
        </w:rPr>
        <w:t>We are scaling up our content refinery to offer a comprehensive and connected inventory of industry,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third-party data for the financial community. This data includes granular data for key industry verticals, private companies, wealth management, real-time data, and environmental, social and governance data ("ESG"). We are driving personalized workflow solutions for financial professionals, including asset managers, bankers, wealth managers, asset owners, channel partners, hedge funds, corporate users and private equity and venture capital professionals. We offer an open ecosystem with solutions and content that is accessible and flexible through a myriad of delivery methods. Our goal is to deliver cloud-based data and analytics to our clients, enabling them to more efficiently manage their workflows.</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Delivering execution excellence: </w:t>
      </w:r>
      <w:r>
        <w:rPr>
          <w:rFonts w:ascii="Times New Roman" w:cs="Times New Roman" w:eastAsia="Times New Roman" w:hAnsi="Times New Roman"/>
          <w:sz w:val="18"/>
          <w:szCs w:val="18"/>
          <w:color w:val="auto"/>
        </w:rPr>
        <w:t>We are building an agile organization that accelerates product creation and content collection. We offer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designed for delivery via the cloud, making them highly efficient for our clients. We will continue to employ technology to accelerate the pace of content collection and drive expertise in complex data sets such as private companies, ESG and deep sector. Additionally, we are improving our price realization through consistent packaging and internal governance.</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Driving a growth mindset: </w:t>
      </w:r>
      <w:r>
        <w:rPr>
          <w:rFonts w:ascii="Times New Roman" w:cs="Times New Roman" w:eastAsia="Times New Roman" w:hAnsi="Times New Roman"/>
          <w:sz w:val="18"/>
          <w:szCs w:val="18"/>
          <w:color w:val="auto"/>
        </w:rPr>
        <w:t>To drive sustainable growth, we are recruiting, training and empowering a diverse and operationally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As a performance-based culture, we are investing in talent that can create leading technological solutions and efficiently execute our strategy. We use partnerships and acquisitions to accelerate our growth in strategic areas.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centers on relentless focus on our clients and their FactSet experience. We aim to be a trusted partner and service provider, offering personalized digital products powered by cognitive computing to research ideas and uncover relevant insights. Additionally, we continually evaluate business opportunities such as partnerships and acquisitions to increase our capabilities and competitive differentiation.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segments: the Americas, EMEA and Asia Pacific. We believe this geographical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Advisory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&amp; Advisory delivers essential content and workflow solutions in one flexible platform for investment bankers, wealth advisors, buy and sell-side analysts, corporate users, portfolio managers and investment relationship professionals. Our workstation, advisor dashboard, research management</w:t>
      </w:r>
    </w:p>
    <w:p>
      <w:pPr>
        <w:sectPr>
          <w:pgSz w:w="11900" w:h="16838" w:orient="portrait"/>
          <w:cols w:equalWidth="0" w:num="1">
            <w:col w:w="11240"/>
          </w:cols>
          <w:pgMar w:left="320" w:top="297" w:right="339" w:bottom="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solutions (“RMS”), and FactSet for client relationship management (CRM) enable our clients to personalize and automate their workflows. These tools provide insight and efficiency for idea generation, company and market analysis, fundamental research, presentation building and distribution, and research management. Our Research &amp; Advisory solutions also offer global coverage, deep history, and transparency through proprietary and third-party sourced databases. These solutions provide deep company and sector-specific analyses, spanning the public and private markets. Our solutions easily integrate with our clients’ technology, offering additional flexibility through mobile, API, and web-based components. Our RMS and advisory solutions also enable our wealth clients to provide market-leading support for their businesses, including home office, advisory, and client engagement work.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Analytics &amp; Trading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Analytics &amp; Trading provides solutions for institutional asset managers and asset owners across the investment portfolio lifecycle, connecting essential front and middle office investment functions. Our tools connect together fundamental and quantitative research, portfolio construction, order management and trade execution. These outputs can then tie into advanced portfolio attribution and performance measurement, risk management, and reporting functions. An open framework supports our proprietary and third-party models, connected data, analytics and reporting. Our platform and APIs can be deployed as an enterprise system that meets multi-asset class needs or as individual workflow components.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Analytics &amp; Trading's tools can integrate client holdings data with global market data for fundamental and quantitative research, portfolio construction, and trade simulation. Our order management and trade execution solutions also efficiently connect to portfolio attribution and performance measurement requirements, risk management functions and reporting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CTS focuses on delivering data directly to our clients by leveraging our core content and technology. Clients can seamlessly discover, explore, and access organized and connected content via multiple delivery channels. Whether a client needs market data, company data, alternative data, customized client facing digital solutions or data elements uniquely identifying financial instruments, we provide structured data through a variety of technologies, including APIs and cloud infrastructures. Through our data management services (DMS), we provide entity mapping and integration of client data. Our symbology links and aggregates a diverse set of content sources to ensure consistency, transparency, and data integrity. We are the exclusive provider of the Committee on Uniform Security Identification Procedures ("CUSIP") and CUSIP International Number System ("CINS") identifiers globally, acting as the official numbering agency for International Securities Identification Number ("ISIN") identifiers in the United States and as a substitute number agency for more than 35 other countries. By enabling our clients to utilize their preferred choice of cloud infrastructure and industry standard databases, programming languages and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visualization tools, we empower our clients to centralize, integrate, and analyze disparate data sources for faster and more cost-effective decision making.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Clients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Buy-side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Buy-side clients continue to shift increasingly toward multi-asset class investment strategies and we are well-positioned to be a partner of choice in this space. Our ability to provide enterprise-wide solutions to our clients across their entire workflow, leveraging their portfolio data across multiple asset classes, enables us to compete for greater market share. Buy-side clients primarily include asset managers, wealth managers, asset owners, channel partners, hedge funds and corporate firms. They access our multi-asset class tools by utilizing our workstations, Analytics &amp; Trading tools, proprietary and third-party content, data feeds, APIs and portfolio services.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buy-side organic annual subscription value ("Organic ASV") growth rate for fiscal 2022 was 8.5%. Buy-side clients accounted for 83% of our ASV as of August 31, 2022. Refer to Item 7. </w:t>
      </w:r>
      <w:r>
        <w:rPr>
          <w:rFonts w:ascii="Times New Roman" w:cs="Times New Roman" w:eastAsia="Times New Roman" w:hAnsi="Times New Roman"/>
          <w:sz w:val="18"/>
          <w:szCs w:val="18"/>
          <w:i w:val="1"/>
          <w:iCs w:val="1"/>
          <w:color w:val="auto"/>
        </w:rPr>
        <w:t>Management's Discussion and Analysis of Financial Condition and Results of Operations, Annual Subscription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("ASV") </w:t>
      </w:r>
      <w:r>
        <w:rPr>
          <w:rFonts w:ascii="Times New Roman" w:cs="Times New Roman" w:eastAsia="Times New Roman" w:hAnsi="Times New Roman"/>
          <w:sz w:val="18"/>
          <w:szCs w:val="18"/>
          <w:color w:val="auto"/>
        </w:rPr>
        <w:t>of this Annual Report on Form 10-K for the definitions of Organic ASV.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Sell-side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 comprehensive solutions to sell-side clients including workstation, data feeds, API's, proprietary and third-party content, productivity tools for Microsoft® Office, web and mobile, and RMS for research authoring and publishing. Our focus remains on expanding the depth of content offered and increasing workflow efficiency for sell-side firms. These firms primarily include broker-dealers, private equity and venture capital, and banking and advisory firms.</w:t>
      </w:r>
    </w:p>
    <w:p>
      <w:pPr>
        <w:spacing w:after="0" w:line="153" w:lineRule="exact"/>
        <w:rPr>
          <w:sz w:val="20"/>
          <w:szCs w:val="20"/>
          <w:color w:val="auto"/>
        </w:rPr>
      </w:pPr>
    </w:p>
    <w:p>
      <w:pPr>
        <w:ind w:right="1280"/>
        <w:spacing w:after="0" w:line="453" w:lineRule="auto"/>
        <w:rPr>
          <w:sz w:val="20"/>
          <w:szCs w:val="20"/>
          <w:color w:val="auto"/>
        </w:rPr>
      </w:pPr>
      <w:r>
        <w:rPr>
          <w:rFonts w:ascii="Times New Roman" w:cs="Times New Roman" w:eastAsia="Times New Roman" w:hAnsi="Times New Roman"/>
          <w:sz w:val="18"/>
          <w:szCs w:val="18"/>
          <w:color w:val="auto"/>
        </w:rPr>
        <w:t xml:space="preserve">The sell-side Organic ASV growth rate for fiscal 2022 was 13.8%. Sell-side clients accounted for 17% of our ASV as of August 31, 2022. </w:t>
      </w:r>
      <w:r>
        <w:rPr>
          <w:rFonts w:ascii="Times New Roman" w:cs="Times New Roman" w:eastAsia="Times New Roman" w:hAnsi="Times New Roman"/>
          <w:sz w:val="18"/>
          <w:szCs w:val="18"/>
          <w:b w:val="1"/>
          <w:bCs w:val="1"/>
          <w:color w:val="auto"/>
        </w:rPr>
        <w:t>Client and User Additions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client count as of August 31, 2022 was 7,538, representing a net increase of 16.8%, or 1,085 clients in the last 12 months, mainly due to an increase in corporate clients, wealth management clients, and private equity and venture capital firms. The count includes clients with ASV of $10,000 and above.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31, 2022, there were 179,982 professionals using FactSet, representing a net increase of 19,050 or 11.8% in the last 12 months, mainly driven by an increase in wealth advisory professionals from our wealth management clients, as well as an increase in sell-side users from our banking clients.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for the period ended August 31, 2022 and August 31, 2021. When expressed as a percentage of clients, annual retention increased to approximately 92% for the period ended August 31, 2022, compared with approximately 91% for the period ended August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 plus Professional Services Growth</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August 31, 2022, our Organic ASV plus Professional Services totaled $1.8 billion, up 9.3% compared with August 31, 2021. Organic ASV increased across all our geographic segments with the majority of the increase related to the Americas, followed by EMEA and Asia Pacific. This increase was driven by additional sales in our workflow solutions, primarily in Research &amp; Advisory and Analytics &amp; Trading, followed by CTS. Refer to Item 7.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Annual Subscription Value ("ASV") </w:t>
      </w:r>
      <w:r>
        <w:rPr>
          <w:rFonts w:ascii="Times New Roman" w:cs="Times New Roman" w:eastAsia="Times New Roman" w:hAnsi="Times New Roman"/>
          <w:sz w:val="18"/>
          <w:szCs w:val="18"/>
          <w:color w:val="auto"/>
        </w:rPr>
        <w:t>of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definitions of Organic ASV plus Professional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provides a snapshot of our historic Organic ASV plus Professional Services growth:</w:t>
      </w:r>
    </w:p>
    <w:p>
      <w:pPr>
        <w:sectPr>
          <w:pgSz w:w="11900" w:h="16838" w:orient="portrait"/>
          <w:cols w:equalWidth="0" w:num="1">
            <w:col w:w="11240"/>
          </w:cols>
          <w:pgMar w:left="320" w:top="121" w:right="339" w:bottom="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w:t>
      </w:r>
    </w:p>
    <w:p>
      <w:pPr>
        <w:sectPr>
          <w:pgSz w:w="11900" w:h="16838" w:orient="portrait"/>
          <w:cols w:equalWidth="0" w:num="1">
            <w:col w:w="11240"/>
          </w:cols>
          <w:pgMar w:left="320" w:top="121" w:right="339"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863590" cy="3223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on Geographic Areas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revenues and incur expenses, (ii) their operating results are regularly reviewed by the chief operating decision maker ("CODM") for resource allocation decisions and performance assessment, and (iii) their discrete financial information is available. Our Chief Executive Officer ("CEO") functions as our CODM.</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segments are consistent with our reportable segments ("segments") and how we, including our CODM, manage our business and the geographic markets in which we serve. Our internal financial reporting structure is based on three segments: the Americas; EMEA; and Asia Pacific.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with offices in 13 states throughout the United States ("U.S."), including our corporate headquarters in Norwalk, Connecticut, as well as an office in both Brazil and Canada. The EMEA segment serves our clients in Europe, the Middle East and Africa and maintains office locations in Bulgaria, England, France, Germany, Italy, Latvia, Luxembourg, the Netherlands, Sweden and the United Arab Emirates. The Asia Pacific segment serves our clients in Asia and Australia and includes office locations in Australia, China, Hong Kong Special Administrative Region ("SAR") of China, India, Japan, the Philippines, and Singapore. These offices exclude any leases that we have fully vacated in advance of their originally scheduled lease term.</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Segment revenues reflect sales to our clients based on the respective geographic locations. 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a percentage of revenues as this reflects the benefits provided to each segment.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II, Item 8. of this Annual Report on Form 10-K for the results of operations and financial information for each of our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graphics illustrate revenues related to our segments.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863590"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We Are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August 31, 2022, we had 39 offices across 20 countries with 11,203 employees, representing an increase of 2.9% in the last twelve months. Of our total employees, 7,401 (66%) were located in Asia Pacific, 2,400 (21%) in the Americas and 1,402 (13%) in EMEA. To optimize productivity, we have invested in expanding our footprint and talent pool in India and the Philippines, where we now have a combined workforce of approximately 7,100 employees. Functionally, 21% of our employees were in Sales and Client Solutions; 29% were in Technology &amp; Product Development; 45% were in Content Operations; and 5% were in Corporate Support. As of August 31, 2022, 393 of our employees were represented by mandatory works councils within certain of our French and German subsidiaries and 24 of our employees were represented by collective bargaining agreements in the United States.</w:t>
      </w:r>
    </w:p>
    <w:p>
      <w:pPr>
        <w:sectPr>
          <w:pgSz w:w="11900" w:h="16847" w:orient="portrait"/>
          <w:cols w:equalWidth="0" w:num="1">
            <w:col w:w="11240"/>
          </w:cols>
          <w:pgMar w:left="320" w:top="1440"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Our Purpose and Values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purpose is to drive the investment community to see more, think bigger, and do their best work. Intense client focus and support are critical components of our strategy and operational approach. Our employees are key to our success and enable us to execute at a high level. We have built a collaborative culture that recognizes and rewards innovation and offers employees a variety of opportunities and experiences. We believe that our continued focus on making our employees a top priority helps us provide high quality insights and information to clients globally.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an annual, anonymous and confidential global employee engagement survey administered by a third party to capture our employees’ constructive feedback on a broad range of topics. The survey's scores and comments provide insight on appropriate actions to improve our employees’ experience and overall effectiveness as an organization. Aggregated survey results are reviewed by executive and senior leadership and direct managers to analyze and identify company-wide and individual operational unit focus areas and action plans for improvement. We share survey results throughout our company to highlight areas that employees believe are our strengths and reflect on areas where employees feel there are opportunities for positive change. Progress on initiatives is tracked to ensure that the actions taken address the underlying issues and promote an environment of continuous improvement.</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fiscal 2022 employee engagement survey, we achieved an 89% response rate, indicating that we heard from the vast majority of our employees. This strong response rate reflected stable engagement amidst ongoing challenges caused by the COVID-19 pandemic. We received more than 8,700 comments in response to the survey. Our highest scores were in the areas of fair treatment, authenticity, and inclusion, indicating that employees feel they are treated fairly, are comfortable being their authentic selves at work, and believe that diverse perspectives are valued at our Company. Our scores increased from the previous year's survey in the areas of authenticity, work-life balance, and employees feeling satisfied with the recognition they receive for their work.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&amp; Inclusion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core values, we are committed to advancing Diversity, Equity, and Inclusion ("DE&amp;I") at every level. To this end, we have developed a global DE&amp;I strategy focusing on three impact areas: workforce, marketplace, and society. We are proud of the positive progress we have made in each of these areas as we deepen our DE&amp;I commitment around the world.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DE&amp;I at our Company has been governed by our DE&amp;I Council, which we refreshed in 2022. The Council is chaired by our CEO, Phil Snow, and consists of 13 senior leaders who are empowered to drive our DE&amp;I progress.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this visible leadership commitment, we signed the CEO Action for Diversity and Inclusion Pledge, joining more than 2,000 companies actively supporting more inclusive workplaces and communities. We have also partnered with MLT Black Equity at Work to hold ourselves accountable for our DE&amp;I progress.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Workforce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2022, we accelerated our accountability efforts by continuing to embed DE&amp;I into our talent processes, including performance reviews, promotions, and the allocation of equity awards. This allows us to make a greater impact while investigating statistical differences and taking any resulting appropriate action. We also continue to publish our workforce demographics, including our annual EEO-1 Federal data, in our Sustainability Report. By reporting our workforce demographics, we make a visible step in our DE&amp;I commitment as we aspire to change the composition of our employee demographics to better include underrepresented groups. Our goals include increasing the percentage of women at our Company overall, and specifically the percentage of women in our leadership group (vice president level and above) and in our technical areas. We report on our progress annually to increase transparency and to facilitate accountability.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building a culture of sponsorship across the organization to proactively provide growth opportunities and enhance retention through an initiative connecting senior leaders with underrepresented talent for advocacy and visibility. As we continue to diversify our talent pipelines, we have maintained our MESH (Mentor, Engage, Support &amp; Hire) externship program for underrepresented college students interested in financial technology. This program continued for the second year in the U.S. and was launched for the first time in the U.K. In addition, we piloted an internship program at Norwalk Community College, located near our corporate headquarters in Norwalk, Connecticut, to provide career pathways for computer science students.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key component of our drive to ensure fair and equitable administration of pay, in fiscal 2022 we completed a global pay equity review. We engaged an outside firm to assess the degree of systemic gender equity in the salaries of our employees worldwide and the degree of systemic race/ethnicity equity in the U.S. After controlling for various salary-influencing factors, the study found that there was not a statistically significant association at our Company between salary and gender worldwide, or between salary and race/ethnicity in the U.S. The study found that, on a global basis at our Company, women are paid more than 99% on average of what men are paid and that, on a U.S. basis, minority employees are paid 100% on average of what non-minority employees are paid. Attention to pay equity will continue to be a DE&amp;I priority.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Resource Groups ("BRGs") are a critical component in fostering an inclusive work environment for all employees. Our BRGs (Asian BRG, Black BRG, Families BRG, Pride BRG, Multicultural BRG, Latinx BRG, Women’s BRG, and Veterans BRG) host a variety of educational, informational, and aspirational events, including business networking opportunities, and heritage months. Our BRGs also host many co-sponsored external events and year-round engagement such as community events, expos, seminars, and summits. In addition, our senior leaders serve as executive sponsors for our BRGs to demonstrate leadership support for these efforts.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recognize the significant contributions of our BRGs, we have launched the BRG Recognition Program which provides equity awards to BRG leaders at the co-chair level and steering committee level who have gone above and beyond in their commitment to DE&amp;I at our Company. BRG Steering Committee leaders also have a 10% weighting of their overall review evaluation based upon their BRG leadership to elevate these contributions within their performance.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further our efforts in building an inclusive workplace where all employees feel a sense of belonging, we have launched the Global Gender Inclusivity policy that supports and respects the rights and identities of all employees, and we have achieved a 100% score on the Human Rights Campaign Equality Index for seven consecutive years. Inclusive education also continues to be a priority through the provision of a variety of educational opportunities such as Conscious Inclusion training, the Interfaith Education series, Racial Justice Allies, and Unconscious Bias training. In addition, we have rolled out NameCoach, a name pronunciation tool.</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Marketplace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we created a Supplier Diversity function and are currently performing an audit of minority-owned spend and suppliers to assist in setting future goals. We have extended our DE&amp;I programming and events to spread inclusivity and global influence, as well as embedding a multi-level</w:t>
      </w:r>
    </w:p>
    <w:p>
      <w:pPr>
        <w:sectPr>
          <w:pgSz w:w="11900" w:h="16838" w:orient="portrait"/>
          <w:cols w:equalWidth="0" w:num="1">
            <w:col w:w="11240"/>
          </w:cols>
          <w:pgMar w:left="320" w:top="119"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culture of sponsorship through external organizations to help provide learning opportunities, enhance retention, and intentionally support our DE&amp;I goals.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Society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signing the CEO Action for Diversity and Inclusion Pledge, we sponsored two employees to participate full-time in the CEO Action for Racial Equity Fellowship. This hands-on contribution has allowed us to take an active part in advancing policy change in the U.S. We are also going further to help strengthen and promote racial justice through economic opportunities, such as depositing funds during fiscal 2022 in a Black equity-focused financial institution, as a step toward creating real and tangible change in the communities in which we operate.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Work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onset of the COVID-19 pandemic, our highest priority concern has been the health and safety of our employees, our families and our communities. We initially required the vast majority of our employees at our offices across the globe to work remotely and provided them with support to be able to ensure business continuity. We increased the frequency of all-company meetings led by our CEO and offered extensive benefit resources and mental health support. Employees were offered additional paid time off for COVID-19 illness and family care and to receive and recover from COVID-19 vaccinations.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since re-opened our offices and welcomed our employees back. Our offices did not re-open until local authorities permitted us to do so and our own criteria and conditions to ensure employees health and safety were satisfied.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2022, based on our success working in a remote environment during the COVID-19 pandemic, we rolled out our "How We Work" guide to flexible working arrangements under which employees in many of our locations, where permitted by local laws and regulations, and where the role permits, have the opportunity to choose between different work arrangements, including the ability to work in the office, remotely or in a hybrid arrangement with the ability to split time between working remotely and in the office. Additionally, employees whose positions are not aligned to fixed working hours may elect to work a flextime schedule, working the same number of hours as is considered standard in their office location or employment contract, but during different times in the working day. We have found that these new standards support our employees in being their most productive selves at work and in their personal lives. These arrangements preserve the benefit of flexibility while retaining talent, fostering creativity, innovation, collaboration, and enabling mentorship, all key drivers behind employees’ productivity, satisfaction, and success. Furthermore, these provisions support our commitment to creating a diverse, equitable, and inclusive workplace, removing barriers to augment our opportunity to attract and retain talent.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&amp; Development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lifelong learners. We believe that learning and development emboldens our employees, fosters outperformance with a growth mindset, demonstrates our commitment to our core values, and contributes to the success of our culture and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2022, we significantly increased our asynchronous learning opportunities in a variety of areas. We expanded our resources and built multiple learning paths to ensure our engineers have access to the best online learning resources on cutting-edge technologies. Our new Industry Development Program (IDP) is a 40-hour, on-demand program designed to onboard industry hires who have business experience and a sales focus. We also released career development resources which provide employees with access to tools such as Career Progression Plans, curated Skill Taxonomies, and relevant eLearning courses. In addition to our expanded partnerships and targeted programs, we created hundreds of in-house eLearning courses to help our employees learn about our business, industry, clients and products.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year we also re-initiated in-person learning programs, hosting our campus onboarding programs for Sales and Engineering staff in three global locations: Manila, London, and Norwalk. We also invited all campus hires who joined our Company since March 2020 back to our regional headquarters for a two-day summit focused on network building and our core values.</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also conducted a shorter, topic-focused survey toward the end of fiscal 2022 to assess the impact of our Learning &amp; Development strategy and programs on employee engagement. We achieved a 61% response rate, with more than 2,300 comments received. Our highest scores indicated that we are actively supporting employee efforts to acquire additional training and experiences and we are supporting employees to develop the professional skills needed to succeed at their jobs. Survey data also showed that we are providing opportunities for employees to have meaningful discussions with management about career development.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Wellbeing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employees a broad range of competitive compensation, benefits and wellbeing programs designed to meet the diverse needs of our global employee population and which are reflective of our values and culture. Offering competitive. performance-focused compensation is essential to our talent strategies regarding recruitment, development, and retention. Programs are designed to be competitive in the markets in which we compete for talent and align with the short and long-term objectives of our Company and our individual business units.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employee compensation may include one or more of the following elements: base salaries, annual incentive awards, sales incentive awards, and equity awards. We differentiate individual salary, bonus and equity awards based on performance against key objectives and how effectively our managers and employees demonstrate behaviors consistent with our values and culture. We are committed to offering high-quality, affordable, locally competitive benefits options designed to meet the needs of our employees and their families and to support our employees’ physical, emotional, financial, and social wellbeing at every stage of life. Employees in all our locations globally have access to an Employee Assistance Program, providing them and their immediate family members access to experienced counselors for personal and professional support. In addition to offering access to professional counseling services, we provide our employees and families with education and resources. We provide regular updates on health coverage and resources available through our health plans.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building a culture of wellbeing that empowers employees to be their authentic selves and thrive in all areas of their lives. We believe that wellbeing is a unique journey, and we are invested in understanding the needs of every individual to meet them where they are. By enabling our employees to put their wellbeing first, they can be their best selves at home, work, and anywhere in between.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Content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aggregate content from third-party data suppliers, news sources, exchanges, brokers and contributors into our dedicated managed databases, which our clients access through our flexible delivery platforms to perform their analysis.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have entered into third-party content agreements of varying lengths, which in some cases can be terminated with one year’s notice, at predefined dates, and in other cases on shorter notice. We are not dependent on any one third-party data</w:t>
      </w:r>
    </w:p>
    <w:p>
      <w:pPr>
        <w:sectPr>
          <w:pgSz w:w="11900" w:h="16838" w:orient="portrait"/>
          <w:cols w:equalWidth="0" w:num="1">
            <w:col w:w="11240"/>
          </w:cols>
          <w:pgMar w:left="320" w:top="121" w:right="339" w:bottom="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supplier in order to meet the needs of our clients, with only two data suppliers each representing more than 10% of our total data costs for the twelve months ended August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Centers and Cloud Computing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dependent on our ability to process substantial volumes of data and transactions rapidly and efficiently on our networks and systems. Our global technology infrastructure supports our operations and is designed to facilitate reliable and efficient processing and delivery of data and analytics to our clients. As part of our hybrid cloud strategy, we operate two fully redundant, physically separated data centers in the U.S. that provide client services, while also utilizing premier, market-leading cloud providers to run products and services that best benefit from cloud elasticity, resiliency, security, and regionalization. We currently use multiple providers of cloud services, however one supplier provided the majority of our cloud computing support for the twelve months ended August 31, 2022. Our physical data centers contain multiple layers of redundancy to enhance system performance, including maintaining, processing and storing data at multiple locations. In the event of a single site failure or localized disaster, client workloads will automatically move to unaffected sites. We continue to be focused on maintaining a global technological infrastructure that allows us to support our growing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Competitive Landscape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part of the financial information services industry, providing financial data, analytics and workflow solutions to the global investment community. This competitive market is comprised of both large, well-capitalized companies and smaller, niche firms including market data suppliers, news and information providers, and many third-party content providers that supply us with financial information included in our products. Our largest competitors are Bloomberg L.P., Refinitiv (a London Stock Exchange Group business) and Market Intelligence (an S&amp;P Global business). Other competitors and competitive products include online database suppliers and integrators and their applications, such as BlackRock Solutions, Morningstar Inc. and MSCI Inc. Many of these firms provide products or services similar to our own offerings.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there are high barriers to entry and we expect it would be difficult for another vendor to quickly replicate the extensive data we currently offer. Through our in-depth analytics and client service, we believe we can offer clients a more comprehensive solution with one of the broadest sets of functionalities delivered through a desktop or mobile user interface,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cloud based platforms, or through standardized or bespoke data feeds, as well as APIs. In addition, our applications and client support and service offerings are entrenched in the workflow of many financial professionals given the data management and portfolio analysis/screening capabilities offered. We are entrusted with significant amounts of our clients' own proprietary data, including portfolio holdings. As a result, we believe our products are central to our clients’ investment analysis and decision-making.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seek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Product Development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key aspect of our growth strategy is to offer new solutions and enhance our existing products and applications by making them faster, with more reliable and greater depth of data. We strive to rapidly adopt new technology that can improve our products and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reporting requirements, disclosure obligations and other recordkeeping requirements of the Securities and Exchange Commission ("SEC") and the various local authorities that regulate each location in which we operate. Our P.A.N. Securities, LP subsidiary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we maintain minimum net capital requirements. We claim exemption under Rule 15c3-3(k)(2)(i).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Contact Information</w:t>
      </w:r>
    </w:p>
    <w:p>
      <w:pPr>
        <w:spacing w:after="0" w:line="202" w:lineRule="exact"/>
        <w:rPr>
          <w:sz w:val="20"/>
          <w:szCs w:val="20"/>
          <w:color w:val="auto"/>
        </w:rPr>
      </w:pPr>
    </w:p>
    <w:p>
      <w:pPr>
        <w:ind w:right="2680"/>
        <w:spacing w:after="0" w:line="459" w:lineRule="auto"/>
        <w:rPr>
          <w:sz w:val="20"/>
          <w:szCs w:val="20"/>
          <w:color w:val="auto"/>
        </w:rPr>
      </w:pPr>
      <w:r>
        <w:rPr>
          <w:rFonts w:ascii="Times New Roman" w:cs="Times New Roman" w:eastAsia="Times New Roman" w:hAnsi="Times New Roman"/>
          <w:sz w:val="18"/>
          <w:szCs w:val="18"/>
          <w:color w:val="auto"/>
        </w:rPr>
        <w:t>FactSet was founded as a Delaware corporation in 1978, and our principal executive office is in Norwalk, Connecticut. Mailing address of FactSet's headquarters: 45 Glover Avenue, Norwalk, CT 06850 Telephone number: +1 (203) 810-1000</w:t>
      </w:r>
    </w:p>
    <w:p>
      <w:pPr>
        <w:spacing w:after="0"/>
        <w:rPr>
          <w:sz w:val="20"/>
          <w:szCs w:val="20"/>
          <w:color w:val="auto"/>
        </w:rPr>
      </w:pPr>
      <w:r>
        <w:rPr>
          <w:rFonts w:ascii="Times New Roman" w:cs="Times New Roman" w:eastAsia="Times New Roman" w:hAnsi="Times New Roman"/>
          <w:sz w:val="18"/>
          <w:szCs w:val="18"/>
          <w:color w:val="auto"/>
        </w:rPr>
        <w:t>Website address: www.factset.com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Investor Relations section of our website (https://investor.factset.com), we make available free of charge the following filings as soon as practicable after they are electronically filed with, or furnished to, the SEC: our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The SEC maintains a website that contains reports, proxy and information statements and other information that we file with the SEC at www.sec.gov.</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broadcast our quarterly earnings calls live via the investor relations section of our website. We also provide notifications of news or announcements regarding our financial performance, including investor events and press and earnings releases on our investor relations website. The contents of this website section are not intended to be incorporated by reference into this Annual Report on Form 10-K or in any other report or document we file with the SEC and any reference to this section of our website is intended to be inactive textual references only.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ectPr>
          <w:pgSz w:w="11900" w:h="16838" w:orient="portrait"/>
          <w:cols w:equalWidth="0" w:num="1">
            <w:col w:w="11240"/>
          </w:cols>
          <w:pgMar w:left="320" w:top="121" w:right="339" w:bottom="289"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shows our current executive officers: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Officer</w:t>
            </w:r>
          </w:p>
        </w:tc>
        <w:tc>
          <w:tcPr>
            <w:tcW w:w="7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Age</w:t>
            </w:r>
          </w:p>
        </w:tc>
        <w:tc>
          <w:tcPr>
            <w:tcW w:w="7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 Held with FactSet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Officer Since</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F. Philip Snow</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Linda S. Huber</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64</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169"/>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Rachel R. Stern</w:t>
            </w:r>
          </w:p>
        </w:tc>
        <w:tc>
          <w:tcPr>
            <w:tcW w:w="70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70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Executive Vice President, Chief Legal Officer, Global Head of Strategic Resources and</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149"/>
        </w:trPr>
        <w:tc>
          <w:tcPr>
            <w:tcW w:w="20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Secretary</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00" w:type="dxa"/>
            <w:vAlign w:val="bottom"/>
            <w:tcBorders>
              <w:bottom w:val="single" w:sz="8" w:color="B6B6B6"/>
            </w:tcBorders>
          </w:tcPr>
          <w:p>
            <w:pPr>
              <w:spacing w:after="0"/>
              <w:rPr>
                <w:sz w:val="7"/>
                <w:szCs w:val="7"/>
                <w:color w:val="auto"/>
              </w:rPr>
            </w:pPr>
          </w:p>
        </w:tc>
        <w:tc>
          <w:tcPr>
            <w:tcW w:w="700" w:type="dxa"/>
            <w:vAlign w:val="bottom"/>
            <w:tcBorders>
              <w:bottom w:val="single" w:sz="8" w:color="B6B6B6"/>
            </w:tcBorders>
          </w:tcPr>
          <w:p>
            <w:pPr>
              <w:spacing w:after="0"/>
              <w:rPr>
                <w:sz w:val="7"/>
                <w:szCs w:val="7"/>
                <w:color w:val="auto"/>
              </w:rPr>
            </w:pPr>
          </w:p>
        </w:tc>
        <w:tc>
          <w:tcPr>
            <w:tcW w:w="7000" w:type="dxa"/>
            <w:vAlign w:val="bottom"/>
            <w:tcBorders>
              <w:bottom w:val="single" w:sz="8" w:color="B6B6B6"/>
            </w:tcBorders>
            <w:vMerge w:val="continue"/>
          </w:tcPr>
          <w:p>
            <w:pPr>
              <w:spacing w:after="0"/>
              <w:rPr>
                <w:sz w:val="7"/>
                <w:szCs w:val="7"/>
                <w:color w:val="auto"/>
              </w:rPr>
            </w:pPr>
          </w:p>
        </w:tc>
        <w:tc>
          <w:tcPr>
            <w:tcW w:w="1540" w:type="dxa"/>
            <w:vAlign w:val="bottom"/>
            <w:tcBorders>
              <w:bottom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Robert J. Robie</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44</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Head of Analytics &amp; Trading Solutions</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Helen L. Shan</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55</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Revenue Officer</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Daniel Viens</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65</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169"/>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Goran Skoko</w:t>
            </w:r>
          </w:p>
        </w:tc>
        <w:tc>
          <w:tcPr>
            <w:tcW w:w="70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61</w:t>
            </w:r>
          </w:p>
        </w:tc>
        <w:tc>
          <w:tcPr>
            <w:tcW w:w="70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Executive Vice President, Managing Director EMEA and Asia Pacific, Head of Research &amp;</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149"/>
        </w:trPr>
        <w:tc>
          <w:tcPr>
            <w:tcW w:w="20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Advisory Solutions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00" w:type="dxa"/>
            <w:vAlign w:val="bottom"/>
            <w:tcBorders>
              <w:bottom w:val="single" w:sz="8" w:color="B6B6B6"/>
            </w:tcBorders>
          </w:tcPr>
          <w:p>
            <w:pPr>
              <w:spacing w:after="0"/>
              <w:rPr>
                <w:sz w:val="7"/>
                <w:szCs w:val="7"/>
                <w:color w:val="auto"/>
              </w:rPr>
            </w:pPr>
          </w:p>
        </w:tc>
        <w:tc>
          <w:tcPr>
            <w:tcW w:w="700" w:type="dxa"/>
            <w:vAlign w:val="bottom"/>
            <w:tcBorders>
              <w:bottom w:val="single" w:sz="8" w:color="B6B6B6"/>
            </w:tcBorders>
          </w:tcPr>
          <w:p>
            <w:pPr>
              <w:spacing w:after="0"/>
              <w:rPr>
                <w:sz w:val="7"/>
                <w:szCs w:val="7"/>
                <w:color w:val="auto"/>
              </w:rPr>
            </w:pPr>
          </w:p>
        </w:tc>
        <w:tc>
          <w:tcPr>
            <w:tcW w:w="7000" w:type="dxa"/>
            <w:vAlign w:val="bottom"/>
            <w:tcBorders>
              <w:bottom w:val="single" w:sz="8" w:color="B6B6B6"/>
            </w:tcBorders>
            <w:vMerge w:val="continue"/>
          </w:tcPr>
          <w:p>
            <w:pPr>
              <w:spacing w:after="0"/>
              <w:rPr>
                <w:sz w:val="7"/>
                <w:szCs w:val="7"/>
                <w:color w:val="auto"/>
              </w:rPr>
            </w:pPr>
          </w:p>
        </w:tc>
        <w:tc>
          <w:tcPr>
            <w:tcW w:w="1540" w:type="dxa"/>
            <w:vAlign w:val="bottom"/>
            <w:tcBorders>
              <w:bottom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Kristina W. Karnovsky</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43</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Product Officer</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Jonathan Reeve</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54</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Head of Content &amp; Technology Solutions</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John Costigan</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53</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Content Officer</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Katherine M. Stepp</w:t>
            </w:r>
          </w:p>
        </w:tc>
        <w:tc>
          <w:tcPr>
            <w:tcW w:w="700" w:type="dxa"/>
            <w:vAlign w:val="bottom"/>
            <w:tcBorders>
              <w:bottom w:val="single" w:sz="8" w:color="B6B6B6"/>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37</w:t>
            </w:r>
          </w:p>
        </w:tc>
        <w:tc>
          <w:tcPr>
            <w:tcW w:w="7000" w:type="dxa"/>
            <w:vAlign w:val="bottom"/>
            <w:tcBorders>
              <w:bottom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c>
          <w:tcPr>
            <w:tcW w:w="15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 Philip Snow – Chief Executive Officer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Snow was named Chief Executive Officer effective July 1, 2015. Prior to that, Mr. Snow held the title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He began his career at FactSet in 1996 as a Consultant, before moving to Asia to hold positions in the Tokyo and Sydney offices. Following his move back to the U.S. in 2000, Mr. Snow held various sales leadership roles prior to assuming the role of Senior Vice President, Director of U.S. Investment Management Sales in 2013. Mr. Snow received a Bachelor of Arts in Chemistry from the University of California at Berkeley and a Master of International Management from the Thunderbird School of Global Management. He has earned the right to use the Chartered Financial Analyst designation.</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Linda S. Huber – Executive Vice President, Chief Financial Officer. </w:t>
      </w:r>
      <w:r>
        <w:rPr>
          <w:rFonts w:ascii="Times New Roman" w:cs="Times New Roman" w:eastAsia="Times New Roman" w:hAnsi="Times New Roman"/>
          <w:sz w:val="18"/>
          <w:szCs w:val="18"/>
          <w:color w:val="auto"/>
        </w:rPr>
        <w:t>Ms. Huber was appointed Executive Vice President,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FactSet in October 2021. As Chief Financial Officer, she is responsible for FactSet’s global finance organization and oversees all financial functions, including accounting, corporate development, financial planning and analysis, treasury, tax, and investor relations. Prior to joining FactSet, Ms. Huber served as Chief Financial Officer and Treasurer at MSCI Inc. Prior to joining MSCI, she served as Executive Vice President and Chief Financial Officer of Moody’s Corporation from May 2005 to June 2018. Earlier in her career, Ms. Huber served in several increasingly senior roles in financial services, including Executive Vice President and Chief Financial Officer at U.S. Trust Company, a subsidiary of Charles Schwab &amp; Company, Inc.; Managing Director at Freeman &amp; Co.; Vice President of Corporate Strategy and Development and Vice President and Assistant Treasurer at PepsiCo.; Vice President of Energy Investment Banking Group at Bankers Trust Co.; and Associate in the Natural Resources Group at The First Boston Corp. Ms. Huber also held the rank of Captain in the U.S. Army. Ms. Huber earned an MBA from the Stanford Graduate School of Business and a B.S. degree in business and economics from Lehigh University.</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R. Stern – Executive Vice President, Chief Legal Officer, Global Head of Strategic Resources and Secretary. </w:t>
      </w:r>
      <w:r>
        <w:rPr>
          <w:rFonts w:ascii="Times New Roman" w:cs="Times New Roman" w:eastAsia="Times New Roman" w:hAnsi="Times New Roman"/>
          <w:sz w:val="18"/>
          <w:szCs w:val="18"/>
          <w:color w:val="auto"/>
        </w:rPr>
        <w:t>Ms. Stern was appointed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Chief Legal Officer and Global Head of Strategic Resources and Secretary in October 2018. In addition to her role in the Legal Department, Ms. Stern is also responsible for Compliance, Facilities Management and Real Estate Planning and the administration of our offices in Hyderabad, Manila and Riga. Ms. Stern joined FactSet in January 2001 as General Counsel. Ms. Stern is admitted to practice in New York, Washington D.C., and as House Counsel in Connecticut. Ms. Stern received a Bachelor of Arts from Yale University, a Master of Arts from the University of London and a Juris Doctor from the University of Pennsylvania Law School.</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J. Robie – Executive Vice President, Head of Analytics &amp; Trading Solutions. </w:t>
      </w:r>
      <w:r>
        <w:rPr>
          <w:rFonts w:ascii="Times New Roman" w:cs="Times New Roman" w:eastAsia="Times New Roman" w:hAnsi="Times New Roman"/>
          <w:sz w:val="18"/>
          <w:szCs w:val="18"/>
          <w:color w:val="auto"/>
        </w:rPr>
        <w:t>Mr. Robie was appointed Executive Vice President,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Analytics &amp; Tradition Solutions in September 2018. In his current role, he oversees strategy, research, development and engineering for Analytics &amp; Trading platforms. Mr. Robie joined FactSet in July 2000 as a Product Sales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Specialist. During his tenure at FactSet, Mr. Robie has held several positions of increased responsibility, including Senior Director of Analytics and Director of Global Fixed Income. Although Mr. Robie joined FactSet in 2000, he did work at BTN Partners from 2004 through 2005 in their quantitative portfolio management and performance division, before returning to continue his career with FactSet. Mr. Robie holds a Bachelor of Arts in Economics and Fine Arts from Beloit College.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Helen L. Shan – Executive Vice President, Chief Revenue Officer. </w:t>
      </w:r>
      <w:r>
        <w:rPr>
          <w:rFonts w:ascii="Times New Roman" w:cs="Times New Roman" w:eastAsia="Times New Roman" w:hAnsi="Times New Roman"/>
          <w:sz w:val="18"/>
          <w:szCs w:val="18"/>
          <w:color w:val="auto"/>
        </w:rPr>
        <w:t>Ms. Shan was appointed Executive Vice President, Chief Revenue Officer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3, 2021. As the Chief Revenue Officer, she is responsible for driving revenue growth by managing global sales, client solutions, marketing and media relations. Ms. Shan joined FactSet as Chief Financial Officer in September 2018 where she oversaw all financial functions at FactSet. Prior to that, she was at Marsh McLennan Companies, where she served in a variety of roles, including as the company's Corporate Treasurer and also as Chief Financial Officer for Mercer, a professional services firm where she was responsible for global financial reporting and performance, operational finance, investments, and corporate strategy. Preceding that, Ms. Shan also served as the Vice President and Treasurer for Pitney Bowes Inc. and served as a Managing Director at J.P. Morgan. In September 2018, Ms. Shan joined the Board of Directors of EPAM Systems Inc., a global provider of digital platform engineering and software development services. Ms. Shan holds dual degrees with a Bachelor of Science and a Bachelor of Applied Science from the University of Pennsylvania’s Wharton School of Business and School of Applied Science and Engineering. Ms. Shan also has a Master of Business Administration from Cornell University’s SC Johnson College of Business.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Viens – Executive Vice President, Chief Human Resources Officer. </w:t>
      </w:r>
      <w:r>
        <w:rPr>
          <w:rFonts w:ascii="Times New Roman" w:cs="Times New Roman" w:eastAsia="Times New Roman" w:hAnsi="Times New Roman"/>
          <w:sz w:val="18"/>
          <w:szCs w:val="18"/>
          <w:color w:val="auto"/>
        </w:rPr>
        <w:t>Mr. Viens was appointed Executive Vice President Chief Human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in October 2021. Mr. Viens joined FactSet in September 1998 as a Vice President, Director of Human Resources and has held several leadership positions of increased responsibility in Human Resources. Prior to joining FactSet, Mr. Viens was a Director of Human Resources for First Data Solutions and Donnelly Marketing (a former company of Dun &amp; Bradstreet), where he developed significant Human Resources acumen. Mr. Viens graduated from Boston University, and holds both a Master's Degree from Eastern Illinois University in Clinical Psychology and a Master of Business Administration from Columbia University.</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Goran Skoko – Executive Vice President, Managing Director EMEA and Asia Pacific, Head of Research &amp; Advisory Solutions. </w:t>
      </w:r>
      <w:r>
        <w:rPr>
          <w:rFonts w:ascii="Times New Roman" w:cs="Times New Roman" w:eastAsia="Times New Roman" w:hAnsi="Times New Roman"/>
          <w:sz w:val="18"/>
          <w:szCs w:val="18"/>
          <w:color w:val="auto"/>
        </w:rPr>
        <w:t>Mr. Skoko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appointed Executive Vice President, Managing Director EMEA and Asia Pacific and Head of Research &amp; Advisory Solutions in July 2021. In his current role, Mr. Skoko is responsible for providing direction to address the product and content needs for EMEA and Asia Pacific clients while also focusing on increased deployment and building community with our Research &amp; Advisory Solutions. Prior to that, Mr. Skoko was Executive Vice President, Managing Director EMEA and Asia Pacific and Head of Wealth Solutions. He joined FactSet in 2004 as a Senior Product developer and has held a number of positions of increased responsibility. Prior to FactSet, he spent 16 years in various engineering and product management roles at Thomson Financial. Mr. Skoko earned his B.S. in Physics and Computer Science from Fordham University.</w:t>
      </w:r>
    </w:p>
    <w:p>
      <w:pPr>
        <w:sectPr>
          <w:pgSz w:w="11900" w:h="16838" w:orient="portrait"/>
          <w:cols w:equalWidth="0" w:num="1">
            <w:col w:w="11240"/>
          </w:cols>
          <w:pgMar w:left="320" w:top="121" w:right="339" w:bottom="0" w:gutter="0" w:footer="0" w:header="0"/>
        </w:sectPr>
      </w:pPr>
    </w:p>
    <w:bookmarkStart w:id="11" w:name="page12"/>
    <w:bookmarkEnd w:id="1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Kristina W. Karnovsky – Executive Vice President, Chief Product Officer. </w:t>
      </w:r>
      <w:r>
        <w:rPr>
          <w:rFonts w:ascii="Times New Roman" w:cs="Times New Roman" w:eastAsia="Times New Roman" w:hAnsi="Times New Roman"/>
          <w:sz w:val="18"/>
          <w:szCs w:val="18"/>
          <w:color w:val="auto"/>
        </w:rPr>
        <w:t>Ms. Karnovsky was appointed Executive Vice President, Chief Product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July 2021. In her current role she works across the entire product portfolio to deliver a differentiated advantage for clients and support their success. Prior to this role, Ms. Karnovsky was Head of Research Solutions. Ms. Karnovsky joined FactSet in 2001 as a Consultant and spent over a decade building FactSet's sell-side business in Sales leadership roles. Ms. Karnovsky earned a bachelor's degree from the University of Scranton.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Reeve – Executive Vice President, Head of Content &amp; Technology Solutions. </w:t>
      </w:r>
      <w:r>
        <w:rPr>
          <w:rFonts w:ascii="Times New Roman" w:cs="Times New Roman" w:eastAsia="Times New Roman" w:hAnsi="Times New Roman"/>
          <w:sz w:val="18"/>
          <w:szCs w:val="18"/>
          <w:color w:val="auto"/>
        </w:rPr>
        <w:t>Mr. Reeve was appointed Executive Vice President, Head of 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FactSet in October 2021. As Head of CTS, he oversees and leads the development of FactSet’s off-platform products, including financial data solutions, application technologies, CUSIP Global Services, and the delivery of FactSet proprietary and third-party content over our data feeds, API’s, Open FactSet Marketplace, and cloud-delivery solutions. Mr. Reeve joined FactSet in April 2020 as Senior Vice President and Head of Content &amp; Technology Solutions. Prior to joining FactSet, Mr. Reeve led Connectivity, Feeds and Desktop Businesses at Intercontinental Exchange (ICE). Earlier in his career, he held various positions at S&amp;P Global, including Chief Data Officer and Head of Product &amp; Content for the S&amp;P Market Intelligence Division. Mr. Reeve earned a B.A. in Economics from Concordia University in Montreal.</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Costigan – Executive Vice President, Chief Content Officer. </w:t>
      </w:r>
      <w:r>
        <w:rPr>
          <w:rFonts w:ascii="Times New Roman" w:cs="Times New Roman" w:eastAsia="Times New Roman" w:hAnsi="Times New Roman"/>
          <w:sz w:val="18"/>
          <w:szCs w:val="18"/>
          <w:color w:val="auto"/>
        </w:rPr>
        <w:t>Mr. Costigan was appointed Chief Content Officer of FactSet in April 2022.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Officer, he is responsible for FactSet's enterprise-wide Content Strategy and leads Content Development from planning through production. This includes Content's Digital Transformation using modern techniques and technology to drive timeliness, accuracy, coverage, consistency and usability across all FactSet Content assets. Mr. Costigan has been at FactSet since September 2007 in a variety of roles. Prior to joining FactSet, Mr. Costigan served as Vice President, Product Management at Thomson Financial, and spent 11 years in a variety of Product Management roles at First Call, Autex, ILX, and Tradeweb. Mr. Costigan earned a bachelor's degree in Economics from St. Michael's College.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Katherine M. Stepp – Executive Vice President, Chief Technology Officer. </w:t>
      </w:r>
      <w:r>
        <w:rPr>
          <w:rFonts w:ascii="Times New Roman" w:cs="Times New Roman" w:eastAsia="Times New Roman" w:hAnsi="Times New Roman"/>
          <w:sz w:val="18"/>
          <w:szCs w:val="18"/>
          <w:color w:val="auto"/>
        </w:rPr>
        <w:t>Ms. Stepp was appointed Chief Technology Officer, effective September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As Chief Technology Officer, she is responsible for leading FactSet's technology organization and overseeing its digital transformation strategy. Ms. Stepp joined FactSet in 2008 and previously served as Senior Director of Product Management within FactSet's Research and Advisory workflow solutions business. Prior to that role, she was Senior Director of Engineering within FactSet's Research workflow solutions business. Ms. Stepp holds a B.S. in Computer Science from Carnegie Mellon University.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with respect to our business is included in the following pages and is incorporated herein by reference: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Page(s)</w:t>
            </w:r>
          </w:p>
        </w:tc>
      </w:tr>
      <w:tr>
        <w:trPr>
          <w:trHeight w:val="203"/>
        </w:trPr>
        <w:tc>
          <w:tcPr>
            <w:tcW w:w="20" w:type="dxa"/>
            <w:vAlign w:val="bottom"/>
            <w:shd w:val="clear" w:color="auto" w:fill="CCEEFF"/>
          </w:tcPr>
          <w:p>
            <w:pPr>
              <w:spacing w:after="0"/>
              <w:rPr>
                <w:sz w:val="17"/>
                <w:szCs w:val="17"/>
                <w:color w:val="auto"/>
              </w:rPr>
            </w:pPr>
          </w:p>
        </w:tc>
        <w:tc>
          <w:tcPr>
            <w:tcW w:w="988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88"/>
              </w:rPr>
              <w:t>21</w:t>
            </w:r>
          </w:p>
        </w:tc>
        <w:tc>
          <w:tcPr>
            <w:tcW w:w="1140" w:type="dxa"/>
            <w:vAlign w:val="bottom"/>
            <w:shd w:val="clear" w:color="auto" w:fill="CCEEFF"/>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46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11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11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risks could materially and adversely affect our business, financial condition, results of operations, and cash flows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Annual Report on Form 10-K, including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w:t>
      </w:r>
      <w:r>
        <w:rPr>
          <w:rFonts w:ascii="Times New Roman" w:cs="Times New Roman" w:eastAsia="Times New Roman" w:hAnsi="Times New Roman"/>
          <w:sz w:val="18"/>
          <w:szCs w:val="18"/>
          <w:color w:val="auto"/>
        </w:rPr>
        <w:t>s and our Consolidated Financial Statements including the related Notes. Investors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carefully consider all risks, including those disclosed here, before making an investment decision.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&amp; Data Security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corruption and misappropriation of data and information relating to clients and others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as well as our internal systems and processes, involve the collection, retrieval, processing, storage and transmission through a variety of media channels of our own, as well as supplier and customer, proprietary information and sensitive or confidential data. We rely on, and continuously invest in, a complex system of internal processes and controls, along with policies, procedures and training, designed to protect data that we receive in the ordinary course of business, including information from client portfolios and strategies. However, these measures do not guarantee security, and improper access to or release of confidential information may still occur through, for example, employee error or malfeasance, system error, other inadvertent release, failure to properly purge and protect data, or cyberattack. Additionally, the maintenance and enhancement of our systems may not be completely effective in preventing loss, unauthorized access or misappropriation. Data misappropriation, unauthorized access or data loss could instill a lack of confidence in our products and systems and damage our brand, reputation and business. Breaches of security measures could expose us, our clients or the individuals affected to a risk of loss or misuse of this information, potentially resulting in litigation and liability for us, as well as the loss of existing or potential clients and suppliers. Many jurisdictions in which we operate have laws and regulations relating to data privacy and protection of personal information, including, for example, the European Union General Data Protection Regulation, which became effective May 25, 2018, the laws of multiple U.S. states such as California's Consumer Privacy Act, which became effective January 1, 2020, and China's Personal Information Protection Law, which became effective November 1, 2021. These laws contain requirements regarding the handling of personal and sensitive data, including our use, protection and the ability of persons whose data is stored to correct or delete such data about themselves. The law in this area continues to develop and the changing nature of privacy laws could impact our processing of personal and sensitive information related to our content, operations, employees, clients, and suppliers, and may expose us to claims of violations.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prohibited data access and other cyber-attacks and the failure of cyber-security systems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providing our digital-enabled services to clients, we rely on information technology infrastructure that is managed internally along with placing reliance on third-party service providers for critical functions. We and these third-party service providers are subject to the risks of system failures and security breaches, including cyber-attacks (including those sponsored by nation-states, terrorist organizations, or global corporations seeking to illicitly obtain technology or other intellectual property), such as phishing scams, hacking, viruses, denials of service attacks, tampering, intrusions, physical break-ins, ransomware and malware as well as employee errors or malfeasance. In some cases, these risks might be heightened when employees are working remotely. Our and our vendors' use of mobile and cloud technologies may increase our risk for such threats. Our protective</w:t>
      </w: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and procedures and those of third parties to which we are connected, such as cloud computing providers, may not be effective against these threats.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information technology systems must be constantly updated and patched to protect against known vulnerabilities and to optimize performance.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dedicated resources responsible for maintaining appropriate levels of cybersecurity and implemented systems and processes intended to help identify cyberattacks and protect and remediate our network infrastructure, we are aware that these attacks have become increasingly frequent, sophisticated, and difficult to detect and, as a result, we may not be able to anticipate, prevent or detect all such attacks. We also may be impacted by a cyberattack targeting one of our vendors or within our technology supply chain or infrastructure. Our contracts with service providers typically require them to implement and maintain adequate security controls, but we may not have the ability to effectively monitor these security measures. As a result, inadequacies of the third-party security technologies and practices may not be detected until after a security breach has occurred. These risks may be heightened in connection with employees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devices or computing devices that are outside of our network environment and are subject to their own security risk.</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suffer significant damage to our brand and reputation: if a cyber-attack or other security incident were to allow unauthorized access to, or modification of, clients’ or suppliers’ data, other external data, internal data or information technology systems; if the services provided to clients were disrupted; or if products or services were perceived as having security vulnerabilities. The costs we would incur to address and resolve these security incidents would increase our expenses. These types of security incidents could also lead to lawsuits, regulatory investigations and claims, loss of business and increased legal liability. Cyberattacks, security breaches or third-party reports of perceived security vulnerability to our systems, even if no breach has occurred, also could damage our brand and reputation, result in litigation, regulatory actions, loss of client confidence and increased legal liability. We also make acquisitions periodically. While significant effort is placed on addressing information technology security issues with respect to the acquired companies, we may inherit such risks when these acquisitions are integrated into our infrastructure.</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or recurring outage at our data centers and other business continuity disruptions at facilities could result in reduced service and the loss of clients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on our computer-based networks, database storage facilities, and other network infrastructure, which are located across multiple facilities globally. If we experience significant growth of our customer base or increases in the number of products or services or in the speed at which we are required to provide products and services, it may strain our systems. Additionally, our systems and networks may become strained due to aging or end-of-life technology that we have not yet updated or replaced.</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computer operations, as well as our other business centers, and those of our suppliers and clients, are vulnerable to interruption by fire, natural disaster, power loss, telecommunications failures, terrorist attacks, acts of war, civil unrest, internet failures, computer viruses, security breaches, and other events beyond our reasonable control. In addition, in the remote work environments, the daily activities and productivity of our workforce is now more closely tied to key vendors, such as video conferencing services, consistently delivering their services without material disruption. Our ability to deliver information using the internet and to operate in a remote working environment may be impaired because of infrastructure failures, service outages at third-party internet providers, malicious attacks, or other factors.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currently use multiple providers of cloud services; however, one supplier provided the majority of our cloud computing support for the twelve months ended August 31, 2022. While we believe this provider to be reliable, we have limited control over its performance, and a disruption or loss of service from this provider could impair our system's operation and our ability to operate for a period of time.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 Additionally, we may also face significant increases in our use of power and data storage and may experience a shortage of capacity and increased costs associated with such usage.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to new technologies, applications and processes could expose us to unanticipated disruptions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technology landscape is constantly evolving. To remain competitive, we must adapt and migrate to new technologies, applications and processes. Use of more advanced technologies and infrastructure is critical to the development of our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services, the scaling of our business for future growth, and the accurate maintenance of our data and operations. The implementation of new technologies and infrastructure, such as migration to new cloud-based systems, is complex and can involve substantial expenditures as well as risks inherent in the conversion to any new system, including potential loss of information and disruption to operations. We may experience unanticipated interruption and delay in the performance and delivery of certain of our products and services. Certain of our technologies are also dependent upon third-party providers to maintain adequate systems to protect the security of our confidential information and data. Failure by our providers to maintain appropriate security could result in unauthorized access to our systems or a network disruption that could further lead to improper disclosure of confidential information or data, regulatory penalties and remedial costs. Any disruption to either the provider’s systems or the communication links between us and the provider could negatively affect our ability to operate our data systems and could impair our ability to provide services to our clients. If the services to our clients are disrupted, or if there is unauthorized access to the confidential information of our clients or our vendors, we could suffer significant damage to our brand and reputation and lose clients. We also may incur increased operating expenses to recover data, repair or remediate systems, equipment or facilities, and to protect ourselves from such disruptions. As we increase our reliance on third-party systems, our exposure to damages from services disruptions may increase, and we may incur additional costs to remedy damages caused by these disruptions.</w:t>
      </w:r>
    </w:p>
    <w:p>
      <w:pPr>
        <w:spacing w:after="0" w:line="14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open source software could introduce security vulnerabilities, impose unanticipated restrictions on our ability to commercialize our products and services, and subject us to increased costs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open source code in our software development and incorporate it into our products and internal systems. The use of open source code may entail greater risks than the use of third-party commercial software. Open source licensors generally do not provide warranties or other contractual protections regarding infringement claims or the quality or security of the code. Some open source licenses provide that if we combine our proprietary applications with the open source software in a certain manner, we could be required to release the source code of our proprietary applications to the public. This would allow our competitors to create similar products with less development effort and time and ultimately put us at a competitive disadvantage. We have implemented procedures to control the use of open source code so as to mitigate this risk; however, the terms of many open source licenses are also ambiguous and have not been interpreted by U.S. or other courts. Therefore, there is a risk that our internal procedures controlling the use of open source code could fail, or that the licenses could be construed in a manner that imposes unanticipated conditions or restrictions on us. If any of this were to occur, we could be required to seek alternative third-party licenses at increased costs or reduced scope, to re-engineer products or systems, or potentially to discontinue the licensing of certain products. Any remedial actions could divert resources away from our development efforts, be time intensive and have a significant cost.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&amp; Market Demand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industry may cause price reductions or loss of market share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experience intense competition across all markets for our products, with competitors ranging in size from smaller, highly specialized, single-product businesses to multi-billion-dollar companies.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revenues and ASV. Weak economic conditions may also result in clients seeking to utilize lower-cost information that is available from alternative sources. The impact of cost-cutting pressures across the industries we serve could lower demand for our products.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continued shift from active to passive investing could negatively impact user count growth and revenues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predominant investment strategy today is still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services.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equity and/or fixed income returns may impact the buying power of investment management clients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ASV is derived from our investment management clients, and the profitability and management fees of many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services and workstations, which could negatively affect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or downturns in the global economy and consolidation in the financial services industry may cause us to lose clients and users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clients are investment banks, asset managers, wealth advisors, and other financial services entities. Uncertainty or downturns in the global economy or a lack of confidence in the global financial system could negatively impact our clients, which could cause a corresponding negative impact on our business results. Mergers, consolidation or contraction of our clients in the financial services industry also could directly impact the number of clients and prospective clients and users of our products and services. If our clients merge with or are acquired by other entities that are not our clients, or that use fewer of our products and services, they may discontinue or reduce their use of our products and services. Thus, economic uncertainty, economic downturns, lack of confidence in the global financial system, and consolidation in this sector could adversely affect our business, financial results and future growth.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or downturns in the financial markets may delay the spending pattern of clients and reduce future ASV growth</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decision on the part of large institutional clients to purchase our services often requires management-level sponsorship and typically depends upon the size of the client, with larger clients having more complex and time-consuming purchasing processes. The process is also influenced by market volatility and market downturns. These characteristics often lead us to engage in relatively lengthy sales efforts. Purchases (and incremental ASV) may therefore be delayed as uncertainties or downturns in the financial markets may cause clients to remain cautious about capital and data content expenditures, particularly in uncertain economic environments. Market volatility or market downturns may curtail our client's spending and lead them to delay or defer purchasing decisions or product service implementations, or cause them to cancel or reduce their spending with us, which could negatively impact our revenues and future growth.</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and market new products and enhancements that maintain our technological and competitive position and failure to anticipate and respond to changes in the marketplace for our products and customer demands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products is characterized by rapid technological change, including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customer systems. Further, any new products and enhancements may not adequately meet the requirements of the marketplace or achieve market acceptance. We must make long-term investments and commit significant resources before knowing whether these investments will eventually result in products and services that satisfy our clients' needs and generate revenues required to provide the desired results. Our failure or inability to anticipate and respond to changes in the marketplace, including competitor and supplier developments, may also adversely affect our business, operations and growth.</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Errors or defects can exist at any point in a product's life cycle, but are more frequently found after the introduction of new products or enhancements to existing products. Despite internal testing and testing by clients, our products may contain errors. We may also experience delays while developing and introducing new products for various reasons, such as difficulties in licensing data inputs. Defects, errors, or delays in our products that are significant, or are perceived to be significant, could result in rejection or delay in market acceptance, damage to our reputation, loss of revenues, lower rate of license renewals or upgrades, diversion of development resources, product liability claims or regulatory actions, or increases in service and support costs.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provisions in our client contracts to limit our exposure to potential liability claims brought by clients based on the use of our products or services or our delay or failure to provide services. Contracts with customers also increasingly include service level requirements and audit rights to review our security. Many of our customers in the financial services sector are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subject to regulations and requirements to adopt risk management processes commensurate with the level of risk and complexity of their third-party relationships, and provide rigorous oversight of relationships that involve certain "critical activities," some of which may be deemed to be provided by us. Any failure on our part to comply with the specific provisions in customer contracts could result in the imposition of various penalties, which may include termination of contracts, service credits, suspension of payments, contractual penalties, adverse monetary judgments, and, in the case of government contracts, suspension from future government contracting. Even if the outcome of any claims brought against us were ultimately favorable, such a claim would require the time and attention of our management, personnel, as well as financial and other resources and potentially pose a significant disruption to our normal business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identify, integrate, or realize anticipated benefits of acquisitions and strains on resources as a result of growth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identify suitable candidates for successful acquisition at acceptable prices. Additionally, there may be integration risks or other risks resulting from acquired businesses, including our acquisition of CGS during fiscal 2022. Our ability to achieve the expected returns and synergies from past and future acquisitions and alliances depends in part upon our ability to integrate the offerings, technology, sales, administrative functions and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reputation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enjoy a positive reputation in the marketplace. Our ability to attract and retain clients and employees is affected by external perceptions of our brand and reputation. Reputational damage from negative perceptions or publicity, including without limitation market perception of our sustainability and corporate responsibility policies and practices, could affect our ability to attract and retain clients and employees and our ability to maintain our pricing for our products. Although we monitor developments for areas of potential risk to our reputation and brand, negative perceptions or publicity could have a material adverse effect on our business and financial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outside the United States involve additional requirements and burdens that we may not be able to control or manage successfully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2022, approximately 40% of our revenues related to operations located outside the U.S. In addition, approximately 79% of our employees are located in offices outside the U.S. We expect our growth to continue outside the U.S.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currency controls, marketing and sales and other barriers to conducting business; social and cultural differences, such as language; diverse or less stable political, operating and economic environments and market fluctuations; civil disturbances or other catastrophic events that reduce business activity, including the risk that the current conflict between Ukraine and Russia expands in a way that impacts our business and operations;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enter into, renew or comply with contracts supplying new and existing data sets or products on competitive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collect and aggregate third-party content from data suppliers, news sources, exchanges, brokers and contributors into our own dedicated online service, which clients access to perform their analyses. We combine the data from these sources into our own dedicated databases. Clients have access to the data and content found within our databases. These databases are important to our operations as they provide clients with key information. We have entered into third-party content agreements of varying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lengths, which in some cases can be terminated on one year’s notice at predefined dates, and in other cases on shorter notice. Some of our content provider agreements are with competitors, who may attempt to make renewals difficult or expensive. We seek to maintain favorable contractual relationships with our data suppliers, including those that are also competitors. However, we cannot control the actions and policies of our data suppliers and we may have data suppliers who provide us with notice of termination, or exclude or restrict us from use of their content, or only license such content at prohibitive cost. Additionally, despite our efforts to comply with our third-party data supplier agreements, there can be no assurances that third parties may not challenge our use of their content, which could result in increased licensing costs, loss of rights, and costly legal actions. Certain data sets that we rely on have a limited number of suppliers, although we make every effort to assure that, where reasonable, alternative sources are available. We are not dependent on any one third-party data supplier in order to meet the needs of our clients, with only two data suppliers each representing more than 10% of our total data costs for the twelve months ended August 31, 2022. Our failure to be able to maintain these relationships, or the failure of our suppliers to deliver accurate data or in a timely manner, or the occurrence of a dispute with a vendor over use of their content, could increase our costs and reduce the type of content and products available to our clients, which could harm our reputation in the marketplace and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accessibility to free or relatively inexpensive information sources may reduce demand for our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an increasing amount of free or relatively inexpensive information becomes available, particularly through the internet, and this trend may continue. The availability of free or relatively inexpensive information may reduce demand for our products. While we believe our service offering is distinguished by such factors as customization, timeliness, accuracy, ease-of-use, completeness and other value-added factors, if users choose to obtain the information they need from public or other sources, our business, results of operations, and cash flows could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Inability to hire and retain key qualified personnel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based on successfully attracting, motivating and retaining talented and diverse employees. Creating a diverse and inclusive environment that promotes empowerment and engagement is key to our ability to attract, retain, and develop talent. Competition for talent, especially engineering personnel, is strong. We need technical resources such as engineers to help develop new products and enhance existing services. We rely upon sales personnel to sell our products and services and maintain healthy business relationships. Our future success also is dependent on the continued service and performance of the members of our senior leadership team. All of these personnel possess business and technical capabilities that are difficult to replace. If we are unsuccessful in our recruiting efforts, or if we are unable to retain key employees, our ability to develop and deliver successful products and services may be adversely affected and could have a material, adverse effect on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other global public health epidemics may adversely impact our business, our future results of operations and our overall financial performance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risk, or the public perception of risk, related to a pandemic or widespread health crisis, such as the COVID-19 pandemic. A significant outbreak, epidemic or pandemic of contagious diseases in the human population could result in a widespread health crisis adversely affecting the broader economies, financial markets and overall demand for our products. In addition, any preventative or protective actions that governments implement or that we take in respect of a global health crisis, such as travel restrictions, quarantines or site closures, may interfere with the ability of our employees, vendors, and data suppliers to perform their respective responsibilities and obligations relative to the conduct of our business, including our ability to gather content. Such results could have a material adverse effect on our operations, business, financial condition, results of operations, or cash flows.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the COVID-19 pandemic has not had a material negative impact on our financial condition, results of operations, or cash flows. However, due to the ongoing uncertainty related to the duration, magnitude and impact of the pandemic, it may still have a substantial negative impact on our employees' or vendors' productivity, which could result in our operations, including our ability to gather content, suffering, and in turn our results of operations, cash flows, and overall financial performance being impacted negatively. Furthermore, if our employees incur substantial medical expenses due to COVID-19, our expenses may increase due to our self-funded employee medical insurance model. Our management is focused on mitigating the effects of COVID-19 on our business, which has required and will continue to require a substantial investment of their time and may delay their other efforts. The continued impact of COVID-19 may also increase the severity or likelihood of the other risks described in this Item, any of which could have a material effect on us. Given the dynamic nature of these circumstances, the extent to which our business, financial condition, results of operations, or cash flows are affected by COVID-19 will depend in part on future developments which cannot be accurately predicted and are uncertain. The impact of the COVID-19 pandemic depends upon various uncertainties, including the geographic spread of the virus, the severity of the virus, the duration of the outbreak, and actions that may be taken by governmental authorities to contain the virus. If we are not able to respond to and manage the impact of such events effectively, our business and financial condition could be negatively impacted. Refer to Item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Management’s Discussion and Analysis of Financial Condition and Results of Operations - COVID-19 Update </w:t>
      </w:r>
      <w:r>
        <w:rPr>
          <w:rFonts w:ascii="Times New Roman" w:cs="Times New Roman" w:eastAsia="Times New Roman" w:hAnsi="Times New Roman"/>
          <w:sz w:val="18"/>
          <w:szCs w:val="18"/>
          <w:color w:val="auto"/>
        </w:rPr>
        <w:t>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&amp; Regulatory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and regulatory changes in the environments in which we and our clients operate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business, we are subject to numerous laws and regulations in the U.S. and in the other countries in which we operate. These laws, rules, and regulations, and their interpretations, may change in the future or conflict,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including the U.S. and nations in Europe and Asia, heightens the risk of regulatory uncertainty.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revenues. Recent regulatory changes that we believe might materially impact us and our clients include: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MiFID</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("EU"), the Markets in Financial Instruments Directive (recast) ("MiFID II") became effective in January 2018. In the United Kingdom ("UK"), laws and regulations implementing MiFID II were modified to transpose aspects of EU law and address deficiencies that would have otherwise been created as a result of the UK's withdrawal from the EU. We believe that compliance with MiFID II requirements is time-consuming and costly for investment managers who are subject to it and may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In May 2022, the UK government announced the new Financial Services and Markets Bill ("FSM Bill"), which would reform financial service regulation in the UK and represent a divergence from the existing UK MiFID regime. There is no set timescale as to when passage of the FSM Bill would occur. This regulatory reform may impact some of our UK-regulated clients and may require them to devote more resources towards realigning their compliance measures, and in some cases ensuring compliance with both the UK and EU regimes. We continue to monitor and work with our clients to navigate through the impact of UK regulatory change and of MiFID II on the investment process and trade lifecycle.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31, 2020, the UK formally left the EU. On January 1, 2021, the UK left the EU Single Market and Customs Union, as well as all EU policies and international agreements. resulting in two separate markets in the EU and the UK. On December 24, 2020, the EU reached a trade agreement with the UK (the "Trade Agreement"). The Trade Agreement offers UK and EU companies preferential access to each other's markets, ensuring imported goods will be free of tariffs and quotas; however, economic relations between the UK and EU will now be on more restricted terms than existed previously. The Trade Agreement does not incorporate the full scope of the services sector, and businesses such as banking and finance face uncertainty. In March 2021, the UK and EU had agreed on a framework for voluntary regulatory cooperation and dialogue on financial services issues between the two countries in a Memorandum of Understanding (the "MOU"), which is expected to be signed after formal steps are completed, although this has not yet occurred. In June 2022, following an inquiry, the European Affairs Committee issued a report which concluded that while the outlook for financial services after Brexit seems relatively positive, the impact of Brexit on financial services would be dependent on political decisions made by the UK and the EU. At this time, we cannot predict the impact that the Trade Agreement, the MOU or any future agreements on services, particularly financial services, will have on our business and our clients. It is possible that new terms may adversely affect our operations and financial results. We continue to evaluate our own risks and uncertainty related to Brexit, and partner with our clients to help them navigate the fluctuating international markets. This uncertainty may have an impact on our clients’ expansion or spending plans, which may in turn negatively impact our revenue or growth. The EU Commission has adopted adequacy decisions which will allow personal data to continue to move freely between the EU and the UK until June 27, 2025. While these adequacy decisions have created some certainty for our clients, we will continue to monitor developments which may impact their future validity and extension.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resolution of litigation or governmental investigations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lawsuits in the normal course of our business.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For additional information regarding legal matters, see Item 3.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of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claim we infringe upon their intellectual property rights or may infringe upon our intellectual property rights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cost due to tax assessments resulting from ongoing and future audits by tax authorities as well as changes in tax laws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subject to changes in tax laws as well as tax examinations by various governmental tax authorities. The global and diverse nature of our business means that there could be additional examinations by governmental tax authorities and the resolution of ongoing and other probable audits which could impose a future risk to the results of our business. In August 2019 and July 2021, we received Notices of Intent to Assess (the "Notices") additional sales/use taxes, interest and underpayment penalties from the Commonwealth of Massachusetts Department of Revenue relating to prior tax periods. Based upon a review of the Notices, we believe the Commonwealth may assess sales/use tax, interest and underpayment penalties on previously recorded sales transactions. We filed an appeal to the Notices and we intend to contest any such assessment, if assessed, and continue to cooperate with the Commonwealth’s inquiry. Further, on August 10, 2021, we received a letter (the "Letter") from the Commonwealth relating to additional prior tax periods, requesting sales information to determine if a notice of intent to assess should be issued to FactSet with respect to these tax periods. Based upon a preliminary review of the Letter, we believe the Commonwealth might seek to assess sales/use tax, interest and underpayment penalties on previously recorded sales transactions.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August 31, 2022, we have concluded that a payment to the Commonwealth is probable. We recorded an accrual which is not material to our consolidated financial statements. While we believe that the assumptions and estimates used to determine the accrual are reasonable, future developments could result in adjustments being made to this accrual. If we are presented with a formal assessment for any of these matters, we believe that we will ultimately prevail; however, if we do not prevail, the amount of any assessment could have a material impact on our consolidated financial position, results of operations and cash flows.</w:t>
      </w:r>
    </w:p>
    <w:p>
      <w:pPr>
        <w:spacing w:after="0" w:line="143" w:lineRule="exact"/>
        <w:rPr>
          <w:sz w:val="20"/>
          <w:szCs w:val="20"/>
          <w:color w:val="auto"/>
        </w:rPr>
      </w:pPr>
    </w:p>
    <w:p>
      <w:pPr>
        <w:ind w:right="1520"/>
        <w:spacing w:after="0" w:line="459" w:lineRule="auto"/>
        <w:rPr>
          <w:sz w:val="20"/>
          <w:szCs w:val="20"/>
          <w:color w:val="auto"/>
        </w:rPr>
      </w:pPr>
      <w:r>
        <w:rPr>
          <w:rFonts w:ascii="Times New Roman" w:cs="Times New Roman" w:eastAsia="Times New Roman" w:hAnsi="Times New Roman"/>
          <w:sz w:val="18"/>
          <w:szCs w:val="18"/>
          <w:color w:val="auto"/>
        </w:rPr>
        <w:t xml:space="preserve">Changes in tax laws or the terms of tax treaties in a jurisdiction where we are subject to tax could have an impact on our taxes payable. </w:t>
      </w:r>
      <w:r>
        <w:rPr>
          <w:rFonts w:ascii="Times New Roman" w:cs="Times New Roman" w:eastAsia="Times New Roman" w:hAnsi="Times New Roman"/>
          <w:sz w:val="18"/>
          <w:szCs w:val="18"/>
          <w:b w:val="1"/>
          <w:bCs w:val="1"/>
          <w:color w:val="auto"/>
        </w:rPr>
        <w:t>Financial Market Risks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fluctuations in currency exchange rates and the failure of hedging arrangements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global nature of our operations, we conduct business outside the U.S. in several currencies. Our primary currency exposures include the British Pound Sterling, Euro, Indian Rupee and Philippine Peso. To the extent our international activities increase in the future, our exposure to fluctuations in currency exchange rates may increase as well. To manage this exposure, we utilize derivative instruments (such as foreign currency forward contracts). By their nature, all derivative instruments involve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with changes in foreign currency. Although we believe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our foreign exchange hedging policies are reasonable and prudent under the circumstances, our attempt to hedge against these risks may not be successful, which could cause an adverse impact on both our results of operations and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performance may not be sufficient to meet financial guidance or publicly disclosed long-term targets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public, full-year financial guidance based upon assumptions regarding our expected financial performance, including our ability to grow revenues and organic ASV plus professional services, to meet our planned expenses and maintain a certain tax rate, and our ability to achieve our profitability targets. We can provide no assurances that we will be able to maintain the levels of growth and profitability that we have experienced in the past, or that our growth strategies will be successful. If we are unable to successfully execute on our strategies to achieve our growth objectives and retain our existing clients, or if we experience higher than expected operating costs or taxes, we risk not meeting our full-year financial guidance or may find it necessary to revise such guidance during the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market forces beyond our control could adversely affect our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costs and the demand for our products may be impacted by domestic and international factors that are beyond our control. Negative conditions in the general economy in either the United States or abroad, including conditions resulting from financial and credit market fluctuations, changes in economic policy, inflation rate fluctuations and trade uncertainty, including changes in tariffs, sanctions, international treaties and other trade restrictions, could result in an increase in our costs and/or a reduction in demand for our products, which could have an adverse effect on our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CGS Transaction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the CGS Transaction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acquisition of the CGS business (the "CGS Business") will depend on, among other things, our ability to incorporate the CGS Business into our business in a manner that enhances our value proposition to clients and facilitates other growth opportunities. We must successfully include the CGS Business within our business in a manner that permits these growth opportunities to be realized. In addition, we must achieve the growth opportunities without adversely affecting current revenues and investments in other future growth. If we are not able to successfully achieve these objectives, the anticipated benefits of the acquisition of CGS (the "CGS Transaction") may not be realized fully, if at all, or may take longer to realize than expected. Additionally, management may face challenges in incorporating certain elements and functions of the CGS Business with the FactSet business, and this process may result in additional and unforeseen expenses. The CGS Transaction may also disrupt the CGS Business’s and FactSet’s ongoing business or cause inconsistencies in standards, controls, procedures and policies that adversely affect our relationships with third-party partners, employees, suppliers, customers and others with whom the CGS Business and FactSet have business or other dealings or limit our ability to achieve the anticipated benefits of the CGS Transaction. It is possible that our experience in operating the CGS Business will require us to adjust our expectations regarding the impact of the CGS Transaction on our operating results. If we are not able to successfully add the CGS Business to the existing FactSet business in an efficient, effective and timely manner, anticipated benefits, including the opportunities for growth we expect from the CGS Transaction, may not be realized fully, if at all, or may take longer to realize than expected, and our cash flow and financial condition may be negatively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incur additional significant transaction costs in connection with the CGS Transaction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a number of non-recurring costs associated with the CGS Transaction. These costs and expenses include financial advisory, legal, accounting, consulting and other advisory fees and expenses, filing fees and other related charges. There is also a large number of processes, policies, procedures, operations, technologies and systems that must be integrated in connection with the CGS Transaction. While we have assumed that a certain level of expenses would be incurred in connection with the CGS Transaction and related transactions, there are many factors beyond our control that could affect the total amount or the timing of the integration and implementation expenses. There may also be additional unanticipated significant costs in connection with the CGS Transaction that we may not recoup. These costs and expenses could reduce the benefits and additional income we expect to achieve from the CGS Transaction. Although we expect that these benefits will offset the transaction expenses and implementation costs over time, this net benefit may not be achieved in the near term or at all.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may impair our financial condition and prevent us from fulfilling our obligations under the Senior Notes and our other debt instruments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31, 2022 giving effect to the issuance of the Senior Notes and the incurrence of borrowings under the 2022 Credit Facilities and the repayment of the 2019 Revolving Credit Facility, our total outstanding principal amount of debt was $2.0</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billion, none of which is secured. Under the 2022 Revolving Facility, we have $250.0 million of unused commitments and an option to increase the size of the facility by an additional $750.0 million.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Senior Notes, 2022 Credit Facilities and 2019 Revolving Credit Facility.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to investors, including:</w:t>
      </w:r>
    </w:p>
    <w:p>
      <w:pPr>
        <w:spacing w:after="0" w:line="185"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acquisitions, debt service requirements, execution of our growth strategy and other purposes;</w:t>
      </w:r>
    </w:p>
    <w:p>
      <w:pPr>
        <w:jc w:val="both"/>
        <w:ind w:left="660" w:hanging="328"/>
        <w:spacing w:after="0" w:line="250"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interest on our debt and scheduled amortization on the 2022 Term Facility, which would reduce availability of our cash flow to fund working capital, capital expenditures, acquisitions, execution of our strategy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government regulations and in our business by limiting our flexibility in planning for, and making it more difficult for us to react quickly to, changing conditions;</w:t>
      </w: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those of our competitors that have less debt;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some of our borrowings are at variable rates of interest, which could result in higher interest expense in the event of increases in market interest rates.</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ability to generate revenues.</w:t>
      </w:r>
    </w:p>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debt. The incurrence of additional debt could further exacerbate the risks associated with our indebtedness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2022 Credit Agreement and the indenture governing the Senior Notes permit us and our subsidiaries to incur additional debt. If new debt is added to our or any such subsidiary’s current debt levels, the risks described above in the previous risk factor could intensify.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restrictive covenants in our debt may affect our ability to operate our business successfully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Credit Agreement contains, and our future debt instruments may contain, various provisions that limit our ability to, among other things: incur liens; incur additional indebtedness, guarantees or other contingent obligations; enter into sale and leaseback transactions; engage in mergers and consolidations; make investments and acquisitions; change the nature of our business; and make sales, transfers and other dispositions of property and assets. The indenture governing the Senior Notes also contains various provisions that limit our ability to, among other things: incur liens; enter into sale and leaseback transactions; engage in mergers and consolidations; and make sales, transfers and other dispositions of property and assets. These covenants could adversely affect our ability to finance our future operations or capital needs and pursue available business opportunities.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2022 Credit Agreement requires us to maintain specified financial ratios and satisfy certain financial condition tests. Events beyond our control, including changes in general economic and business conditions, may affect our ability to meet those financial ratios and financial condition tests. We cannot assure you that we will meet those tests or that the lenders will waive any failure to meet those tests. A breach of any of these covenants or any other restrictive covenants contained in the definitive documentation governing our indebtedness would result in a default or an event of default. If an event of default in respect of any of our indebtedness occurs, the holders of the affected indebtedness could declare all amounts outstanding, together with accrued interest, to be immediately due and payable, which, in turn, could cause the default and acceleration of the maturity of our other indebtedness. We expect we will be permitted to incur substantial amounts of secured debt under the covenants in the indenture governing the Senior Notes and the 2022 Credit Facilities. If, upon an acceleration, we were unable to pay amounts owed in respect of any such indebtedness secured by liens on our assets, then the lenders of such indebtedness could proceed against the collateral pledged to them.</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borrowings and other obligations are based upon variable rates of interest, which could result in higher expense in the event of increases in interest rates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that (i) loans denominated in U.S. dollars, at our option, will bear interest at either the one-month Term Secured Overnight Financing Rate ("SOFR") (with a 0.1% credit spread adjustment and subject to a "zero" floor), (ii) the Daily Simple SOFR (with a 0.1% credit spread adjustment and subject to a "zero" floor) or (iii) an alternate base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rate. Under the 2022 Credit Agreement, loans denominated in Pounds Sterling will bear interest at the Daily Simple Sterling Overnight Index Average ("SONIA") (subject to a "zero" floor) and loans denominated in Euros will bear interest at the Euro Interbank Offered Rate ("EURIBOR") (subject to a "zero" floor), in each case, plus an applicable interest rate margin. The interest rate margin will fluctuate based upon our senior unsecured non-credit enhanced long-term debt rating and our total leverage ratio. An increase in the alternate base rate, Term SOFR, Daily Simple SOFR, SONIA or EURIBOR would increase our interest payment obligations under the 2022 Credit Facilities and could have a negative effect on our cash flow and financial condition.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mitigate this exposure, on March 1, 2022, we entered into an interest rate swap agreement to hedge the variable interest rate obligation on a portion of our outstanding balance under the 2022 Credit Facilities. However, as the interest rate swap agreement covers only a portion of our outstanding balance under the 2022 Credit Facilities, a substantial portion of our outstanding balance under the 2022 Credit Facilities continues to be exposed to interest rate volatility. An increase in the applicable rates would increase our interest payment obligations under the 2022 Credit Facilities and could have a negative effect on our cash flow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UNRESOLVED STAFF COMMENTS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PROPERTIES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2022, we leased 39 offices worldwide, including our corporate headquarters located at 45 Glover Avenue, Norwalk, Connecticut, where we occupy 91,718 square feet of office space. Our leased office space also includes our data content collection offices located in India, the Philippines and Latvia and our data centers that support our technological infrastructure located in New Jersey and Virginia.</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 to the table set forth below for the listing of our leased office space by geographic location. The listing excludes any office locations that we have fully vacated during fiscal 2022 in advance of their original lease expiration dates. We vacated certain leased office space to resize our real estate footprint for our hybrid work environment. We will continue to evaluate our real estate needs; however, we expect that this initiative is largely complete. We believe the amount of leased space as of August 31, 2022 is adequate for our current business needs and that additional space can be available to meet any future needs.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79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6"/>
                <w:szCs w:val="16"/>
                <w:b w:val="1"/>
                <w:bCs w:val="1"/>
                <w:color w:val="auto"/>
              </w:rPr>
              <w:t>Leased Location</w:t>
            </w:r>
          </w:p>
        </w:tc>
      </w:tr>
      <w:tr>
        <w:trPr>
          <w:trHeight w:val="22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Austin, Texas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Boston, Massachusetts</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Charlotte, North Carolina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Chicago, Illinois</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Jackson, Wyoming</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Lakewood, Colorado</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Los Angeles, California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New York, New York</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Norwalk, Connecticut</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Piscataway, New Jersey</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Reston, Virginia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San Francisco, California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Sao Paulo, Brazil</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Toronto, Canada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Youngstown, Ohio</w:t>
            </w:r>
          </w:p>
        </w:tc>
      </w:tr>
      <w:tr>
        <w:trPr>
          <w:trHeight w:val="270"/>
        </w:trPr>
        <w:tc>
          <w:tcPr>
            <w:tcW w:w="3260" w:type="dxa"/>
            <w:vAlign w:val="bottom"/>
          </w:tcPr>
          <w:p>
            <w:pPr>
              <w:spacing w:after="0"/>
              <w:rPr>
                <w:sz w:val="23"/>
                <w:szCs w:val="23"/>
                <w:color w:val="auto"/>
              </w:rPr>
            </w:pPr>
          </w:p>
        </w:tc>
        <w:tc>
          <w:tcPr>
            <w:tcW w:w="7940" w:type="dxa"/>
            <w:vAlign w:val="bottom"/>
          </w:tcPr>
          <w:p>
            <w:pPr>
              <w:spacing w:after="0"/>
              <w:rPr>
                <w:sz w:val="23"/>
                <w:szCs w:val="23"/>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Amsterdam, the Netherlands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Dubai, United Arab Emirates</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Frankfurt, Germany</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Gothenburg, Sweden</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London, England</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Luxembourg City, Luxembourg</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Milan, Italy</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Paris, France</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Riga, Latvia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Sofia, Bulgaria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Stockholm, Sweden</w:t>
            </w:r>
          </w:p>
        </w:tc>
      </w:tr>
      <w:tr>
        <w:trPr>
          <w:trHeight w:val="270"/>
        </w:trPr>
        <w:tc>
          <w:tcPr>
            <w:tcW w:w="3260" w:type="dxa"/>
            <w:vAlign w:val="bottom"/>
          </w:tcPr>
          <w:p>
            <w:pPr>
              <w:spacing w:after="0"/>
              <w:rPr>
                <w:sz w:val="23"/>
                <w:szCs w:val="23"/>
                <w:color w:val="auto"/>
              </w:rPr>
            </w:pPr>
          </w:p>
        </w:tc>
        <w:tc>
          <w:tcPr>
            <w:tcW w:w="7940" w:type="dxa"/>
            <w:vAlign w:val="bottom"/>
          </w:tcPr>
          <w:p>
            <w:pPr>
              <w:spacing w:after="0"/>
              <w:rPr>
                <w:sz w:val="23"/>
                <w:szCs w:val="23"/>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Chennai, India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Hong Kong SAR, China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Hyderabad, India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Manila, the Philippines</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Melbourne, Australia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Mumbai, India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Shanghai, China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Singapore</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color w:val="auto"/>
              </w:rPr>
              <w:t>Sydney, Australia</w:t>
            </w:r>
          </w:p>
        </w:tc>
      </w:tr>
      <w:tr>
        <w:trPr>
          <w:trHeight w:val="210"/>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Tokyo, Japan</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LEGAL PROCEEDINGS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legal proceedings, claims and litigation arising in the ordinary course of business. Based on currently available information, our management does not believe that the ultimate outcome of these unresolved matters against us, individually or in the aggregate, is likely to have a material adverse effect on our consolidated financial position, annual results of operations and cash flows. However, these matters are subject to inherent uncertainties and management’s view of these matters may change in the future.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Our common stock is listed on the NYSE and NASDAQ under the symbol FDS. The following table sets forth, for each fiscal period indicated, the high and low sales prices per share of our common stock as reported on the NYSE: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Fourth Quarter</w:t>
            </w: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9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High</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488.85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444.57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454.23</w:t>
            </w:r>
          </w:p>
        </w:tc>
      </w:tr>
      <w:tr>
        <w:trPr>
          <w:trHeight w:val="230"/>
        </w:trPr>
        <w:tc>
          <w:tcPr>
            <w:tcW w:w="2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Low</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348.71</w:t>
            </w:r>
          </w:p>
        </w:tc>
      </w:tr>
      <w:tr>
        <w:trPr>
          <w:trHeight w:val="250"/>
        </w:trPr>
        <w:tc>
          <w:tcPr>
            <w:tcW w:w="2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High</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357.92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383.21</w:t>
            </w:r>
          </w:p>
        </w:tc>
      </w:tr>
      <w:tr>
        <w:trPr>
          <w:trHeight w:val="229"/>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Low</w:t>
            </w:r>
          </w:p>
        </w:tc>
        <w:tc>
          <w:tcPr>
            <w:tcW w:w="1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w:t>
            </w:r>
          </w:p>
        </w:tc>
      </w:tr>
    </w:tbl>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Holders of Record </w:t>
      </w:r>
      <w:r>
        <w:rPr>
          <w:rFonts w:ascii="Times New Roman" w:cs="Times New Roman" w:eastAsia="Times New Roman" w:hAnsi="Times New Roman"/>
          <w:sz w:val="18"/>
          <w:szCs w:val="18"/>
          <w:color w:val="auto"/>
        </w:rPr>
        <w:t>– As of October 10, 2022, we had approximately 1,822 holders of record of our common stock. However, because many of our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held by brokers and other institutions on behalf of stockholders, we are unable to estimate the total number of stockholders represented by these record holders. The closing price of our common stock on October 10, 2022 was $412.78 per share, as reported on the NYSE.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During fiscal years 2022 and 2021, our Board of Directors declared the following dividends on our common stock:</w:t>
      </w:r>
    </w:p>
    <w:p>
      <w:pPr>
        <w:spacing w:after="0" w:line="4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Dividends per</w:t>
      </w:r>
    </w:p>
    <w:tbl>
      <w:tblPr>
        <w:tblLayout w:type="fixed"/>
        <w:tblInd w:w="0" w:type="dxa"/>
        <w:tblCellMar>
          <w:top w:w="0" w:type="dxa"/>
          <w:left w:w="0" w:type="dxa"/>
          <w:bottom w:w="0" w:type="dxa"/>
          <w:right w:w="0" w:type="dxa"/>
        </w:tblCellMar>
      </w:tblPr>
      <w:tr>
        <w:trPr>
          <w:trHeight w:val="174"/>
        </w:trPr>
        <w:tc>
          <w:tcPr>
            <w:tcW w:w="258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rPr>
              <w:t>Year Ended</w:t>
            </w:r>
          </w:p>
        </w:tc>
        <w:tc>
          <w:tcPr>
            <w:tcW w:w="740" w:type="dxa"/>
            <w:vAlign w:val="bottom"/>
          </w:tcPr>
          <w:p>
            <w:pPr>
              <w:spacing w:after="0"/>
              <w:rPr>
                <w:sz w:val="15"/>
                <w:szCs w:val="15"/>
                <w:color w:val="auto"/>
              </w:rPr>
            </w:pPr>
          </w:p>
        </w:tc>
        <w:tc>
          <w:tcPr>
            <w:tcW w:w="1600" w:type="dxa"/>
            <w:vAlign w:val="bottom"/>
          </w:tcPr>
          <w:p>
            <w:pPr>
              <w:jc w:val="right"/>
              <w:ind w:right="570"/>
              <w:spacing w:after="0" w:line="174" w:lineRule="exact"/>
              <w:rPr>
                <w:sz w:val="20"/>
                <w:szCs w:val="20"/>
                <w:color w:val="auto"/>
              </w:rPr>
            </w:pPr>
            <w:r>
              <w:rPr>
                <w:rFonts w:ascii="Times New Roman" w:cs="Times New Roman" w:eastAsia="Times New Roman" w:hAnsi="Times New Roman"/>
                <w:sz w:val="18"/>
                <w:szCs w:val="18"/>
                <w:color w:val="auto"/>
              </w:rPr>
              <w:t>Share of</w:t>
            </w:r>
          </w:p>
        </w:tc>
        <w:tc>
          <w:tcPr>
            <w:tcW w:w="23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Record Date</w:t>
            </w:r>
          </w:p>
        </w:tc>
        <w:tc>
          <w:tcPr>
            <w:tcW w:w="200" w:type="dxa"/>
            <w:vAlign w:val="bottom"/>
          </w:tcPr>
          <w:p>
            <w:pPr>
              <w:spacing w:after="0"/>
              <w:rPr>
                <w:sz w:val="15"/>
                <w:szCs w:val="15"/>
                <w:color w:val="auto"/>
              </w:rPr>
            </w:pPr>
          </w:p>
        </w:tc>
        <w:tc>
          <w:tcPr>
            <w:tcW w:w="152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Total $ Amount</w:t>
            </w:r>
          </w:p>
        </w:tc>
        <w:tc>
          <w:tcPr>
            <w:tcW w:w="22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Common Stock</w:t>
            </w:r>
          </w:p>
        </w:tc>
        <w:tc>
          <w:tcPr>
            <w:tcW w:w="23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0.82</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30, 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16, 2021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0.82</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February 28, 2022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March 17, 2022</w:t>
            </w: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0.89</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31, 2022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2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16, 2022</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0.89</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August 31, 2022</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w:t>
            </w:r>
          </w:p>
        </w:tc>
        <w:tc>
          <w:tcPr>
            <w:tcW w:w="2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September 15, 2022</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Dividends</w:t>
            </w:r>
          </w:p>
        </w:tc>
        <w:tc>
          <w:tcPr>
            <w:tcW w:w="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129,693</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0.77</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November 30, 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2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December 17, 2020</w:t>
            </w: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0.77</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26, 2021</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29,141</w:t>
            </w:r>
          </w:p>
        </w:tc>
        <w:tc>
          <w:tcPr>
            <w:tcW w:w="2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18, 2021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0.82</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May 31, 2021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2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June 17, 2021</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0.82</w:t>
            </w:r>
          </w:p>
        </w:tc>
        <w:tc>
          <w:tcPr>
            <w:tcW w:w="2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August 31, 2021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2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September 16, 2021</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w:t>
            </w: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120,224</w:t>
            </w: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dividend payments will depend on our earnings, capital requirements, financial condition and other factors considered relevant by us, and is subject to final determination by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fiscal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month-to-month summary of the share repurchase activity during the three months ended August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340" w:type="dxa"/>
            <w:vAlign w:val="bottom"/>
          </w:tcPr>
          <w:p>
            <w:pPr>
              <w:spacing w:after="0"/>
              <w:rPr>
                <w:sz w:val="17"/>
                <w:szCs w:val="17"/>
                <w:color w:val="auto"/>
              </w:rPr>
            </w:pPr>
          </w:p>
        </w:tc>
        <w:tc>
          <w:tcPr>
            <w:tcW w:w="15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Average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60" w:type="dxa"/>
            <w:vAlign w:val="bottom"/>
          </w:tcPr>
          <w:p>
            <w:pPr>
              <w:spacing w:after="0"/>
              <w:rPr>
                <w:sz w:val="17"/>
                <w:szCs w:val="17"/>
                <w:color w:val="auto"/>
              </w:rPr>
            </w:pPr>
          </w:p>
        </w:tc>
        <w:tc>
          <w:tcPr>
            <w:tcW w:w="2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Approximate dollar value of</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260" w:type="dxa"/>
            <w:vAlign w:val="bottom"/>
          </w:tcPr>
          <w:p>
            <w:pPr>
              <w:spacing w:after="0"/>
              <w:rPr>
                <w:sz w:val="15"/>
                <w:szCs w:val="15"/>
                <w:color w:val="auto"/>
              </w:rPr>
            </w:pPr>
          </w:p>
        </w:tc>
        <w:tc>
          <w:tcPr>
            <w:tcW w:w="23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shares that may yet be</w:t>
            </w:r>
          </w:p>
        </w:tc>
        <w:tc>
          <w:tcPr>
            <w:tcW w:w="0" w:type="dxa"/>
            <w:vAlign w:val="bottom"/>
          </w:tcPr>
          <w:p>
            <w:pPr>
              <w:spacing w:after="0"/>
              <w:rPr>
                <w:sz w:val="1"/>
                <w:szCs w:val="1"/>
                <w:color w:val="auto"/>
              </w:rPr>
            </w:pPr>
          </w:p>
        </w:tc>
      </w:tr>
      <w:tr>
        <w:trPr>
          <w:trHeight w:val="175"/>
        </w:trPr>
        <w:tc>
          <w:tcPr>
            <w:tcW w:w="298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w:t>
            </w:r>
          </w:p>
        </w:tc>
        <w:tc>
          <w:tcPr>
            <w:tcW w:w="340" w:type="dxa"/>
            <w:vAlign w:val="bottom"/>
          </w:tcPr>
          <w:p>
            <w:pPr>
              <w:spacing w:after="0"/>
              <w:rPr>
                <w:sz w:val="15"/>
                <w:szCs w:val="15"/>
                <w:color w:val="auto"/>
              </w:rPr>
            </w:pPr>
          </w:p>
        </w:tc>
        <w:tc>
          <w:tcPr>
            <w:tcW w:w="158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rPr>
              <w:t>price paid per</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publicly announced plans or</w:t>
            </w:r>
          </w:p>
        </w:tc>
        <w:tc>
          <w:tcPr>
            <w:tcW w:w="260" w:type="dxa"/>
            <w:vAlign w:val="bottom"/>
          </w:tcPr>
          <w:p>
            <w:pPr>
              <w:spacing w:after="0"/>
              <w:rPr>
                <w:sz w:val="15"/>
                <w:szCs w:val="15"/>
                <w:color w:val="auto"/>
              </w:rPr>
            </w:pPr>
          </w:p>
        </w:tc>
        <w:tc>
          <w:tcPr>
            <w:tcW w:w="23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purchased under the plans or</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purchased</w:t>
            </w:r>
            <w:r>
              <w:rPr>
                <w:rFonts w:ascii="Times New Roman" w:cs="Times New Roman" w:eastAsia="Times New Roman" w:hAnsi="Times New Roman"/>
                <w:sz w:val="23"/>
                <w:szCs w:val="23"/>
                <w:color w:val="auto"/>
                <w:w w:val="94"/>
                <w:vertAlign w:val="superscript"/>
              </w:rPr>
              <w:t>(1)</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share</w:t>
            </w:r>
          </w:p>
        </w:tc>
        <w:tc>
          <w:tcPr>
            <w:tcW w:w="22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(2)</w:t>
            </w:r>
          </w:p>
        </w:tc>
        <w:tc>
          <w:tcPr>
            <w:tcW w:w="2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50"/>
              <w:spacing w:after="0" w:line="230"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(2)</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384.57</w:t>
            </w:r>
          </w:p>
        </w:tc>
        <w:tc>
          <w:tcPr>
            <w:tcW w:w="226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394.20</w:t>
            </w:r>
          </w:p>
        </w:tc>
        <w:tc>
          <w:tcPr>
            <w:tcW w:w="22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445.38</w:t>
            </w:r>
          </w:p>
        </w:tc>
        <w:tc>
          <w:tcPr>
            <w:tcW w:w="2260" w:type="dxa"/>
            <w:vAlign w:val="bottom"/>
            <w:tcBorders>
              <w:bottom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Relates to shares repurchased to satisfy withholding tax obligations due upon the vesting or exercise of stock-based awards.</w:t>
      </w:r>
    </w:p>
    <w:p>
      <w:pPr>
        <w:spacing w:after="0" w:line="63" w:lineRule="exact"/>
        <w:rPr>
          <w:rFonts w:ascii="Times New Roman" w:cs="Times New Roman" w:eastAsia="Times New Roman" w:hAnsi="Times New Roman"/>
          <w:sz w:val="18"/>
          <w:szCs w:val="18"/>
          <w:i w:val="1"/>
          <w:iCs w:val="1"/>
          <w:color w:val="auto"/>
        </w:rPr>
      </w:pPr>
    </w:p>
    <w:p>
      <w:pPr>
        <w:jc w:val="both"/>
        <w:ind w:left="660" w:hanging="328"/>
        <w:spacing w:after="0" w:line="255" w:lineRule="auto"/>
        <w:tabs>
          <w:tab w:leader="none" w:pos="65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As of August 31, 2022, a total of $181.3 million remained available for future share repurchases under our existing share repurchase program. Repurchases may be made from time to time in the open market and privately negotiated transactions, subject to market conditions. No minimum number of shares to be repurchased has been fixed. There is no timeframe to complete the share repurchase program and it is expected that share repurchases will be paid using existing and future cash generated by operations.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Facilities. Refer to </w:t>
      </w:r>
      <w:r>
        <w:rPr>
          <w:rFonts w:ascii="Times New Roman" w:cs="Times New Roman" w:eastAsia="Times New Roman" w:hAnsi="Times New Roman"/>
          <w:sz w:val="18"/>
          <w:szCs w:val="18"/>
          <w:color w:val="auto"/>
        </w:rPr>
        <w:t>Note 12</w:t>
      </w:r>
      <w:r>
        <w:rPr>
          <w:rFonts w:ascii="Times New Roman" w:cs="Times New Roman" w:eastAsia="Times New Roman" w:hAnsi="Times New Roman"/>
          <w:sz w:val="18"/>
          <w:szCs w:val="18"/>
          <w:i w:val="1"/>
          <w:iCs w:val="1"/>
          <w:color w:val="auto"/>
        </w:rPr>
        <w:t>, Debt for more information on the 2022 Credit Facilities.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 to Item 12.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 xml:space="preserve"> of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changes for the five-year period shown in the graph below assume $100 had been invested in our common stock, the Standard &amp; Poor’s 500 Index, the Dow Jones U.S. Financial Services Index and the S&amp;P 500 Financial Exchange and Data Index on August 31, 2017.</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cumulative dollar returns shown on the graph represent the value that such investments would have had on August 31, 2022. Stockholder returns over the indicated period are based on historical data and should not be considered indicative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863590" cy="2117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359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7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173</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223</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118</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142</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Financial Services Index</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117</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113</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Financial Exchanges and Data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160</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187</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bl>
    <w:p>
      <w:pPr>
        <w:spacing w:after="0" w:line="24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above graph shall not be deemed to be soliciting material or filed or incorporated by reference in future filings with the SEC, or subject to the liabilities of Section 18 of the Securities Exchange Act of 1934, except to the extent that we specifically incorporate it by reference into a document filed under the Securities Act of 1933 or the Securities Exchange Act of 1934.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RESERVED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22"/>
          <w:szCs w:val="22"/>
          <w:b w:val="1"/>
          <w:bCs w:val="1"/>
          <w:color w:val="auto"/>
        </w:rPr>
        <w:t>ITEM 7. MANAGEMENT’S DISCUSSION AND ANALYSIS OF FINANCIAL CONDITION AND RESULTS OF OPERATIONS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a similar detailed discussion comparing fiscal 2021 and 2020, refer to Item 7. Management's Discussion and Analysis of Financial Condition and Results of Operations within our Annual Report on Form 10-K for the year ended August 31, 2021.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Annual Report on Form 10-K.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21" w:lineRule="exact"/>
        <w:rPr>
          <w:sz w:val="20"/>
          <w:szCs w:val="20"/>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that drives the investment community to see more, think bigger and do its best work. Our strategy is to build the leading open content and analytics platform to deliver a differentiated advantage for our clients’ success.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over 40 years, the FactSet platform has delivered expansive data, sophisticated analytics and flexible technology used by global financial professionals to power their critical investment workflows. As of August 31, 2022, we had more than 7,500 clients comprised of approximately 180,000 investment professionals, including asset managers, bankers, wealth managers, asset owners, channel partners, hedge funds, corporate users, private equity and venture capital professionals. Our on- and off-platform solutions span the investment lifecycle to include investment research, portfolio construction and analysis, trade execution, performance measurement, risk management and reporting. Our revenues are primarily derived from subscriptions to our multi-asset class data and solutions powered by our content refinery. Our products and services include workstations, portfolio analytics and enterprise solutions.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APIs. Our CGS business supports security master files relied on by the investment industry for critical front, middle and back office functions.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II, Item 8. of this Annual Report on Form 10-K for further discussion. For each of our segments, we execute our strategy through our three workflow solutions: Research &amp; Advisory; Analytics &amp; Trading; and 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 needs of our clients evolve, they seek personalized and connected data, tools for multi-asset class investing and reduced costs. Clients are also seeking cloud-based solutions, open and flexible systems and increased efficiencies to support their digital transformations.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strategy is to build the leading open content and analytics platform to deliver differentiated advantages for our clients’ success. To execute this strategy, we plan on:</w:t>
      </w:r>
    </w:p>
    <w:p>
      <w:pPr>
        <w:spacing w:after="0" w:line="131" w:lineRule="exact"/>
        <w:rPr>
          <w:sz w:val="20"/>
          <w:szCs w:val="20"/>
          <w:color w:val="auto"/>
        </w:rPr>
      </w:pPr>
    </w:p>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Growing our digital platform</w:t>
      </w:r>
      <w:r>
        <w:rPr>
          <w:rFonts w:ascii="Times New Roman" w:cs="Times New Roman" w:eastAsia="Times New Roman" w:hAnsi="Times New Roman"/>
          <w:sz w:val="18"/>
          <w:szCs w:val="18"/>
          <w:color w:val="auto"/>
        </w:rPr>
        <w:t>: We are scaling up our content refinery to offer a comprehensive and connected inventory of industry,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third-party data for the financial community. This data includes granular data for key industry verticals, private companies, wealth management, real-time data, and environmental, social and governance data ("ESG"). We are driving personalized workflow solutions for financial professionals, including asset managers, bankers, wealth managers, asset owners, channel partners, hedge funds, corporate users and private equity and venture capital professionals. We offer an open ecosystem with solutions and content that is accessible and flexible through a myriad of delivery methods. Our goal is to deliver cloud-based data and analytics to our clients, enabling them to more efficiently manage their workflows.</w:t>
      </w:r>
    </w:p>
    <w:p>
      <w:pPr>
        <w:spacing w:after="0" w:line="14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Delivering execution excellence</w:t>
      </w:r>
      <w:r>
        <w:rPr>
          <w:rFonts w:ascii="Times New Roman" w:cs="Times New Roman" w:eastAsia="Times New Roman" w:hAnsi="Times New Roman"/>
          <w:sz w:val="18"/>
          <w:szCs w:val="18"/>
          <w:color w:val="auto"/>
        </w:rPr>
        <w:t>: We are building an agile organization that accelerates product creation and content collection. We offer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designed for delivery via the cloud, making them highly efficient for our clients. We will continue to employ technology to accelerate the pace of content collection and drive expertise in complex data sets such as private companies, ESG and deep sector. Additionally, we are improving our price realization through consistent packaging and internal governance.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Driving a growth mindset</w:t>
      </w:r>
      <w:r>
        <w:rPr>
          <w:rFonts w:ascii="Times New Roman" w:cs="Times New Roman" w:eastAsia="Times New Roman" w:hAnsi="Times New Roman"/>
          <w:sz w:val="18"/>
          <w:szCs w:val="18"/>
          <w:color w:val="auto"/>
        </w:rPr>
        <w:t>: To drive sustainable growth, we are recruiting, training and empowering a diverse and operationally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As a performance-based culture, we are investing in talent that can create leading technological solutions and efficiently execute our strategy. We use partnerships and acquisitions to accelerate our growth in strategic areas.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centers on relentless focus on our clients and their FactSet experience. We aim to be a trusted partner and service provider, offering personalized digital products powered by cognitive computing to research ideas and uncover relevant insights. Additionally, we continually evaluate business opportunities such as partnerships and acquisitions to increase our capabilities and competitive differentiation.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segments: the Americas, EMEA and Asia Pacific. We believe this geographical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Year in Review</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for the fiscal year 2022 was $1.8 billion, an increase of 15.9% from the prior year. Revenues increased across our operating segments, primarily in the Americas, followed by EMEA and Asia Pacific, supported by increased revenues from each of our workflow solutions, mainly in CTS, followed by Research &amp; Advisory and Analytics and Trading and our annual price increase. Organic revenues contributed to 9.8% of the growth during fiscal 2022, compared with the prior year period. Refer to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Non-GAAP Financial Measures </w:t>
      </w:r>
      <w:r>
        <w:rPr>
          <w:rFonts w:ascii="Times New Roman" w:cs="Times New Roman" w:eastAsia="Times New Roman" w:hAnsi="Times New Roman"/>
          <w:sz w:val="18"/>
          <w:szCs w:val="18"/>
          <w:color w:val="auto"/>
        </w:rPr>
        <w:t>of this Annual Report on Form 10-K for a reconciliation between revenues and organic revenues.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August 31, 2022, organic annual subscription value ("Organic ASV") plus Professional Services totaled $1.8 billion, an increase of 9.3% over the prior year. Organic ASV increased across all our segments, with the majority of the increase related to the Americas, followed by EMEA and Asia Pacific, supported by increases in our workflow solutions, mainly Research &amp; Advisory and Analytics &amp; Trading, followed by CTS. Refer to Part II, Item 7. </w:t>
      </w:r>
      <w:r>
        <w:rPr>
          <w:rFonts w:ascii="Times New Roman" w:cs="Times New Roman" w:eastAsia="Times New Roman" w:hAnsi="Times New Roman"/>
          <w:sz w:val="18"/>
          <w:szCs w:val="18"/>
          <w:i w:val="1"/>
          <w:iCs w:val="1"/>
          <w:color w:val="auto"/>
        </w:rPr>
        <w:t>Management's Discussion and Analysis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Condition and Results of Operations, Annual Subscription Value </w:t>
      </w:r>
      <w:r>
        <w:rPr>
          <w:rFonts w:ascii="Times New Roman" w:cs="Times New Roman" w:eastAsia="Times New Roman" w:hAnsi="Times New Roman"/>
          <w:sz w:val="18"/>
          <w:szCs w:val="18"/>
          <w:color w:val="auto"/>
        </w:rPr>
        <w:t>of this Annual Report on Form 10-K for the definitions of Organic ASV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ASV plus Professional Services.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the fiscal year 2022 increased 0.3%, compared with the prior year period. Operating margin decreased in fiscal 2022 to 25.8%, compared with 29.8% for fiscal 2021. Operating margin decreased primarily due to impairment charges related to vacating certain leased office space and higher amortization of intangible assets, primarily from the CGS acquisition, partially offset by growth in revenues and lower employee compensation expense, when expressed as a percentage of revenue. Diluted earnings per share ("EPS") decreased 1.1% compared with the prior year.</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clients and users reached new highs of 7,538 and 179,982, respectively, in fiscal 2022. We returned $144.6 million to stockholders in the form of share repurchases and dividends paid during fiscal 2022.</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August 31, 2022, our employee count was 11,203, up 2.9% in the past 12 months, due primarily to an increase in net new employees of 4.5% in Asia Pacific and 2.1% in EMEA, partially offset by a decrease of 1.6% in the Americas.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garnered multiple awards in 2022, with honors spanning multiple workflows, including research, risk, performance, trading and wealth management. We were recognized by over thirty industry awards and rankings reports, including winning four categories in WatersTechnology’s 2022 Inside Market Data &amp; Inside Reference Data awards, Snowflake Marketplace Partner of the Year and Waters Rankings 2022 Best Data Analytic Provider.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 Acquisition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24, 2021, we entered into a definitive agreement to acquire CGS, previously operated by S&amp;P Global Inc. on behalf of the American Bankers Association ("ABA"), for $1.932 billion in cash, inclusive of working capital adjustments. The acquisition was completed on March 1, 2022. CGS manages a database of 60 different data elements uniquely identifying more than 50 million global financial instruments. It is the foundation for security master files relied on by critical front, middle and back office functions.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We believe that the CGS acquisition will significantly expand our critical role in the global capital markets. Revenues from CGS are recognized based on geographic business activities in accordance with how our operating segments are currently aligned. CGS functions as part of CTS.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purchase price for the CGS acquisition was financed from the net proceeds of the issuance of the Senior Notes and borrowings under the 2022 Credit Facilities. 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these defined terms as well as our acquisition of CGS, the Senior Notes and the 2022 Credit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novel strain of coronavirus, now known as COVID-19 ("COVID-19"), was first reported in December 2019, with the World Health Organization characterizing COVID-19 as a pandemic on March 11, 2020. In response to the COVID-19 pandemic, we implemented a business continuity plan with a dedicated incident management team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our financial results during fiscal 2022.</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outset of the pandemic, we required the vast majority of our employees at our offices across the globe (including our corporate headquarters) to work remotely and implemented global travel restrictions for our employees. Since that time, we have re-opened our offices globally with a focus on safety, while acting consistently with applicable local regulations. As of August 31, 2022, there have been minimal interruptions in our ability to provide our products, services and support to our clients. Working remotely has had relatively little impact on the productivity of our employees, including our ability to gather content. Based on our success working in a remote environment during the COVID-19 pandemic, we have implemented a new work standard under which employees in many of our locations, where permitted by local laws and regulations, and where the role permits, have the opportunity to choose between different work arrangements. These include working in a hybrid arrangement, where an employee can split time between working from the office and working from a pre-approved remote location, or a fully remote arrangement, where an employee can work entirely from a pre-approved remote location.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earnings and ASV are relatively stable and predictable as a result of our subscription-based business model. To date, the COVID-19 pandemic has not had a material negative impact on our revenues, earnings or ASV. As we continue to work in remote and hybrid environments, reductions in discretionary spending, particularly travel and entertainment, have more than offset any related increased expenses. Given our transition to our new work standard, we anticipate that many of these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 reductions will continue going forward, including incurring less travel and entertainment spending than we did pre-pandemic. We also reassessed our real estate footprint in light of these new work arrangements and have exited office space that we believe will no longer be necessary. For the year ended as of August 31, 2022, we recognized $62.2 million in impairment charges related to vacating certain leased office space to resize our real estate footprint for the hybrid work environment. While we will continue to evaluate our real estate needs, we expect that this initiative is largely complete, and we do not currently anticipate additional similarly-sized real estate impairment charges as part of the reduction of our real estate footprint.</w:t>
      </w:r>
    </w:p>
    <w:p>
      <w:pPr>
        <w:spacing w:after="0" w:line="1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1. </w:t>
      </w:r>
      <w:r>
        <w:rPr>
          <w:rFonts w:ascii="Times New Roman" w:cs="Times New Roman" w:eastAsia="Times New Roman" w:hAnsi="Times New Roman"/>
          <w:sz w:val="18"/>
          <w:szCs w:val="18"/>
          <w:i w:val="1"/>
          <w:iCs w:val="1"/>
          <w:color w:val="auto"/>
        </w:rPr>
        <w:t>Business, Human Capital Management, How We Work</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 Operational Risks</w:t>
      </w:r>
      <w:r>
        <w:rPr>
          <w:rFonts w:ascii="Times New Roman" w:cs="Times New Roman" w:eastAsia="Times New Roman" w:hAnsi="Times New Roman"/>
          <w:sz w:val="18"/>
          <w:szCs w:val="18"/>
          <w:color w:val="auto"/>
        </w:rPr>
        <w:t xml:space="preserve"> of this Annual Report on Form 10-K for further discussion of the potential impact of the COVID-19 pandemic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Ukraine/Russia Conflict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ongoing military conflict between Russia and Ukraine continues, we are closely monitoring the current and potential impact on our business, our people and our clients. We have taken all necessary steps to ensure compliance with all applicable regulatory restrictions on international trade and financial transactions. We have discontinued all commercial operations and delivery of products and services to clients inside Russia; have terminated all contracts with vendors in Russia; and have suspended all new business, trials and prospecting activities in Russia. Total revenues associated with clients in Russia were not material to our consolidated financial results, and termination of Russian vendors has not had a material impact on our business or client relationships. We have no offices in Russia or Ukraine, and none of our employees or contractors has been directly impacted by the crisis. We are monitoring the regional and global ramifications of the events in the area, are in close contact with our office in Latvia, and are reviewing our business continuity plans to ensure that we are prepared in the event this office is impacted. Our cybersecurity teams are ready to respond in the event of any attempted systems compromise.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 and is the key indicator of the successful execution of our business strategy.</w:t>
      </w:r>
    </w:p>
    <w:p>
      <w:pPr>
        <w:spacing w:after="0" w:line="22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right="200" w:hanging="324"/>
        <w:spacing w:after="0" w:line="263"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 on the current year period.</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 annualized over the past 12 months.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 plus Professional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August 31, 2022. With proper notice provided as contractually required, our clients can add to, delete portions of, or terminate service, subject to certain limitations.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As of August 31, 2022</w:t>
            </w:r>
          </w:p>
        </w:tc>
      </w:tr>
      <w:tr>
        <w:trPr>
          <w:trHeight w:val="223"/>
        </w:trPr>
        <w:tc>
          <w:tcPr>
            <w:tcW w:w="6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4B4B4B"/>
              </w:rPr>
              <w:t>As reported ASV plus Professional Services</w:t>
            </w:r>
            <w:r>
              <w:rPr>
                <w:rFonts w:ascii="Times New Roman" w:cs="Times New Roman" w:eastAsia="Times New Roman" w:hAnsi="Times New Roman"/>
                <w:sz w:val="21"/>
                <w:szCs w:val="21"/>
                <w:color w:val="4B4B4B"/>
                <w:vertAlign w:val="superscript"/>
              </w:rPr>
              <w:t>(1)</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2,002.1</w:t>
            </w:r>
          </w:p>
        </w:tc>
      </w:tr>
      <w:tr>
        <w:trPr>
          <w:trHeight w:val="230"/>
        </w:trPr>
        <w:tc>
          <w:tcPr>
            <w:tcW w:w="662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4B4B4B"/>
              </w:rPr>
              <w:t>Currency impact</w:t>
            </w:r>
            <w:r>
              <w:rPr>
                <w:rFonts w:ascii="Times New Roman" w:cs="Times New Roman" w:eastAsia="Times New Roman" w:hAnsi="Times New Roman"/>
                <w:sz w:val="21"/>
                <w:szCs w:val="21"/>
                <w:color w:val="4B4B4B"/>
                <w:vertAlign w:val="superscript"/>
              </w:rPr>
              <w:t>(2)</w:t>
            </w:r>
          </w:p>
        </w:tc>
        <w:tc>
          <w:tcPr>
            <w:tcW w:w="800" w:type="dxa"/>
            <w:vAlign w:val="bottom"/>
          </w:tcPr>
          <w:p>
            <w:pPr>
              <w:spacing w:after="0"/>
              <w:rPr>
                <w:sz w:val="19"/>
                <w:szCs w:val="19"/>
                <w:color w:val="auto"/>
              </w:rPr>
            </w:pPr>
          </w:p>
        </w:tc>
        <w:tc>
          <w:tcPr>
            <w:tcW w:w="3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4B4B4B"/>
              </w:rPr>
              <w:t>Acquisition ASV</w:t>
            </w:r>
            <w:r>
              <w:rPr>
                <w:rFonts w:ascii="Times New Roman" w:cs="Times New Roman" w:eastAsia="Times New Roman" w:hAnsi="Times New Roman"/>
                <w:sz w:val="21"/>
                <w:szCs w:val="21"/>
                <w:color w:val="4B4B4B"/>
                <w:vertAlign w:val="superscript"/>
              </w:rPr>
              <w:t>(3)</w:t>
            </w:r>
          </w:p>
        </w:tc>
        <w:tc>
          <w:tcPr>
            <w:tcW w:w="800" w:type="dxa"/>
            <w:vAlign w:val="bottom"/>
            <w:tcBorders>
              <w:bottom w:val="single" w:sz="8" w:color="auto"/>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(170.2)</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4B4B4B"/>
              </w:rPr>
              <w:t>Organic ASV plus Professional Services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1,837.0</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4B4B4B"/>
              </w:rPr>
              <w:t>Organic ASV plus Professional Services growth rate</w:t>
            </w:r>
          </w:p>
        </w:tc>
        <w:tc>
          <w:tcPr>
            <w:tcW w:w="800" w:type="dxa"/>
            <w:vAlign w:val="bottom"/>
            <w:shd w:val="clear" w:color="auto" w:fill="CCEEFF"/>
          </w:tcPr>
          <w:p>
            <w:pPr>
              <w:spacing w:after="0"/>
              <w:rPr>
                <w:sz w:val="19"/>
                <w:szCs w:val="19"/>
                <w:color w:val="auto"/>
              </w:rPr>
            </w:pP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bl>
    <w:p>
      <w:pPr>
        <w:spacing w:after="0" w:line="12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$24.0 million in Professional Services as of August 31, 2022.</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from foreign currency movements.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Acquired ASV from acquisitions completed within the last 12 months.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2022, Organic ASV plus Professional Services was $1.8 billion, an increase of 9.3% compared with August 31, 2021. The increase in year-over-year Organic ASV was largely attributable to increased sales to existing clients, followed by new client sales and existing client price increases, partially offset by existing client cancellations.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Organic ASV increased across all our geographic segments with the majority of the increase related to the Americas, followed by EMEA and Asia Pacific. This increase was driven by additional sales in our workflow solutions, primarily in Research &amp; Advisory and Analytics &amp; Trading, followed by CTS. Sales increased in Research &amp; Advisory mainly due to higher demand for our workstations. Sales increased in Analytics &amp; Trading mainly from our performance and reporting products, portfolio analytics solutions and portfolio and benchmark services. CTS sales increased primarily due to purchases of company financial data, such as fundamentals, estimates and ownership, along with data management solutions to empower data connectivity.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August 31, 2022, ASV from the Americas represented 64% of total ASV and was $1,262.4 million, an increase from $1,039.4 million as of August 31, 2021. Americas Organic ASV increased to $1,135.3 million as of August 31, 2022, a 9.3% increase compared with August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2022, ASV from EMEA equaled 26% of total ASV and was $515.3 million, an increase from $450.0 million as of August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Organic ASV increased to $486.0 million as of August 31, 2022, an 8.4% increase compared with August 31, 2021.</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August 31, 2022, ASV from Asia Pacific comprised 10% of total ASV and was $200.4 million, an increase from $174.7 million as of August 31, 2021. Asia Pacific Organic ASV increased to $191.7 million as of August 31, 2022, a 12.0% increase compared with August 31,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increased Organic ASV in the Americas was primarily driven by increased sales of Research &amp; Advisory and Analytics &amp; Trading. The EMEA organic ASV increase was mainly driven by higher sales of Research &amp; Advisory, Analytics &amp; Trading and CTS. The Asia Pacific organic ASV increase was primarily due to increased sales of Analytics &amp; Trading and Research &amp; Advisory.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buy-side and sell-side Organic ASV growth rates at August 31, 2022, compared with August 31, 2021, were 8.5% and 13.8%, respectively. Buy-side clients account for approximately 83% of our organic ASV, consistent with the prior year period, and primarily include asset managers, wealth managers, asset owners, channel partners, hedge funds and corporate firms. The remainder of our Organic ASV is derived from sell-side firms and primarily include broker-dealers, banking and advisory, private equity and venture capital firms.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p>
      <w:pPr>
        <w:spacing w:after="0" w:line="214"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8"/>
          <w:szCs w:val="18"/>
          <w:color w:val="auto"/>
        </w:rPr>
        <w:t>As of and for the</w:t>
      </w:r>
    </w:p>
    <w:p>
      <w:pPr>
        <w:jc w:val="center"/>
        <w:ind w:left="7100"/>
        <w:spacing w:after="0"/>
        <w:rPr>
          <w:sz w:val="20"/>
          <w:szCs w:val="20"/>
          <w:color w:val="auto"/>
        </w:rPr>
      </w:pPr>
      <w:r>
        <w:rPr>
          <w:rFonts w:ascii="Times New Roman" w:cs="Times New Roman" w:eastAsia="Times New Roman" w:hAnsi="Times New Roman"/>
          <w:sz w:val="18"/>
          <w:szCs w:val="18"/>
          <w:color w:val="auto"/>
        </w:rPr>
        <w:t>Year Ended August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7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7,538</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6,453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179,982</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160,932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The client count includes clients with ASV of $10,000 and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client count was 7,538 as of August 31, 2022, a net increase of 16.8%, or 1,085 clients in the last 12 months, mainly due to an increase in corporate clients, wealth management clients, and private equity and venture capital firms. We believe this increase is primarily due to our continued focus on our on- and off-platform workflow-focused solutions, connected content and client-focused services.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August 31, 2022, there were 179,982 professionals using FactSet, representing a net increase of 11.8%, or 19,050 users, in the last 12 months, primarily driven by an increase in wealth advisory professionals from our wealth management clients, as well as an increase in sell-side users from our banking clients. The increase in users was mainly due to new wealth management clients, improvement in our client retention and increased new hiring at our banking clients.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ASV retention was greater than 95% of ASV for the period ended August 31, 2022 and August 31, 2021. When expressed as a percentage of clients, annual retention was approximately 92% for the period ended August 31, 2022, an improvement from approximately 91% for the period ended August 31, 2021.</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August 31, 2022, our employee headcount was 11,203, an increase of 2.9% compared with 10,892 employees as of August 31, 2021. This growth in headcount was due to an increase in net new employees of 4.5% in Asia Pacific and 2.1% in EMEA, partially offset by a decrease of 1.6% in the Americas. At August 31, 2022, 7,401 employees were located in Asia Pacific, 2,400 in the Americas and 1,402 in EMEA.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during fiscal 2022 and 2021, the following discussion should be read in conjunction with the Consolidated Financial Statements and related Notes included in Item 8. of this Annual Report on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Years ended August 31,</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1,843,892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252,447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871,106</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786,400</w:t>
            </w:r>
          </w:p>
        </w:tc>
        <w:tc>
          <w:tcPr>
            <w:tcW w:w="2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84,706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433,032</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102,028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64,272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64,272</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475,482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0"/>
        </w:trPr>
        <w:tc>
          <w:tcPr>
            <w:tcW w:w="5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396,917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(2,673)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38,736</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(0.11)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fiscal 2022 was $1.8 billion, an increase of 15.9% compared to the prior year. This increase in revenues was largely attributed to increased sales to existing clients, new client sales and existing client price increases, partially offset by existing client cancellations. Revenues increased across all our segments, primarily from the Americas, followed by EMEA and Asia Pacific, driven by increased revenues in all our workflow solutions, mainly in CTS, followed by Research &amp; Advisory and Analytics &amp; Trading, compared with the prior year. Organic revenues increased to $1.7 billion for the fiscal year ended 2022, a 9.8% increase over the prior year period. Refer to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Non-GAAP Financial Measures </w:t>
      </w:r>
      <w:r>
        <w:rPr>
          <w:rFonts w:ascii="Times New Roman" w:cs="Times New Roman" w:eastAsia="Times New Roman" w:hAnsi="Times New Roman"/>
          <w:sz w:val="18"/>
          <w:szCs w:val="18"/>
          <w:color w:val="auto"/>
        </w:rPr>
        <w:t>of this Annual Report on Form 10-K for further discussion on organic revenues.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growth in revenues of 15.9% was reflective of organic revenues growth of 9.8% and a 6.6% increase primarily due to the impact of acquisition-related revenues, partially offset by a 0.5% decrease from foreign currency exchange rate fluctuations.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97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Segment</w:t>
            </w: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2"/>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 for the periods described:</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7"/>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Years ended August 31,</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 Change</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1,173,946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1,008,046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165,900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29"/>
        </w:trPr>
        <w:tc>
          <w:tcPr>
            <w:tcW w:w="354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63.7 %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63.3 %</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484,279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427,700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56,579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9"/>
        </w:trPr>
        <w:tc>
          <w:tcPr>
            <w:tcW w:w="354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26.3 %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26.9 %</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185,667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155,699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29,968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29"/>
        </w:trPr>
        <w:tc>
          <w:tcPr>
            <w:tcW w:w="354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1,843,892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1,591,445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252,447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revenues increased 16.5% to $1,173.9 million in fiscal 2022, compared with $1,008.0 million from the same period a year ago. The increased revenues were mainly due to increased sales in all of our workflow solutions, primarily in CTS, followed by Research &amp; Advisory and Analytics &amp; Trading. The revenues growth of 16.5% was due to organic revenues growth of 8.6% and a 7.9% increase due to the impact of acquisition-related revenues.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revenues increased 13.2% to $484.3 million in fiscal 2022, compared with $427.7 million from the same period in the prior year. This revenues growth was mainly due to increased sales in all of our workflow solutions, primarily in CTS, followed by Research &amp; Advisory and Analytics &amp; Trading. The EMEA revenues growth of 13.2% was driven by organic revenues growth of 10.0% and a 4.2% increase due to the impact of acquisition-related revenues, partially offset by a 1.0% decrease from foreign currency exchange rate fluctuations.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revenues increased 19.2% to $185.7 million in fiscal 2022, compared with $155.7 million from the same period in the prior year. This revenues growth was mainly due to increased sales in all of our workflow solutions, primarily in CTS, followed by Research &amp; Advisory and Analytics &amp; Trading. The Asia Pacific revenues growth of 19.2% was due mainly to organic revenues growth of 17.2% and a 4.3% increase in acquisition-related revenues, partially offset by a 2.3% decrease from foreign currency exchange rate fluctuations.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Workflow Solution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in revenues of 15.9% for fiscal 2022, compared with the same period a year ago, was due to growth in revenues across our segments supported by increased revenues from our workflow solutions, primarily from CTS, followed by Research &amp; Advisory and Analytics &amp; Trading. The increase in CTS revenues was driven mainly by CUSIP related data licensing and issuance revenues and sales of company financial data, such as fundamentals, estimates and ownership. The increase in Research &amp; Advisory revenues was driven mainly by higher demand for our workstations. The increase in revenues from Analytics &amp; Trading was primarily due to increased demand for our performance and reporting products and portfolio analytics solutions.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Operating Costs and Expenses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costs primarily related to data costs, computer-related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identifiable intangible assets, royalty fees, client-related communication costs and computer depreciation.</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SG&amp;A") </w:t>
      </w:r>
      <w:r>
        <w:rPr>
          <w:rFonts w:ascii="Times New Roman" w:cs="Times New Roman" w:eastAsia="Times New Roman" w:hAnsi="Times New Roman"/>
          <w:sz w:val="18"/>
          <w:szCs w:val="18"/>
          <w:color w:val="auto"/>
        </w:rPr>
        <w:t>consist primarily of employee compensation costs and also includes expenses related to occupancy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fees, depreciation of furniture and fixtures, amortization of leasehold improvements, travel and entertainment expenses, marketing costs, non-compensatory employee expenses, internal communication costs and bad debt expense.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costs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business development, finance, legal, human resources and administrative services, are classified as SG&amp;A.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impairments </w:t>
      </w:r>
      <w:r>
        <w:rPr>
          <w:rFonts w:ascii="Times New Roman" w:cs="Times New Roman" w:eastAsia="Times New Roman" w:hAnsi="Times New Roman"/>
          <w:sz w:val="18"/>
          <w:szCs w:val="18"/>
          <w:color w:val="auto"/>
        </w:rPr>
        <w:t>consist primarily of expenses recognized when the carrying amount of an asset exceeds its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 for the periods described: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Years ended August 31,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871,106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786,400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0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433,032</w:t>
            </w:r>
          </w:p>
        </w:tc>
        <w:tc>
          <w:tcPr>
            <w:tcW w:w="36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331,004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64,272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1,368,410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1,117,404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70"/>
        </w:trPr>
        <w:tc>
          <w:tcPr>
            <w:tcW w:w="5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475,482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474,041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25.8 %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29.8 %</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(13.4)%</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increased 10.8% to $871.1 million in fiscal 2022 compared with $786.4 million in the same period a year ago, primarily due to an increase in amortization of intangible assets, computer-related expenses, royalty fees, data costs and employee compensation expense.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47.2% during fiscal 2022, a decrease of 220 basis points over the prior year period. This decrease was primarily due to lower employee compensation costs, computer depreciation and data costs, partially offset by higher amortization of intangible assets, royalty fees and computer-related expenses.</w:t>
      </w:r>
    </w:p>
    <w:p>
      <w:pPr>
        <w:spacing w:after="0" w:line="149"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430 basis points primarily due to a reduction in salaries related to a shift from high to low cost locations, an increase in stock-based compensation expense and an increase in year-over-year variable compensation, partially offset by a net increase in employee headcount of 120 employees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depreciation expense decreased by 40 basis points as certain network equipment was fully depreciated during fiscal 2022, with less replacement equipment needed due to our migration to cloud-based hosting services.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costs decreased by 30 basis points due to revenue growth outpacing the cost of content.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140 basis points mainly due to increased amortization related to acquired intangible assets, primarily from the CGS acquisition, and increased amortization from capitalized internal-use software.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cost of services 90 basis points due to contracts acquired in connection with the acquisition of CGS.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60 basis points due to increased spend from our migration to cloud-based hosting services and licensed software arrangements.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increased 30.8% to $433.0 million during fiscal 2022, compared with $331.0 million from the same period a year ago, primarily due to higher employee compensation expense and professional fees.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expressed as a percentage of revenues, were 23.5% in fiscal 2022, an increase of 270 basis points over the prior year period. This increase was primarily due to higher professional fees and employee compensation expense.</w:t>
      </w:r>
    </w:p>
    <w:p>
      <w:pPr>
        <w:spacing w:after="0" w:line="12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80 basis points, primarily driven by costs incurred in connection with the acquisition of CGS.</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expense increased 70 basis points, primarily due to increased variable compensation, a net increase in SG&amp;A employee headcount of 191, increased stock-based compensation expense and higher annual base salaries.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decreased 60 basis points mainly driven by vacating leased office space resulting in the recognition of asset impairment charges of our lease right-of-use ("ROU") asset during fiscal 2022. This impairment accelerated the recognition of lease expense, thereby reducing occupancy costs recorded over the remaining lease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incurred during fiscal 2022 were $64.3 million, or 3.5% when expressed as a percentage of revenues. This asset impairment charge included $62.2 million related to our lease ROU assets and property, equipment and leasehold improvements associated with vacating certain leased office space to resize our real estate footprint for the hybrid work environment. We fully impaired our lease ROU assets for locations we vacated, with no intention to sublease. For locations we intend to sublease, we recognized an impairment when the estimated fair value of the lease ROU asset was less than its carrying value. Substantially all the property, equipment and leasehold improvements associated with the vacated lease office space was fully impaired as there are no expected future cash flows for these items.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0.3% to $475.5 million in fiscal 2022, compared with $474.0 million in the prior year. This increase was primarily due to growth in revenues of 15.9%, largely offset by higher operating expenses due mainly to impairment charges related to vacating certain leased office space and higher employee compensation expense, amortization of intangible assets, computer-related expenses, professional fees and data costs. Foreign currency exchange rate fluctuations, net of hedge activity, decreased operating income by $3.1 million.</w:t>
      </w:r>
    </w:p>
    <w:p>
      <w:pPr>
        <w:spacing w:after="0" w:line="13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Operating margin decreased in fiscal 2022 to 25.8%, compared with 29.8% for fiscal 2021. Operating margin decreased primarily due to impairment charges related to vacating certain leased office space and higher amortization of intangible assets, royalty fees, professional fees and computer-related expenses, when expressed as a percentage of revenues, partially offset by growth in revenues and lower employee compensation expense, occupancy costs, computer depreciation and data costs, when expressed as a percentage of revenues.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Our internal financial reporting structure is based on three segments: the Americas; EMEA; and Asia Pacific.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discussion regarding our segments. The following table summarizes our operating income by segment for the periods described: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Years ended August 31,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 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474,041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operating income decreased 27.1% to $159.1 million during fiscal 2022, compared with $218.2 million from the prior year. This decrease is primarily due to asset impairments, higher employee compensation expense, amortization of intangible assets, computer-related expenses, professional fees, and royalty fees, partially offset by growth in revenues of 16.5%.</w:t>
      </w:r>
    </w:p>
    <w:p>
      <w:pPr>
        <w:spacing w:after="0" w:line="149"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include $62.2 million related to our lease ROU assets and property, equipment and leasehold improvements associated with vacating certain leased office space to resize our real estate footprint for the hybrid work environment.</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expense increased primarily due to increased variable compensation, higher stock compensation expense and an increase in annual base salary, partially offset by a decrease in net employee headcount of 39.</w:t>
      </w: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primarily increased due to amortization related to acquired intangible assets primarily from the CGS acquisition and increased amortization from capitalized internal-use software.</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primarily due to increased spend from our migration to cloud-based hosting services and licensed software arrangements.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primarily due to costs incurred in connection with the acquisition of CGS.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due to contracts acquired in connection with the acquisition of CGS.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EMEA operating income increased 22.9% to $196.2 million during fiscal 2022, compared with $159.7 million from the prior year. This increase was primarily due to growth in revenues of 13.2%, a decrease in amortization of intangible assets and a decrease in bad debt expense, partially offset by asset impairments. Amortization of intangible assets decreased as certain acquired intangible assets were fully amortized during fiscal 2022. The asset impairments related to vacating certain leased office space to resize our real estate footprint for the hybrid work environment and impacted both our lease ROU assets and property, equipment and leasehold improvements balances.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24.9% to $120.1 million during fiscal 2022, compared with $96.2 million from the prior year. The increase in Asia Pacific operating income was mainly due to growth in revenues of 19.2%, partially offset by an increase in employee compensation expense. Employee compensation expense increased mainly due to higher annual base salaries due to a net increase in employee headcount of 321 and increased variable compensation.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80" w:type="dxa"/>
            <w:vAlign w:val="bottom"/>
          </w:tcPr>
          <w:p>
            <w:pPr>
              <w:spacing w:after="0"/>
              <w:rPr>
                <w:sz w:val="24"/>
                <w:szCs w:val="24"/>
                <w:color w:val="auto"/>
              </w:rPr>
            </w:pPr>
          </w:p>
        </w:tc>
        <w:tc>
          <w:tcPr>
            <w:tcW w:w="27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Years ended August 31,</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2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98"/>
              </w:rPr>
              <w:t>Change</w:t>
            </w: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443,594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467,617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46,677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68,027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9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Our effective tax rate is lower than the applicable U.S. corporate income tax rate for fiscal 2022 driven mainly by research and development ("R&amp;D") tax credits, a foreign derived intangible income ("FDII") deduction and a tax benefit from the exercise of stock options.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2022 provision for income taxes decreased 31.4% to $46.7 million, compared with $68.0 million in fiscal 2021. This decrease was primarily driven by lower pretax income and $11.7 million in higher tax benefits from the exercise of stock options for fiscal 2022, compared with the prior year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Earnings per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300" w:type="dxa"/>
            <w:vAlign w:val="bottom"/>
          </w:tcPr>
          <w:p>
            <w:pPr>
              <w:spacing w:after="0"/>
              <w:rPr>
                <w:sz w:val="24"/>
                <w:szCs w:val="24"/>
                <w:color w:val="auto"/>
              </w:rPr>
            </w:pPr>
          </w:p>
        </w:tc>
        <w:tc>
          <w:tcPr>
            <w:tcW w:w="24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Years ended August 31,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396,917</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399,590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(2,673.0)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38,736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3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166</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decreased 0.7% to $396.9 million and diluted EPS decreased 1.1% to $10.25 for fiscal 2022, compared with fiscal 2021. Net income and diluted EPS decreased primarily due to an increase in operating expenses and interest expense related to our debt refinancing, partially offset by higher revenues and a reduction in the provision for income taxes, compared with the prior year period. Diluted EPS also decreased due to a 0.2 million increase in our diluted weighted average shares outstanding.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EPS.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accordance with GAAP. Other companies may calculate similarly titled non-GAAP financial measures differently that we do, limiting the usefulness of those measures for comparative purposes.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Organic revenues exclude revenue related to acquisitions and dispositions completed in the last 12 months, the amortization of deferred revenues' fair value adjustments from purchase accounting related to acquisitions prior to fiscal 2022, and the impacts of foreign currency movements on the current year period. Acquisitions during fiscal 2022 were accounted for in accordance with our adoption of ASU No. 2021-08; as such, the deferred revenues did not include a fair value adjustment. </w:t>
      </w:r>
      <w:r>
        <w:rPr>
          <w:rFonts w:ascii="Times New Roman" w:cs="Times New Roman" w:eastAsia="Times New Roman" w:hAnsi="Times New Roman"/>
          <w:sz w:val="18"/>
          <w:szCs w:val="18"/>
          <w:i w:val="1"/>
          <w:iCs w:val="1"/>
          <w:color w:val="auto"/>
        </w:rPr>
        <w:t>Refer to</w:t>
      </w:r>
      <w:r>
        <w:rPr>
          <w:rFonts w:ascii="Times New Roman" w:cs="Times New Roman" w:eastAsia="Times New Roman" w:hAnsi="Times New Roman"/>
          <w:sz w:val="18"/>
          <w:szCs w:val="18"/>
          <w:color w:val="auto"/>
        </w:rPr>
        <w:t xml:space="preserv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more information on ASU No. 2021-08.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unaudited reconciliation of revenues to adjusted revenues and organic revenues.</w:t>
      </w:r>
    </w:p>
    <w:p>
      <w:pPr>
        <w:spacing w:after="0" w:line="3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Twelve Months Ended</w:t>
      </w:r>
    </w:p>
    <w:tbl>
      <w:tblPr>
        <w:tblLayout w:type="fixed"/>
        <w:tblInd w:w="0" w:type="dxa"/>
        <w:tblCellMar>
          <w:top w:w="0" w:type="dxa"/>
          <w:left w:w="0" w:type="dxa"/>
          <w:bottom w:w="0" w:type="dxa"/>
          <w:right w:w="0" w:type="dxa"/>
        </w:tblCellMar>
      </w:tblPr>
      <w:tr>
        <w:trPr>
          <w:trHeight w:val="221"/>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August 31,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6"/>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1,843,892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1,591,445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0"/>
        </w:trPr>
        <w:tc>
          <w:tcPr>
            <w:tcW w:w="554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revenues fair value adjustment</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1,843,917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1,591,984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30"/>
        </w:trPr>
        <w:tc>
          <w:tcPr>
            <w:tcW w:w="55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Acquired revenues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(103,723)</w:t>
            </w:r>
          </w:p>
        </w:tc>
        <w:tc>
          <w:tcPr>
            <w:tcW w:w="2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(103,723)</w:t>
            </w:r>
          </w:p>
        </w:tc>
        <w:tc>
          <w:tcPr>
            <w:tcW w:w="1560" w:type="dxa"/>
            <w:vAlign w:val="bottom"/>
          </w:tcPr>
          <w:p>
            <w:pPr>
              <w:spacing w:after="0"/>
              <w:rPr>
                <w:sz w:val="19"/>
                <w:szCs w:val="19"/>
                <w:color w:val="auto"/>
              </w:rPr>
            </w:pPr>
          </w:p>
        </w:tc>
      </w:tr>
      <w:tr>
        <w:trPr>
          <w:trHeight w:val="229"/>
        </w:trPr>
        <w:tc>
          <w:tcPr>
            <w:tcW w:w="55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7,898</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560" w:type="dxa"/>
            <w:vAlign w:val="bottom"/>
            <w:shd w:val="clear" w:color="auto" w:fill="CCEEFF"/>
          </w:tcPr>
          <w:p>
            <w:pPr>
              <w:spacing w:after="0"/>
              <w:rPr>
                <w:sz w:val="19"/>
                <w:szCs w:val="19"/>
                <w:color w:val="auto"/>
              </w:rPr>
            </w:pPr>
          </w:p>
        </w:tc>
      </w:tr>
      <w:tr>
        <w:trPr>
          <w:trHeight w:val="22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1,748,092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1,591,984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110" w:lineRule="exact"/>
        <w:rPr>
          <w:sz w:val="20"/>
          <w:szCs w:val="20"/>
          <w:color w:val="auto"/>
        </w:rPr>
      </w:pPr>
    </w:p>
    <w:p>
      <w:pPr>
        <w:ind w:left="660" w:right="220" w:hanging="328"/>
        <w:spacing w:after="0" w:line="267"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amortization effect of the purchase accounting adjustment related to the fair value of acquired deferred revenues. Acquisitions during fiscal 2022 were accounted for in accordance with our adoption of ASU No. 2021-08; as such, the deferred revenues did not include a fair value adjustment.</w:t>
      </w:r>
    </w:p>
    <w:p>
      <w:pPr>
        <w:spacing w:after="0" w:line="11"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acquisitions completed within the last 12 months.</w:t>
      </w:r>
    </w:p>
    <w:p>
      <w:pPr>
        <w:spacing w:after="0" w:line="63"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from foreign currency movements over the past 12 months.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w:t>
      </w:r>
    </w:p>
    <w:p>
      <w:pPr>
        <w:spacing w:after="0" w:line="2"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7"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August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475,482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474,041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539</w:t>
            </w:r>
          </w:p>
        </w:tc>
        <w:tc>
          <w:tcPr>
            <w:tcW w:w="154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charges</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716</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23,257</w:t>
            </w:r>
          </w:p>
        </w:tc>
        <w:tc>
          <w:tcPr>
            <w:tcW w:w="154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5,028</w:t>
            </w:r>
          </w:p>
        </w:tc>
        <w:tc>
          <w:tcPr>
            <w:tcW w:w="154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Liability</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2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14,113</w:t>
            </w:r>
          </w:p>
        </w:tc>
        <w:tc>
          <w:tcPr>
            <w:tcW w:w="1540" w:type="dxa"/>
            <w:vAlign w:val="bottom"/>
            <w:tcBorders>
              <w:bottom w:val="single" w:sz="8" w:color="CCEEFF"/>
            </w:tcBorders>
          </w:tcPr>
          <w:p>
            <w:pPr>
              <w:spacing w:after="0"/>
              <w:rPr>
                <w:sz w:val="19"/>
                <w:szCs w:val="19"/>
                <w:color w:val="auto"/>
              </w:rPr>
            </w:pPr>
          </w:p>
        </w:tc>
      </w:tr>
      <w:tr>
        <w:trPr>
          <w:trHeight w:val="22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624,395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517,694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29"/>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margin</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540" w:type="dxa"/>
            <w:vAlign w:val="bottom"/>
          </w:tcPr>
          <w:p>
            <w:pPr>
              <w:spacing w:after="0"/>
              <w:rPr>
                <w:sz w:val="19"/>
                <w:szCs w:val="19"/>
                <w:color w:val="auto"/>
              </w:rPr>
            </w:pPr>
          </w:p>
        </w:tc>
      </w:tr>
      <w:tr>
        <w:trPr>
          <w:trHeight w:val="229"/>
        </w:trPr>
        <w:tc>
          <w:tcPr>
            <w:tcW w:w="456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Adjusted operating margin</w:t>
            </w:r>
            <w:r>
              <w:rPr>
                <w:rFonts w:ascii="Times New Roman" w:cs="Times New Roman" w:eastAsia="Times New Roman" w:hAnsi="Times New Roman"/>
                <w:sz w:val="23"/>
                <w:szCs w:val="23"/>
                <w:color w:val="auto"/>
                <w:vertAlign w:val="superscript"/>
              </w:rPr>
              <w:t>(1)</w:t>
            </w:r>
          </w:p>
        </w:tc>
        <w:tc>
          <w:tcPr>
            <w:tcW w:w="2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540" w:type="dxa"/>
            <w:vAlign w:val="bottom"/>
            <w:tcBorders>
              <w:bottom w:val="single" w:sz="8" w:color="auto"/>
            </w:tcBorders>
            <w:shd w:val="clear" w:color="auto" w:fill="CCEEFF"/>
          </w:tcPr>
          <w:p>
            <w:pPr>
              <w:spacing w:after="0"/>
              <w:rPr>
                <w:sz w:val="19"/>
                <w:szCs w:val="19"/>
                <w:color w:val="auto"/>
              </w:rPr>
            </w:pPr>
          </w:p>
        </w:tc>
      </w:tr>
      <w:tr>
        <w:trPr>
          <w:trHeight w:val="183"/>
        </w:trPr>
        <w:tc>
          <w:tcPr>
            <w:tcW w:w="4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396,917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399,590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54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charges</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54,789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w:t>
            </w:r>
          </w:p>
        </w:tc>
        <w:tc>
          <w:tcPr>
            <w:tcW w:w="1540" w:type="dxa"/>
            <w:vAlign w:val="bottom"/>
            <w:shd w:val="clear" w:color="auto" w:fill="CCEEFF"/>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19,672</w:t>
            </w:r>
          </w:p>
        </w:tc>
        <w:tc>
          <w:tcPr>
            <w:tcW w:w="154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4,253</w:t>
            </w:r>
          </w:p>
        </w:tc>
        <w:tc>
          <w:tcPr>
            <w:tcW w:w="154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Liability</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11,938</w:t>
            </w:r>
          </w:p>
        </w:tc>
        <w:tc>
          <w:tcPr>
            <w:tcW w:w="154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(4,466)</w:t>
            </w:r>
          </w:p>
        </w:tc>
        <w:tc>
          <w:tcPr>
            <w:tcW w:w="1540" w:type="dxa"/>
            <w:vAlign w:val="bottom"/>
            <w:shd w:val="clear" w:color="auto" w:fill="CCEEFF"/>
          </w:tcPr>
          <w:p>
            <w:pPr>
              <w:spacing w:after="0"/>
              <w:rPr>
                <w:sz w:val="19"/>
                <w:szCs w:val="19"/>
                <w:color w:val="auto"/>
              </w:rPr>
            </w:pPr>
          </w:p>
        </w:tc>
      </w:tr>
      <w:tr>
        <w:trPr>
          <w:trHeight w:val="223"/>
        </w:trPr>
        <w:tc>
          <w:tcPr>
            <w:tcW w:w="456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2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520,279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432,049</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183"/>
        </w:trPr>
        <w:tc>
          <w:tcPr>
            <w:tcW w:w="45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396,917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399,590</w:t>
            </w:r>
          </w:p>
        </w:tc>
        <w:tc>
          <w:tcPr>
            <w:tcW w:w="154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8,200</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68,027</w:t>
            </w:r>
          </w:p>
        </w:tc>
        <w:tc>
          <w:tcPr>
            <w:tcW w:w="154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86,683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64,476</w:t>
            </w:r>
          </w:p>
        </w:tc>
        <w:tc>
          <w:tcPr>
            <w:tcW w:w="1540" w:type="dxa"/>
            <w:vAlign w:val="bottom"/>
            <w:shd w:val="clear" w:color="auto" w:fill="CCEEFF"/>
          </w:tcPr>
          <w:p>
            <w:pPr>
              <w:spacing w:after="0"/>
              <w:rPr>
                <w:sz w:val="19"/>
                <w:szCs w:val="19"/>
                <w:color w:val="auto"/>
              </w:rPr>
            </w:pPr>
          </w:p>
        </w:tc>
      </w:tr>
      <w:tr>
        <w:trPr>
          <w:trHeight w:val="223"/>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565,974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540,293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charges</w:t>
            </w:r>
          </w:p>
        </w:tc>
        <w:tc>
          <w:tcPr>
            <w:tcW w:w="2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62,205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r>
      <w:tr>
        <w:trPr>
          <w:trHeight w:val="223"/>
        </w:trPr>
        <w:tc>
          <w:tcPr>
            <w:tcW w:w="456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2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628,179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540,293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183"/>
        </w:trPr>
        <w:tc>
          <w:tcPr>
            <w:tcW w:w="45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charges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54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Liability</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0.31</w:t>
            </w:r>
          </w:p>
        </w:tc>
        <w:tc>
          <w:tcPr>
            <w:tcW w:w="1540" w:type="dxa"/>
            <w:vAlign w:val="bottom"/>
            <w:shd w:val="clear" w:color="auto" w:fill="CCEEFF"/>
          </w:tcPr>
          <w:p>
            <w:pPr>
              <w:spacing w:after="0"/>
              <w:rPr>
                <w:sz w:val="19"/>
                <w:szCs w:val="19"/>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(0.12)</w:t>
            </w:r>
          </w:p>
        </w:tc>
        <w:tc>
          <w:tcPr>
            <w:tcW w:w="1540" w:type="dxa"/>
            <w:vAlign w:val="bottom"/>
            <w:tcBorders>
              <w:bottom w:val="single" w:sz="8" w:color="CCEEFF"/>
            </w:tcBorders>
          </w:tcPr>
          <w:p>
            <w:pPr>
              <w:spacing w:after="0"/>
              <w:rPr>
                <w:sz w:val="19"/>
                <w:szCs w:val="19"/>
                <w:color w:val="auto"/>
              </w:rPr>
            </w:pPr>
          </w:p>
        </w:tc>
      </w:tr>
      <w:tr>
        <w:trPr>
          <w:trHeight w:val="223"/>
        </w:trPr>
        <w:tc>
          <w:tcPr>
            <w:tcW w:w="45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i w:val="1"/>
                <w:iCs w:val="1"/>
                <w:color w:val="auto"/>
              </w:rPr>
              <w:t>Adjusted diluted earnings per common share</w:t>
            </w:r>
            <w:r>
              <w:rPr>
                <w:rFonts w:ascii="Times New Roman" w:cs="Times New Roman" w:eastAsia="Times New Roman" w:hAnsi="Times New Roman"/>
                <w:sz w:val="23"/>
                <w:szCs w:val="23"/>
                <w:i w:val="1"/>
                <w:iCs w:val="1"/>
                <w:color w:val="auto"/>
                <w:vertAlign w:val="superscript"/>
              </w:rPr>
              <w:t>(3)</w:t>
            </w:r>
          </w:p>
        </w:tc>
        <w:tc>
          <w:tcPr>
            <w:tcW w:w="2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38,736</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38,570</w:t>
            </w:r>
          </w:p>
        </w:tc>
        <w:tc>
          <w:tcPr>
            <w:tcW w:w="1540" w:type="dxa"/>
            <w:vAlign w:val="bottom"/>
            <w:tcBorders>
              <w:bottom w:val="single" w:sz="8" w:color="auto"/>
            </w:tcBorders>
          </w:tcPr>
          <w:p>
            <w:pPr>
              <w:spacing w:after="0"/>
              <w:rPr>
                <w:sz w:val="19"/>
                <w:szCs w:val="19"/>
                <w:color w:val="auto"/>
              </w:rPr>
            </w:pPr>
          </w:p>
        </w:tc>
      </w:tr>
      <w:tr>
        <w:trPr>
          <w:trHeight w:val="844"/>
        </w:trPr>
        <w:tc>
          <w:tcPr>
            <w:tcW w:w="4560" w:type="dxa"/>
            <w:vAlign w:val="bottom"/>
          </w:tcPr>
          <w:p>
            <w:pPr>
              <w:spacing w:after="0"/>
              <w:rPr>
                <w:sz w:val="24"/>
                <w:szCs w:val="24"/>
                <w:color w:val="auto"/>
              </w:rPr>
            </w:pPr>
          </w:p>
        </w:tc>
        <w:tc>
          <w:tcPr>
            <w:tcW w:w="21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margin is calculated as adjusted operating income divided by adjusted revenues as shown in the organic revenue table above.</w:t>
      </w:r>
    </w:p>
    <w:p>
      <w:pPr>
        <w:spacing w:after="0" w:line="63"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is calculated as the sum of EBITDA and non-recurring, non-cash charges.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purposes of calculating adjusted net income and adjusted diluted earnings per share, adjustments were taxed at the annual effective tax rates of 12.3% for fiscal 2022 and 17.8% for fiscal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the remaining available cash flow has been used to among other things, service our existing and future debt obligations, satisfy our working capital requirements and fund our capital expenditures, investments, acquisitions,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which provides for a senior unsecured term loan credit facility in an aggregate principal amount of $1.0 billion (the "2022 Term Facility") and a senior unsecured revolving credit facility in an aggregate principal amount of $500.0 million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borrowed $1.0 billion under the 2022 Term Facility and $250.0 million of the available $500.0 million under the 2022 Revolving Facility. We are required to pay a commitment fee on the daily unused amount of the 2022 Revolving Facility using a pricing grid, which remained at 0.125% through August 31, 2022. The commitment fee can fluctuate between 0.10% and 0.25% per annum based upon our senior unsecured non-credit enhanced long-term debt rating and our total leverage ratio.</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incurred approximately $9.5 million in debt issuance costs related to the 2022 Credit Facilities. Debt issuance costs are presented in the Consolidated Balance Sheets as a direct deduction from the carrying amount of the related debt liability. Debt issuance costs are amortized to Interest expense, net in the Consolidated Statements of Income over the contractual term of the debt on a straight-line basis, which approximates the effective interest method.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2022 Term Facility are subject to scheduled amortization payments on the last day of each fiscal quarter, commencing with August 31, 2022 and ending on the last such day to occur prior to the maturity date. Each amortization payment is equal to 1.25% of the original principal amount of the 2022 Term Facility. Any remaining outstanding principal will be repaid in full on March 1, 2025, the maturity date of the 2022 Term Facility. The 2022 Credit Facilities are not otherwise subject to any mandatory prepayments. We may voluntarily prepay loans under the 2022 Credit Facilities at any time without premium or penalty. Prepayments of the 2022 Term Facility shall be applied to reduce the subsequent scheduled amortization payments in direct order of maturity. During fiscal 2022, we repaid $250.0 million under the 2022 Term Facility, inclusive of voluntary prepayments of $237.5 million.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provides that loans denominated in U.S. dollars, at our option, will bear interest at either (i) the one-month Term SOFR (with a 0.1% credit spread adjustment and subject to a "zero" floor), (ii) the Daily Simple SOFR (with a 0.1% credit spread adjustment and subject to a "zero" floor) or (iii) an alternate base rate. Under the 2022 Credit Agreement, loans denominated in Pounds Sterling will bear interest at the Daily SONIA (subject to a "zero" floor) and loans denominated in Euros will bear interest at the EURIBOR (subject to a "zero" floor), in each case, plus an applicable interest rate margin.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margin will fluctuate based upon our senior unsecured non-credit enhanced long-term debt rating and our total leverage ratio.</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2022, the outstanding borrowings under the 2022 Credit Facilities bore interest at rates equal to the applicable one-month Term SOFR rate plus a 1.1% spread (comprised of a 1.0% interest rate margin based on a debt leverage pricing grid plus 0.1% credit spread adjustment). The spread remained consistent through August 31, 2022.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2022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during the third quarter of 2022 we incurred approximately $9.1 million in debt issuance costs related to the Senior Notes. Debt discounts and debt issuance costs are presented in the Consolidated Balance Sheets as a net direct deduction from the carrying amount of the related debt liability. The debt discounts and debt issuance costs are amortized to Interest expense, net in the Consolidated Statements of Income over the contractual term of the debt, leveraging the effective interest method.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2027 Notes and the 2032 Notes will mature on March 1, 2027 and March 1, 2032, respectively. Interest on the Senior Notes is payable semiannually in arrears on March 1 and September 1 of each year, beginning September 1,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The Senior Notes are unsecured unsubordinated obligations, and will be effectively subordinated to any of our existing and future secured obligations, to the extent of the value of the assets securing such obligations.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the Supplemental Indenture), we must offer to repurchase the Senior Notes at 101% of their principal amount, plus any accrued and unpaid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2022, we entered into the 2022 Swap Agreement to hedge a portion of our outstanding floating SOFR rate debt with a fixed interest rate of 1.162%.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defined terms and more information on the 2022 Swap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29, 2019, we entered into a credit agreement, as the borrower, with PNC Bank, National Association ("PNC"), as the administrative agent and lender (the "2019 Credit Agreement"), which provided for a $750.0 million revolving credit facility (the "2019 Revolving Credit Facility").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borrowed $575.0 million of the available $750.0 million provided by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2019, we incurred approximately $0.9 million in debt issuance costs related to the 2019 Credit Agreement. These costs were capitalized as debt issuance costs and were amortized into Interest expense, net in the Consolidated Statements of Income ratably over the term of the 2019 Credit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Credit Agreement contained covenants and requirements restricting certain of our activities, which were usual and customary for this type of loan. In addition, the 2019 Credit Agreement required that we maintain a consolidated net leverage ratio, as measured by total net funded debt/EBITDA (as defined in the 2019 Credit Agreement), below a specified level as of the end of each fiscal quarter.</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of March 1, 2022, we repaid in full and terminated the 2019 Credit Agreement.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more information on the termination.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Shareholders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returned $144.6 million and $382.6 million to stockholders in the form of share repurchases and dividends paid during fiscal 2022 and 2021,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and 2021, we paid dividends of $125.9 million and $117.9 million, respectively. Our dividends per share increased 8.5% during fiscal 2022 compared to fiscal 2021, which marked the 23rd consecutive year we have increased dividends, highlighting our continued commitment to returning value to stockholders. Future cash dividends will depend on our earnings, capital requirements, financial condition and other factors considered relevant by us and is subject to final determination by our Board of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2022, a total of $181.3 million remained authorized for future share repurchases under our share repurchase program. There is no defined number of shares to be repurchased over a specified timeframe through the life of the program. We may repurchase shares of our common stock under the program from time-to-time in the open market and privately negotiated transactions, subject to market conditions.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August 31, 2022, we repurchased 46,200 shares for $18.6 million compared with 797,385 shares for $264.7 million for the year ended August 31, 2021.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Facilities.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2022 Credit Facilities.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August 31, 2022, capital expenditures decreased by 16.6% to $51.2 million, compared with $61.3 million during the same period a year ago. Capital expenditures decreased primarily due to costs incurred for the build-out of our office space in the Philippines during the year ended August 31, 2021, partially offset by higher expenditures related to peripherals for our office space in India during the year ended August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and 2021, we completed acquisitions of several businesses, with the most significant cash flows related to the acquisitions of CGS, Cobalt Software, Inc. ("Cobalt") and Truvalue Labs, Inc. ("TVL").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CUSIP Global Services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 2022, we completed the acquisition of CGS, previously operated by S&amp;P Global Inc. on behalf of the ABA,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 office functions.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believe that the CGS acquisition will significantly expand our critical role in the global capital markets.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Cobalt Software, Inc.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and inclusive of working capital adjustments.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Truvalue Labs, Inc.</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2020, we acquired all of the outstanding shares of TVL for a purchase price of $41.9 million, net of cash acquired. TVL is a leading provider of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w:t>
      </w:r>
    </w:p>
    <w:p>
      <w:pPr>
        <w:spacing w:after="0" w:line="13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the Notes to the Consolidated Financial Statements included in Item 8. of this Annual Report on Form 10-K for further discussion of the CGS, Cobalt and TVL acquisitions.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Purchase obligations represent our legally-binding agreements to purchase fixed or minimum quantities at determinable prices. As of August 31, 2022 and 2021, we had total purchase obligations with suppliers of $373.9 million and $191.9 million, respectively. Our total purchase obligations at the end of both fiscal years primarily related to hosting services and data content. Hosting services support our technology investments related to our migration to cloud-based hosting services, the majority of which rely on third-party hosting providers. Data content is an integral component of the value we provide to our clients. Additional commitments relate primarily to third-party software providers. We also have contractual obligations related to our lease liabilities and outstanding debt. Refer to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for the periods indicated, provides selected cash flow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9"/>
                <w:szCs w:val="19"/>
                <w:color w:val="auto"/>
              </w:rPr>
            </w:pPr>
          </w:p>
        </w:tc>
        <w:tc>
          <w:tcPr>
            <w:tcW w:w="24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Years ended August 31,</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538,277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(16,949)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(2,033,675)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(135,992)</w:t>
            </w:r>
          </w:p>
        </w:tc>
        <w:tc>
          <w:tcPr>
            <w:tcW w:w="2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(1,897,683)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1,395.4 %</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1,339,234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(322,711)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1,661,945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(22,165)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(274,852)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and cash equivalents aggregated to $503.3 million as of August 31, 2022, compared with $681.9 million as of August 31, 2021. Our cash and cash equivalents decreased $178.6 million during the twelve months ended August 31, 2022. This decrease was primarily due to cash outflows of $1,981.6 million for the acquisition of businesses, $825.0 million of debt repayments related to the termination of the 2019 Credit Agreement and partial repayment of the 2022 Term Facility, $125.9 million in dividend payments, $51.2 million of capital expenditures and $18.6 million in share repurchases. These cash outflows were partially offset by inflows of $2,238.4 million from the issuance of new debt related to our 2022 Credit Facilities and Senior Notes, $538.3 million from net cash provided by operating activities and $86.0 million in proceeds from the exercise of employee stock options.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$221.1 million in the Americas, $199.6 million in EMEA (predominantly in the UK) and the remaining $82.6 million in Asia Pacific (predominantly in the Philippines and India) as of August 31, 2022. We are permanently reinvested in all foreign unremitted earnings, except in jurisdictions where earnings can be repatriated substantially free of tax.</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fiscal 2022, net cash provided by operating activities was $538.3 million, compared with $555.2 million for fiscal 2021, a decrease of $16.9 million. This decrease was primarily driven by the timing of tax payments in certain jurisdictions and higher accounts receivable due to increased sales and an increase in days sales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fiscal 2022, net cash used in in investing activities was $2,033.7 million, compared with $136.0 million for fiscal 2021, an increase of $1,897.7 million. This increase was primarily driven by higher spend on acquisitions of $1,923.6 million mainly related to the cash purchase of CGS for $1,931.5 million, inclusive of working capital adjustments, and the cash purchase of Cobalt for $50.0 million, net of cash acquired and inclusive of working capital adjustments, during the twelve months ended August 31, 2022, compared with the cash purchase of TVL for $41.9 million, net of cash acquired, in the prior year period. The increase in net cash used in investing was partially offset by a decrease in net purchases of investments (net of proceeds) of $15.7 million and a decrease in capital expenditures of $10.2 million compared with the prior year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fiscal 2022, net cash inflow from financing activities was $1,339.2 million, compared with a net cash outflow of $322.7 million for fiscal 2021, an increase of $1,661.9 million. This cash inflow was mainly driven by $2,238.4 million in proceeds received from the 2022 Credit Facilities and Senior Notes, a $246.1 million reduction in repurchases of common stock, and a $21.9 million increase in proceeds from employee stock plans, partially offset by the repayment of $825.0 million of debt related to the termination of the 2019 Credit Agreement and partial repayment of the 2022 Term Facility.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leasehold improvements and capitalized internal use software. We believe free cash flow is a liquidity measure that provides useful information to management and investors about the amount of cash generated by the business that, after capital expenditures, can be used for strategic opportunities, including returning value to shareholders,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1"/>
                <w:szCs w:val="21"/>
                <w:color w:val="auto"/>
              </w:rPr>
            </w:pPr>
          </w:p>
        </w:tc>
        <w:tc>
          <w:tcPr>
            <w:tcW w:w="2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Years ended August 31,</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538,277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555,226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(51,156)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(61,325)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487,121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493,901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60" w:hanging="328"/>
        <w:spacing w:after="0" w:line="284" w:lineRule="auto"/>
        <w:tabs>
          <w:tab w:leader="none" w:pos="6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expenditures are included in net cash used in investing activities during each fiscal period reported and include property, equipment, leasehold improvements and capitalized internal-use software.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2022, we generated free cash flow of $487.1 million, compared with $493.9 million in fiscal 2021. This decrease of $6.8 million was primarily due to a $16.9 million decrease in operating cash flows, partially offset by a $10.2 million decrease in capital expenditures. The operating cash flows decrease was primarily driven by the timing of tax payments in certain jurisdictions and an increase in days sales outstanding. Capital expenditures decreased primarily due to costs incurred for the build-out of our office space in the Philippines during fiscal 2021, partially offset by higher peripherals for our office space primarily in India during fiscal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31, 2022 and 2021,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Exposure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To mitigate this foreign currency exposure, we entered into a series of forward contracts to hedge a portion of our foreign currency exposures related to the British Pound Sterling, Euro, Indian Rupee, and Philippine Peso ranging from 25% to 75% over their respective hedged periods as of August 31, 2022.</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foreign currency exchange rate fluctuations, net of hedge activity, decreased operating income by $3.1 million, compared with a $5.4 million decrease to operating income in the prior year. The current foreign currency forward contracts are set to mature at various points between the first quarter of fiscal 2023 through the fourth quarter of fiscal 2023. A loss on foreign currency forward contracts of $7.9 million was recorded into operating income during fiscal 2022, compared with a gain of $5.0 million in fiscal 2021.</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value of foreign currency forward contracts to purchase British Pound Sterling, Euros, Indian Rupees and Philippine Pesos with U.S.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4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August 31, 2022</w:t>
            </w:r>
          </w:p>
        </w:tc>
        <w:tc>
          <w:tcPr>
            <w:tcW w:w="7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18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2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55,567</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40,674</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2,585,198</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0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1,462,060</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1,414,928</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154,728</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disclose the development and selection of our critical accounting estimates with the Audit Committee of our Board of Directors. The critical accounting estimates and judgments that we believe to have the most significant impacts to our Consolidated Financial Statements are described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Our tax provision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 Our effective tax rates differ from the statutory rate primarily due to the impact of state taxes, foreign operations, research and development ("R&amp;D") and other tax credits, tax audit settlements, the tax benefit from stock option exercises and the foreign derived intangible income ("FDII") tax deduction.</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provision for income taxes is subject to volatility and could be adversely impacted by numerous factors such as changes in tax laws, regulations, or accounting principles, including accounting for uncertain tax positions or interpretations of them. Significant judgment is required to determine recognition and measurement. Further, as a result of certain ongoing employment and capital investment actions and commitments, our income in certain countries is subject to reduced tax rates and in some cases is wholly exempt from tax. Our failure to meet these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account for unrecognized tax benefits, we first determine whether it is more likely than not (defined as a likelihood of more than 50%) that a tax position will be sustained based on its technical merits as of the reporting date. A tax position that meets this more likely than not threshold is then measured and recognized at the largest amount of benefit that is greater than fifty percent likely to be realized upon effective settlement with a taxing authority. The determination of liabilities related to unrecognized tax benefits, including associated interest and penalties, requires significant estimates. There can be no assurance that we will accurately predict the outcomes of these audits, however, we have no reason to believe that such audits will result in the payment of additional taxes and/or penalties that would have a material adverse effect on our results of operations or financial position, beyond current estimates.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We do not currently anticipate that the total amounts of unrecognized tax benefits will significantly change within the next 12 months.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121"/>
        </w:rPr>
        <w:t>We accrue interest on all tax exposures for which reserves have been established consistent with jurisdictional tax laws. This interest is classified as income tax expense in the financial statements.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compensation expense for all stock-based awards made to our employees and board of directors ("non-employees") using the Black-Scholes model or the lattice-binomial-option pricing model to estimate the grant-date fair value. Both models involve certain estimates and subjective assumptions regarding our stock price volatility, the expected life of the award, the term selected for the risk-free rate, and the expected dividend yield. The binomial model also incorporates market conditions, vesting restrictions and exercise patterns.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performance-based equity awards require management to make assumptions regarding the probability of achieving the relevant performance condition, which is reviewed on a quarterly basis. The number of performance-based awards that vest will be predicated on achieving performance levels during the measurement period subsequent to the date of grant.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expected forfeitures of equity awards at the date of grant and recognize compensation expense only for those awards expected to vest. The forfeiture assumption is revised if actual forfeitures differ from those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assumptions we use to calculate and account for stock-based compensation awards represent management's best estimates, which involve inherent uncertainties. As a result, if we revise our assumptions and estimates, our stock-based compensation expense could differ from amounts recorded. Refer to Note 16,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further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assigned to one or more reporting units on the date of acquisition. Our reporting units are the same as our reportable segments. Goodwill is not amortized as it is estimated to have an indefinite life. We test our goodwill for impairment annually during the fourth quarter of each fiscal year and between annual tests if an event occurs or circumstances change that would more likely than not reduce the fair value of any one of our reporting units below its respective carrying amount.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perform a qualitative analysis for the reporting units to determine whether it is more likely (a likelihood of more than 50%) than not the fair value of the reporting unit is less than its carrying value. In performing a qualitative assessment, we consider such factors as macro-economic conditions, industry and market conditions in which we operate, including the competitive environment and significant changes in demand for our services. We also consider the share price both in absolute terms and in relation to peer companies. If the qualitative analysis indicates that it is more likely than not the fair value of a reporting unit is less than its carrying amount or if we elect not to perform a qualitative analysis, a quantitative analysis is performed to determine whether a goodwill impairment exists.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quantitative goodwill impairment analysis is used to identify potential impairment by comparing the carrying amount of a reporting unit with its fair value, by applying the income approach, utilizing the discounted cash flow method, along with other relevant market information. An impairment charge for the amount by which the carrying amount exceeds the reporting unit’s fair value, if any, would be recognized. The loss recognized would not exceed the total amount of goodwill allocated to that reporting unit.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identifiable intangible assets are classified as an ABA business process, client relationships, software technology, developed technology, acquired databases, data content, and trade names resulting from acquisitions or capitalization of costs related to on-premises internal-use software. We amortize intangible assets over their estimated useful lives, which are evaluated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are tested for impairment qualitatively on a quarterly basis. An impairment is recognized if the carrying amount is not recoverable and exceeds the fair value of the asset. Recoverability is determined by comparing the carrying amount of the intangible asset to the estimated undiscounted future cash flows expected to be generated by the asset. Significant judgment is involved in determining the assumptions used in estimating future cash flows. If it is determined that the intangible asset is not recoverable, the impairment loss would be calculated based on the excess of the carrying amount of the intangible asset over its fair value.</w:t>
      </w:r>
    </w:p>
    <w:p>
      <w:pPr>
        <w:spacing w:after="0" w:line="1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further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values of the identified assets and liabilities is recorded as goodwill and assigned to one or more reporting units. The amounts and useful lives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if any, are recognized separately from the business combination and are expensed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a qualitative review on a quarterly basis of our long-lived assets, comprised of property, equipment and leasehold improvements. In evaluating long-lived assets for recoverability, we use our best estimate of future cash flows (undiscounted and excluding interest charges). If the estimated future cash flows are less than the carrying value of the asset, an impairment loss is recognized to the extent that such asset's carrying value exceeds its fair value, based on the most appropriate valuation technique, including discounted cash flows.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indicators for impairment, we take various factors into account, including, but not limited to, a significant decline in our expected future cash flows, changes in expected useful life, unanticipated competition, slower growth rates, ongoing maintenance and improvements of the assets, or changes in the usage or operating performance. A significant amount of judgment is involved in determining if an indicator of impairment has occurred and in calculating the inputs to the impairment calculation such as estimates related to future cash flows and asset fair values, forecasting asset useful lives and selecting the discount rate that reflects the risk inherent in future cash flows. If actual results are not consistent with our estimates and assumptions included in our impairment assessment, we may be exposed to losses that could be material.</w:t>
      </w:r>
    </w:p>
    <w:p>
      <w:pPr>
        <w:spacing w:after="0" w:line="14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8"/>
          <w:szCs w:val="18"/>
          <w:i w:val="1"/>
          <w:iCs w:val="1"/>
          <w:color w:val="auto"/>
        </w:rPr>
        <w:t>Property, Equipment and Leasehold Improvements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litigation that have arisen in the ordinary course of business, which involve inherent uncertainties. Assessing the probability of loss for such contingencies and determining how to accrue the appropriate liabilities requires judgment. If actual results differ from our assessments, our financial position, results of operations, or cash flows would be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a full description of recent accounting pronouncements, including the expected dates of adoption.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DISCLOSURES ABOUT MARKET RISK</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modify materially or change our financial risk management strategies with respect to our exposures to foreign currency exchange risk or interest rate risk.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our financial condition, results of operations and cash flows could be impacted by changes in foreign currency exchange rates. To mitigate the volatility and uncertainty of our exchange rate risk, we entered into foreign currency forward contracts with major institutions related to our primary currencies of the British Pound Sterling, Euro, Indian Rupee and Philippine Peso. These forward contracts are designed to hedge anticipated foreign currency transaction exposure ranging from 25% to 75% over the hedge term. We do not enter into cash flow hedges for trading or speculative purposes.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fiscal 2022, we recognized a loss on foreign currency forward contracts of $7.9 million, compared with a gain of $5.0 million in fiscal 2021. During fiscal 2022, foreign currency exchange rate fluctuations, net of hedge activity, decreased operating income by $3.1 million, compared with a decrease of $5.4 million in fiscal 2021.</w:t>
      </w:r>
    </w:p>
    <w:p>
      <w:pPr>
        <w:spacing w:after="0" w:line="1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August 31, 2022, a hypothetical 10% weaker U.S. dollar would have increased the fair value of our outstanding foreign currency forward contracts by $14.5 million. If we had no hedges in place as of August 31, 2022, with operating results and exchange rates held constant in local currency, the same hypothetical 10% weaker U.S. dollar against all foreign currencies would have resulted in a decrease in operating income by $39.0 million.</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more information on our foreign currency exposures and our foreign currency forward contracts.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the results of operations and our financial condition. We recorded a translation loss of $74.7 million and a gain of $0.8 million in AOCL for the years ended August 31, 2022 and 2021,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August 31, 2022 we had Cash and cash equivalents of $503.3 million and Investments of $33.2 million. Our Cash and cash equivalents consist of cash and highly liquid investments including demand deposits and money market funds and our Investments consist of mutual funds. We are exposed to interest rate risk through fluctuations of interest rates on our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to the Consolidated Financial Statements included in Item 8. of this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borrowed $1.0 billion under the 2022 Term Facility and $250.0 million of the available $500.0 million under the 2022 Revolving Facility. As of August 31, 2022 we had an outstanding principal balance of $750.0 million under the 2022 Term Facility and $250.0 million under the 2022 Revolving Facility. The outstanding borrowings under the 2022 Credit Facilities bore interest at rates equal to the applicable one-month Term SOFR rate plus a 1.1% spread (comprised of a 1.0% interest rate margin based on a debt leverage pricing grid plus 0.1% credit spread adjustment). The spread remained consistent through August 31, 2022.</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variable rate of interest on our debt creates exposure to interest rate volatility due to changes in SOFR. To mitigate this risk, on March 1, 2022, we entered into the 2022 Swap Agreement with a notional amount of $800.0 million, to hedge a portion of our SOFR rate debt with a fixed interest rate of 1.162%. The notional amount of the 2022 Swap Agreement declines by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$100.0 million on a quarterly basis as of May 31, 2022 and is maturing on February 28, 2024. As of August 31, 2022, the notional amount was $600.0 million.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Thus, our exposure is limited to fluctuations in SOFR related to our outstanding SOFR borrowings in excess of amounts not hedged, or $400.0 million of our outstanding principal balance. Assuming all terms of our outstanding long-term debt remained the same, a hypothetical 25 basis point change (up or down) in the one-month SOFR would result in a $1.0 million change to our annual interest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our outstanding borrowings as of August 31, 2022.</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9"/>
        </w:trPr>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1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10140" w:type="dxa"/>
            <w:vAlign w:val="bottom"/>
            <w:tcBorders>
              <w:top w:val="single" w:sz="8" w:color="auto"/>
            </w:tcBorders>
            <w:gridSpan w:val="12"/>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0000FF"/>
              </w:rPr>
              <w:t>Management’s Statement of Responsibility for Financial Statements</w:t>
            </w:r>
          </w:p>
        </w:tc>
        <w:tc>
          <w:tcPr>
            <w:tcW w:w="1060" w:type="dxa"/>
            <w:vAlign w:val="bottom"/>
            <w:tcBorders>
              <w:top w:val="single" w:sz="8" w:color="auto"/>
              <w:right w:val="single" w:sz="8" w:color="CCEEFF"/>
            </w:tcBorders>
            <w:gridSpan w:val="2"/>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44</w:t>
            </w:r>
          </w:p>
        </w:tc>
        <w:tc>
          <w:tcPr>
            <w:tcW w:w="40" w:type="dxa"/>
            <w:vAlign w:val="bottom"/>
          </w:tcPr>
          <w:p>
            <w:pPr>
              <w:spacing w:after="0"/>
              <w:rPr>
                <w:sz w:val="15"/>
                <w:szCs w:val="15"/>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w w:val="99"/>
              </w:rPr>
              <w:t>Reports of Independent Registered Public Accounting Firm Reports of Independent Registered Public Accounting Firm (PCAOB ID: 42)</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101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years ended August 31, 2022, 2021 and 2020</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August 31, 2022, 2021 and 2020</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4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Balance Sheets at August 31, 2022 and 2021</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August 31, 2022, 2021 and 2020</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August 31, 2022, 2021 and 2020</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55</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101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8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10140" w:type="dxa"/>
            <w:vAlign w:val="bottom"/>
            <w:gridSpan w:val="12"/>
          </w:tcPr>
          <w:p>
            <w:pPr>
              <w:ind w:left="260"/>
              <w:spacing w:after="0" w:line="189"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40" w:type="dxa"/>
            <w:vAlign w:val="bottom"/>
          </w:tcPr>
          <w:p>
            <w:pPr>
              <w:spacing w:after="0"/>
              <w:rPr>
                <w:sz w:val="16"/>
                <w:szCs w:val="16"/>
                <w:color w:val="auto"/>
              </w:rPr>
            </w:pPr>
          </w:p>
        </w:tc>
      </w:tr>
      <w:tr>
        <w:trPr>
          <w:trHeight w:val="1128"/>
        </w:trPr>
        <w:tc>
          <w:tcPr>
            <w:tcW w:w="260" w:type="dxa"/>
            <w:vAlign w:val="bottom"/>
          </w:tcPr>
          <w:p>
            <w:pPr>
              <w:spacing w:after="0"/>
              <w:rPr>
                <w:sz w:val="24"/>
                <w:szCs w:val="24"/>
                <w:color w:val="auto"/>
              </w:rPr>
            </w:pPr>
          </w:p>
        </w:tc>
        <w:tc>
          <w:tcPr>
            <w:tcW w:w="3540" w:type="dxa"/>
            <w:vAlign w:val="bottom"/>
            <w:tcBorders>
              <w:top w:val="single" w:sz="8" w:color="0000FF"/>
            </w:tcBorders>
            <w:gridSpan w:val="3"/>
          </w:tcPr>
          <w:p>
            <w:pPr>
              <w:spacing w:after="0"/>
              <w:rPr>
                <w:sz w:val="24"/>
                <w:szCs w:val="24"/>
                <w:color w:val="auto"/>
              </w:rPr>
            </w:pPr>
          </w:p>
        </w:tc>
        <w:tc>
          <w:tcPr>
            <w:tcW w:w="284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Statement of Responsibility for Financial Statements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prepares and is responsible for the fairness, integrity and objectivity of our Consolidated Financial Statements. The accompanying Consolidated Financial Statements have been prepared in conformity with accounting principles generally accepted in the United States of America and include amounts based on our management’s estimates and judgments. All financial information in this Report on Form 10-K has been presented on a basis consistent with the information included in the accompanying financial statements.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policies and practices reflect corporate governance initiatives that are compliant with the listing requirements of the New York Stock Exchange, the NASDAQ Stock Market and the corporate governance requirements of the Sarbanes-Oxley Act of 2002. Our management, with oversight by our Board of Directors, has established and maintains a strong ethical climate so that our affairs are conducted to the highest standards of personal and corporate conduct.</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we assessed our internal control over financial reporting as of August 31, 2022 and issued a report (see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conducted an evaluation of the effectiveness of our internal control over financial reporting based on the framework in Internal Control—Integrated Framework (2013) issued by the Committee of Sponsoring Organizations of the Treadway Commission.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guidance issued by the Securities and Exchange Commission, companies are permitted to exclude acquisitions from their first assessment of internal control over financial reporting following the date of acquisition. Based on those guidelines, our management's assessment of the effectiveness of our internal control over financial reporting excluded CUSIP Global Services ("CGS"), which we acquired in the third quarter of fiscal 2022. Excluding goodwill and intangible assets, CGS represented 5% percent of our total assets as of August 31, 2022 and 5% percent of our consolidated revenues for fiscal year 2022. 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additional information on the CGS acquisition.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evaluation, our management concluded that our internal control over financial reporting was effective as of August 31, 2022. Ernst &amp; Young LLP (PCAOBID: 42), an independent registered public accounting firm, has audited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effectiveness of our internal control over financial reporting and has issued a report on our internal control over financial reporting, which is included in their report on the subsequent page.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 PHILIP SNOW</w:t>
            </w:r>
          </w:p>
        </w:tc>
        <w:tc>
          <w:tcPr>
            <w:tcW w:w="178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S. HUBER</w:t>
            </w:r>
          </w:p>
        </w:tc>
      </w:tr>
      <w:tr>
        <w:trPr>
          <w:trHeight w:val="46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 Philip Snow</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S. Huber</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21, 2022</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FactSet Research Systems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FactSet Research Systems Inc. (the Company) as of August 31, 2022 and 2021, and the related consolidated statements of income, comprehensive income, stockholders’ equity and cash flows for each of the three years in the period ended August 31, 2022,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August 31, 2022 and 2021, and the results of its operations and its cash flows for each of the three years in the period ended August 31, 2022, in conformity with U.S. generally accepted accounting principles.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August 31, 2022, based on criteria established in Internal Control – Integrated Framework issued by the Committee of Sponsoring Organizations of the Treadway Commission (2013 framework) and our report dated October 21, 2022 expressed an unqualified opinion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right="120"/>
        <w:spacing w:after="0" w:line="279"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income tax provision</w:t>
      </w: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Consolidated Financial Statements, the Company serves international markets and is subject to income taxes in the U.S. and numerous foreign jurisdictions, which affect the Company’s provision for income taxes. The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2022, the Company recognized a consolidated provision for income taxes of $46.7 million with $18.1 million related to its U.S. operations and $28.6 million related to its Non-U.S. operations.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calculation of the provision for income taxes was significant to our audit because the provision for income taxes involved subjective estimation and complex audit judgement related to the evaluation of tax laws, including the methods used to allocate taxable income, and the amounts and disclosures are material to the financial statements.</w:t>
      </w:r>
    </w:p>
    <w:p>
      <w:pPr>
        <w:spacing w:after="0" w:line="2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p>
      <w:pPr>
        <w:spacing w:after="0" w:line="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Among other audit procedures performed, we evaluated the reasonableness of management’s allocation methodologies by analyzing the methodology based on the Company’s structure, operations and current tax law. We recalculated income tax expense using management’s methodology and agreed the data used in the calculations to the Company’s underlying books and records. We involved our tax professionals to evaluate the application of tax law to management’s allocation methodologies and tax position. This included assessing the Company’s correspondence with the relevant tax authorities and evaluating third-party reports and advice obtained by the Company. We also performed a sensitivity analysis to evaluate the effect from changes in management’s allocation methodologies and assumptions. We have evaluated the Company’s income tax disclosures included in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Consolidated Financial Statements in relation to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40" w:space="200"/>
            <w:col w:w="9180"/>
          </w:cols>
          <w:pgMar w:left="320" w:top="29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right="120"/>
        <w:spacing w:after="0" w:line="279"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Intangible Assets from Business Acquisition</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the Consolidated Financial Statements, during the year ended August 31, 2022, the Company completed the CUSIP Global Services business acquisition for total consideration of $1.932 billion, inclusive of working capital adjustments. The transaction was accounted for under the acquisition method of accounting whereby the total purchase price was allocated to assets acquired and liabilities assumed based on the estimated fair value of such assets and liabilities with the residual being allocated to goodwill.</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Company’s accounting for the CUSIP Global Services acquisition required complex auditor judgment due to the significant estimation uncertainty inherent in determining the fair value of identified intangible assets for the acquired ABA business process and customer relationships. The significant estimation uncertainty was primarily due to the judgmental nature of the inputs to the valuation techniques used to measure the fair value of the ABA business process and customer relationships as well as the sensitivity of the respective fair values to the underlying significant assumptions. The significant assumptions used to estimate the fair value of the ABA business process and customer relationships included revenue growth rates and operating margins. These significant assumptions are forward-looking and could be affected by future economic and market conditions.</w:t>
      </w: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the valuation of intangible assets from the acquisition. For example, we tested controls over management’s review of the valuation models and the significant assumptions described above.</w:t>
      </w:r>
    </w:p>
    <w:p>
      <w:pPr>
        <w:spacing w:after="0" w:line="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estimated fair value of the acquired ABA business process and customer relationships, we performed audit procedures that included, among others, assessing the appropriateness of the valuation methodologies and testing the significant assumptions discussed above. For example, we compared the revenue growth rates and operating margins to the historical results of the acquired business. We further performed sensitivity analyses to evaluate the changes in the fair value of the acquired ABA business process and customer relationships that would result from changes in the significant assumptions. In addition, we involved internal valuation specialists to assist us in our evaluation of the valuation methodologies and certain significant assumptions used by the Company. We have evaluated the Company’s business acquisition disclosures included in Note 6, Acquisitions, of the Consolidated Financial Statements in relation to these matters.</w:t>
      </w:r>
    </w:p>
    <w:p>
      <w:pPr>
        <w:spacing w:after="0" w:line="200" w:lineRule="exact"/>
        <w:rPr>
          <w:sz w:val="20"/>
          <w:szCs w:val="20"/>
          <w:color w:val="auto"/>
        </w:rPr>
      </w:pPr>
    </w:p>
    <w:p>
      <w:pPr>
        <w:sectPr>
          <w:pgSz w:w="11900" w:h="16838" w:orient="portrait"/>
          <w:cols w:equalWidth="0" w:num="2">
            <w:col w:w="1840" w:space="200"/>
            <w:col w:w="9180"/>
          </w:cols>
          <w:pgMar w:left="320" w:top="297" w:right="359" w:bottom="1440" w:gutter="0" w:footer="0" w:header="0"/>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FactSet Research Systems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FactSet Research System Inc.’s (the Company) internal control over financial reporting as of August 31, 2022,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August 31, 2022, based on the COSO criteria.</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CGS, which are included in the 2022 Consolidated Financial Statements of the Company and constituted 5% of total assets, excluding goodwill and other intangible assets, net, as of August 31, 2022 and 5% of consolidated total revenues for the year then ended. Our audit of internal control over financial reporting of the Company also did not include an evaluation of the internal control over financial reporting of CGS.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2022 Consolidated Financial Statements of the Company and our report dated October 21, 2022, expressed an unqualified opinion thereon.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6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For the years ended August 31,</w:t>
            </w:r>
          </w:p>
        </w:tc>
        <w:tc>
          <w:tcPr>
            <w:tcW w:w="90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1,494,111</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695,446</w:t>
            </w: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342,505</w:t>
            </w: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23"/>
        </w:trPr>
        <w:tc>
          <w:tcPr>
            <w:tcW w:w="7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1,054,451</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439,660</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23"/>
        </w:trPr>
        <w:tc>
          <w:tcPr>
            <w:tcW w:w="7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r>
      <w:tr>
        <w:trPr>
          <w:trHeight w:val="270"/>
        </w:trPr>
        <w:tc>
          <w:tcPr>
            <w:tcW w:w="702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427,134</w:t>
            </w:r>
          </w:p>
        </w:tc>
      </w:tr>
      <w:tr>
        <w:trPr>
          <w:trHeight w:val="270"/>
        </w:trPr>
        <w:tc>
          <w:tcPr>
            <w:tcW w:w="702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54,196</w:t>
            </w:r>
          </w:p>
        </w:tc>
      </w:tr>
      <w:tr>
        <w:trPr>
          <w:trHeight w:val="223"/>
        </w:trPr>
        <w:tc>
          <w:tcPr>
            <w:tcW w:w="7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399,590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372,938</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5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70"/>
        </w:trPr>
        <w:tc>
          <w:tcPr>
            <w:tcW w:w="702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r>
      <w:tr>
        <w:trPr>
          <w:trHeight w:val="23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38,646</w:t>
            </w:r>
          </w:p>
        </w:tc>
      </w:tr>
    </w:tbl>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6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For the years ended August 31,</w:t>
            </w:r>
          </w:p>
        </w:tc>
        <w:tc>
          <w:tcPr>
            <w:tcW w:w="90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372,938</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cash flow hedges*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70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34,577</w:t>
            </w:r>
          </w:p>
        </w:tc>
      </w:tr>
      <w:tr>
        <w:trPr>
          <w:trHeight w:val="223"/>
        </w:trPr>
        <w:tc>
          <w:tcPr>
            <w:tcW w:w="70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399,921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408,189</w:t>
            </w:r>
          </w:p>
        </w:tc>
      </w:tr>
      <w:tr>
        <w:trPr>
          <w:trHeight w:val="21"/>
        </w:trPr>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fiscal years ended August 31, 2022, 2021 and 2020, the net unrealized gain (loss) on cash flow hedges disclosed above were net of a tax expense of $1,657 thousand, tax benefit of $162 thousand, and a tax expense of $251 thousand, respectively.</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August 31,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4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503,273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681,865</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$2,776 at August 31, 2022 and $6,431 at August 31, 2021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933,578</w:t>
            </w:r>
          </w:p>
        </w:tc>
        <w:tc>
          <w:tcPr>
            <w:tcW w:w="0" w:type="dxa"/>
            <w:vAlign w:val="bottom"/>
          </w:tcPr>
          <w:p>
            <w:pPr>
              <w:spacing w:after="0"/>
              <w:rPr>
                <w:sz w:val="1"/>
                <w:szCs w:val="1"/>
                <w:color w:val="auto"/>
              </w:rPr>
            </w:pPr>
          </w:p>
        </w:tc>
      </w:tr>
      <w:tr>
        <w:trPr>
          <w:trHeight w:val="108"/>
        </w:trPr>
        <w:tc>
          <w:tcPr>
            <w:tcW w:w="84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754,205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280" w:type="dxa"/>
            <w:vAlign w:val="bottom"/>
          </w:tcPr>
          <w:p>
            <w:pPr>
              <w:spacing w:after="0"/>
              <w:rPr>
                <w:sz w:val="4"/>
                <w:szCs w:val="4"/>
                <w:color w:val="auto"/>
              </w:rPr>
            </w:pPr>
          </w:p>
        </w:tc>
        <w:tc>
          <w:tcPr>
            <w:tcW w:w="7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315,705</w:t>
            </w:r>
          </w:p>
        </w:tc>
        <w:tc>
          <w:tcPr>
            <w:tcW w:w="0" w:type="dxa"/>
            <w:vAlign w:val="bottom"/>
          </w:tcPr>
          <w:p>
            <w:pPr>
              <w:spacing w:after="0"/>
              <w:rPr>
                <w:sz w:val="1"/>
                <w:szCs w:val="1"/>
                <w:color w:val="auto"/>
              </w:rPr>
            </w:pPr>
          </w:p>
        </w:tc>
      </w:tr>
      <w:tr>
        <w:trPr>
          <w:trHeight w:val="108"/>
        </w:trPr>
        <w:tc>
          <w:tcPr>
            <w:tcW w:w="84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30,279</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259,980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2,682,897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1,208,587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440" w:type="dxa"/>
            <w:vAlign w:val="bottom"/>
            <w:gridSpan w:val="2"/>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$0.01 par value, 150,000,000 shares authorized, 41,653,218 and 41,163,192 shares issued,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38,044,756 and 37,615,419 shares outstanding at August 31, 2022 and 2021, respectively</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1,048,305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stock, at cost: 3,608,462 and 3,547,773 shares at August 31, 2022 and 2021, respectively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(905,917)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912,515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1,016,353</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7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2,224,940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6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Years ended August 31,</w:t>
            </w:r>
          </w:p>
        </w:tc>
        <w:tc>
          <w:tcPr>
            <w:tcW w:w="1000" w:type="dxa"/>
            <w:vAlign w:val="bottom"/>
          </w:tcPr>
          <w:p>
            <w:pPr>
              <w:spacing w:after="0"/>
              <w:rPr>
                <w:sz w:val="24"/>
                <w:szCs w:val="24"/>
                <w:color w:val="auto"/>
              </w:rPr>
            </w:pPr>
          </w:p>
        </w:tc>
      </w:tr>
      <w:tr>
        <w:trPr>
          <w:trHeight w:val="270"/>
        </w:trPr>
        <w:tc>
          <w:tcPr>
            <w:tcW w:w="7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372,938</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57,614</w:t>
            </w:r>
          </w:p>
        </w:tc>
      </w:tr>
      <w:tr>
        <w:trPr>
          <w:trHeight w:val="230"/>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43,185</w:t>
            </w:r>
          </w:p>
        </w:tc>
      </w:tr>
      <w:tr>
        <w:trPr>
          <w:trHeight w:val="22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36,579</w:t>
            </w:r>
          </w:p>
        </w:tc>
      </w:tr>
      <w:tr>
        <w:trPr>
          <w:trHeight w:val="229"/>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r>
      <w:tr>
        <w:trPr>
          <w:trHeight w:val="230"/>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charge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30"/>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r>
      <w:tr>
        <w:trPr>
          <w:trHeight w:val="22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r>
      <w:tr>
        <w:trPr>
          <w:trHeight w:val="230"/>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2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(24,224)</w:t>
            </w:r>
          </w:p>
        </w:tc>
      </w:tr>
      <w:tr>
        <w:trPr>
          <w:trHeight w:val="229"/>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w:t>
            </w:r>
          </w:p>
        </w:tc>
      </w:tr>
      <w:tr>
        <w:trPr>
          <w:trHeight w:val="230"/>
        </w:trPr>
        <w:tc>
          <w:tcPr>
            <w:tcW w:w="7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7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505,840</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internal-use software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(77,642)</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r>
      <w:tr>
        <w:trPr>
          <w:trHeight w:val="223"/>
        </w:trPr>
        <w:tc>
          <w:tcPr>
            <w:tcW w:w="7140" w:type="dxa"/>
            <w:vAlign w:val="bottom"/>
            <w:tcBorders>
              <w:top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(73,632)</w:t>
            </w:r>
          </w:p>
        </w:tc>
      </w:tr>
      <w:tr>
        <w:trPr>
          <w:trHeight w:val="21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(110,439)</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95,520</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(199,625)</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r>
      <w:tr>
        <w:trPr>
          <w:trHeight w:val="223"/>
        </w:trPr>
        <w:tc>
          <w:tcPr>
            <w:tcW w:w="71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(218,075)</w:t>
            </w: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w:t>
            </w:r>
          </w:p>
        </w:tc>
      </w:tr>
      <w:tr>
        <w:trPr>
          <w:trHeight w:val="22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225,806</w:t>
            </w: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359,799</w:t>
            </w:r>
          </w:p>
        </w:tc>
      </w:tr>
      <w:tr>
        <w:trPr>
          <w:trHeight w:val="22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585,605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1280" w:type="dxa"/>
            <w:vAlign w:val="bottom"/>
            <w:shd w:val="clear" w:color="auto" w:fill="CCEEFF"/>
          </w:tcPr>
          <w:p>
            <w:pPr>
              <w:spacing w:after="0"/>
              <w:rPr>
                <w:sz w:val="5"/>
                <w:szCs w:val="5"/>
                <w:color w:val="auto"/>
              </w:rPr>
            </w:pPr>
          </w:p>
        </w:tc>
        <w:tc>
          <w:tcPr>
            <w:tcW w:w="58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income taxes, net of refunds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69,092</w:t>
            </w:r>
          </w:p>
        </w:tc>
      </w:tr>
      <w:tr>
        <w:trPr>
          <w:trHeight w:val="95"/>
        </w:trPr>
        <w:tc>
          <w:tcPr>
            <w:tcW w:w="7140" w:type="dxa"/>
            <w:vAlign w:val="bottom"/>
            <w:gridSpan w:val="2"/>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Disclosure of Non-Cash Transactions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not paid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Common Stock</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color w:val="auto"/>
              </w:rPr>
              <w:t>Treasury Stock</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restart"/>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Additional</w:t>
            </w: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5"/>
                <w:szCs w:val="5"/>
                <w:color w:val="auto"/>
              </w:rPr>
            </w:pPr>
          </w:p>
        </w:tc>
        <w:tc>
          <w:tcPr>
            <w:tcW w:w="1120" w:type="dxa"/>
            <w:vAlign w:val="bottom"/>
            <w:vMerge w:val="restart"/>
          </w:tcPr>
          <w:p>
            <w:pPr>
              <w:jc w:val="center"/>
              <w:ind w:right="88"/>
              <w:spacing w:after="0" w:line="126"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5"/>
                <w:szCs w:val="5"/>
                <w:color w:val="auto"/>
              </w:rPr>
            </w:pPr>
          </w:p>
        </w:tc>
        <w:tc>
          <w:tcPr>
            <w:tcW w:w="1100" w:type="dxa"/>
            <w:vAlign w:val="bottom"/>
            <w:vMerge w:val="restart"/>
          </w:tcPr>
          <w:p>
            <w:pPr>
              <w:jc w:val="center"/>
              <w:ind w:right="88"/>
              <w:spacing w:after="0" w:line="126"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0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80" w:type="dxa"/>
            <w:vAlign w:val="bottom"/>
          </w:tcPr>
          <w:p>
            <w:pPr>
              <w:jc w:val="right"/>
              <w:ind w:right="22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11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Shares</w:t>
            </w:r>
          </w:p>
        </w:tc>
        <w:tc>
          <w:tcPr>
            <w:tcW w:w="240" w:type="dxa"/>
            <w:vAlign w:val="bottom"/>
          </w:tcPr>
          <w:p>
            <w:pPr>
              <w:spacing w:after="0"/>
              <w:rPr>
                <w:sz w:val="12"/>
                <w:szCs w:val="12"/>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22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24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Capital</w:t>
            </w:r>
          </w:p>
        </w:tc>
        <w:tc>
          <w:tcPr>
            <w:tcW w:w="11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2019</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40,104,192</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806,973</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1,986,352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(433,799)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373,225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(74,544)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672,256</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372,938</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372,938</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35,251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35,251</w:t>
            </w:r>
          </w:p>
        </w:tc>
        <w:tc>
          <w:tcPr>
            <w:tcW w:w="0" w:type="dxa"/>
            <w:vAlign w:val="bottom"/>
          </w:tcPr>
          <w:p>
            <w:pPr>
              <w:spacing w:after="0"/>
              <w:rPr>
                <w:sz w:val="1"/>
                <w:szCs w:val="1"/>
                <w:color w:val="auto"/>
              </w:rPr>
            </w:pPr>
          </w:p>
        </w:tc>
      </w:tr>
      <w:tr>
        <w:trPr>
          <w:trHeight w:val="139"/>
        </w:trPr>
        <w:tc>
          <w:tcPr>
            <w:tcW w:w="2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w:t>
            </w: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630,520</w:t>
            </w:r>
          </w:p>
        </w:tc>
        <w:tc>
          <w:tcPr>
            <w:tcW w:w="360" w:type="dxa"/>
            <w:vAlign w:val="bottom"/>
          </w:tcPr>
          <w:p>
            <w:pPr>
              <w:spacing w:after="0"/>
              <w:rPr>
                <w:sz w:val="12"/>
                <w:szCs w:val="12"/>
                <w:color w:val="auto"/>
              </w:rPr>
            </w:pPr>
          </w:p>
        </w:tc>
        <w:tc>
          <w:tcPr>
            <w:tcW w:w="4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95,515</w:t>
            </w: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95,501</w:t>
            </w:r>
          </w:p>
        </w:tc>
        <w:tc>
          <w:tcPr>
            <w:tcW w:w="0" w:type="dxa"/>
            <w:vAlign w:val="bottom"/>
          </w:tcPr>
          <w:p>
            <w:pPr>
              <w:spacing w:after="0"/>
              <w:rPr>
                <w:sz w:val="1"/>
                <w:szCs w:val="1"/>
                <w:color w:val="auto"/>
              </w:rPr>
            </w:pPr>
          </w:p>
        </w:tc>
      </w:tr>
      <w:tr>
        <w:trPr>
          <w:trHeight w:val="193"/>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plans</w:t>
            </w: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32,996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11,945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739,084</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(199,625)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(199,625)</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36,579</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36,579</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(113,014)</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(113,014)</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2020</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40,767,708</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939,067</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2,737,456</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(636,956)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633,149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896,375</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399,590</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399,590</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39"/>
        </w:trPr>
        <w:tc>
          <w:tcPr>
            <w:tcW w:w="2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w:t>
            </w: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360,877</w:t>
            </w:r>
          </w:p>
        </w:tc>
        <w:tc>
          <w:tcPr>
            <w:tcW w:w="360" w:type="dxa"/>
            <w:vAlign w:val="bottom"/>
          </w:tcPr>
          <w:p>
            <w:pPr>
              <w:spacing w:after="0"/>
              <w:rPr>
                <w:sz w:val="12"/>
                <w:szCs w:val="12"/>
                <w:color w:val="auto"/>
              </w:rPr>
            </w:pPr>
          </w:p>
        </w:tc>
        <w:tc>
          <w:tcPr>
            <w:tcW w:w="4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64,173</w:t>
            </w: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318</w:t>
            </w:r>
          </w:p>
        </w:tc>
        <w:tc>
          <w:tcPr>
            <w:tcW w:w="24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64,073</w:t>
            </w:r>
          </w:p>
        </w:tc>
        <w:tc>
          <w:tcPr>
            <w:tcW w:w="0" w:type="dxa"/>
            <w:vAlign w:val="bottom"/>
          </w:tcPr>
          <w:p>
            <w:pPr>
              <w:spacing w:after="0"/>
              <w:rPr>
                <w:sz w:val="1"/>
                <w:szCs w:val="1"/>
                <w:color w:val="auto"/>
              </w:rPr>
            </w:pPr>
          </w:p>
        </w:tc>
      </w:tr>
      <w:tr>
        <w:trPr>
          <w:trHeight w:val="193"/>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plans</w:t>
            </w: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34,607</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12,614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(4,155)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797,385</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(264,702)</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(264,702)</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45,065</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45,065</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(120,224)</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(120,224)</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2021</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41,163,192</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1,048,305</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3,547,773</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(905,917)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912,515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1,016,353</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396,917</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396,917</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(69,421)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(69,421)</w:t>
            </w:r>
          </w:p>
        </w:tc>
        <w:tc>
          <w:tcPr>
            <w:tcW w:w="0" w:type="dxa"/>
            <w:vAlign w:val="bottom"/>
          </w:tcPr>
          <w:p>
            <w:pPr>
              <w:spacing w:after="0"/>
              <w:rPr>
                <w:sz w:val="1"/>
                <w:szCs w:val="1"/>
                <w:color w:val="auto"/>
              </w:rPr>
            </w:pPr>
          </w:p>
        </w:tc>
      </w:tr>
      <w:tr>
        <w:trPr>
          <w:trHeight w:val="139"/>
        </w:trPr>
        <w:tc>
          <w:tcPr>
            <w:tcW w:w="2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w:t>
            </w: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450,527</w:t>
            </w:r>
          </w:p>
        </w:tc>
        <w:tc>
          <w:tcPr>
            <w:tcW w:w="360" w:type="dxa"/>
            <w:vAlign w:val="bottom"/>
          </w:tcPr>
          <w:p>
            <w:pPr>
              <w:spacing w:after="0"/>
              <w:rPr>
                <w:sz w:val="12"/>
                <w:szCs w:val="12"/>
                <w:color w:val="auto"/>
              </w:rPr>
            </w:pPr>
          </w:p>
        </w:tc>
        <w:tc>
          <w:tcPr>
            <w:tcW w:w="4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86,042</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4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85,919</w:t>
            </w:r>
          </w:p>
        </w:tc>
        <w:tc>
          <w:tcPr>
            <w:tcW w:w="0" w:type="dxa"/>
            <w:vAlign w:val="bottom"/>
          </w:tcPr>
          <w:p>
            <w:pPr>
              <w:spacing w:after="0"/>
              <w:rPr>
                <w:sz w:val="1"/>
                <w:szCs w:val="1"/>
                <w:color w:val="auto"/>
              </w:rPr>
            </w:pPr>
          </w:p>
        </w:tc>
      </w:tr>
      <w:tr>
        <w:trPr>
          <w:trHeight w:val="193"/>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plans</w:t>
            </w: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39,499</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14,229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(6,031)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46,200</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(18,639)</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(18,639)</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56,003</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56,003</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(129,693)</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(129,693)</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2022</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41,653,218</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1,190,350</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3,608,462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(930,715)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1,179,739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(108,383)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8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Significant Accounting Policies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Property, Equipment and Leasehold Improvements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760" w:type="dxa"/>
            <w:vAlign w:val="bottom"/>
            <w:gridSpan w:val="2"/>
          </w:tcPr>
          <w:p>
            <w:pPr>
              <w:spacing w:after="0"/>
              <w:rPr>
                <w:sz w:val="16"/>
                <w:szCs w:val="16"/>
                <w:color w:val="auto"/>
              </w:rPr>
            </w:pP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760" w:type="dxa"/>
            <w:vAlign w:val="bottom"/>
            <w:gridSpan w:val="2"/>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680" w:type="dxa"/>
            <w:vAlign w:val="bottom"/>
            <w:shd w:val="clear" w:color="auto" w:fill="CCEEFF"/>
          </w:tcPr>
          <w:p>
            <w:pPr>
              <w:spacing w:after="0"/>
              <w:rPr>
                <w:sz w:val="16"/>
                <w:szCs w:val="16"/>
                <w:color w:val="auto"/>
              </w:rPr>
            </w:pP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17</w:t>
            </w:r>
          </w:p>
        </w:tc>
        <w:tc>
          <w:tcPr>
            <w:tcW w:w="7540" w:type="dxa"/>
            <w:vAlign w:val="bottom"/>
            <w:gridSpan w:val="19"/>
            <w:shd w:val="clear" w:color="auto" w:fill="CCEEFF"/>
          </w:tcPr>
          <w:p>
            <w:pPr>
              <w:ind w:left="1840"/>
              <w:spacing w:after="0" w:line="189" w:lineRule="exact"/>
              <w:rPr>
                <w:sz w:val="20"/>
                <w:szCs w:val="20"/>
                <w:color w:val="auto"/>
              </w:rPr>
            </w:pPr>
            <w:r>
              <w:rPr>
                <w:rFonts w:ascii="Times New Roman" w:cs="Times New Roman" w:eastAsia="Times New Roman" w:hAnsi="Times New Roman"/>
                <w:sz w:val="18"/>
                <w:szCs w:val="18"/>
                <w:color w:val="0000FF"/>
              </w:rPr>
              <w:t>Employee Benefit Plans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18</w:t>
            </w:r>
          </w:p>
        </w:tc>
        <w:tc>
          <w:tcPr>
            <w:tcW w:w="7540" w:type="dxa"/>
            <w:vAlign w:val="bottom"/>
            <w:gridSpan w:val="19"/>
          </w:tcPr>
          <w:p>
            <w:pPr>
              <w:ind w:left="184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that drives the investment community to see more, think bigger, and do its best work. Our strategy is to build the leading open content and analytics platform to deliver a differentiated advantage for our clients’ success.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more than 40 years, the FactSet platform has delivered expansive data, sophisticated analytics, and flexible technology used by global financial professionals to power their critical investment workflows. As of August 31, 2022, we had more than 7,500 clients comprised of approximately 180,000 investment professionals, including asset managers, bankers, wealth managers, asset owners, channel partners, hedge funds, corporate users, private equity and venture capital professionals. Our on- and off-platform solutions span the investment lifecycle to include investment research, portfolio construction and analysis, trade execution, performance measurement, risk management and reporting. Our revenues are primarily derived from subscriptions to our multi-asset class data and solutions powered by our connected content ("content refinery"). Our products and services include workstations, portfolio analytics and enterprise solutions.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CGS business supports security master files relied on by the investment industry for critical front, middle and back office functions.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discussion. For each of our segments, we execute our strategy through three workflow solutions: Research &amp; Advisory; Analytics &amp; Trading; and Content &amp; Technology Solutions ("CTS").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Consolidated Financial Statements and Notes to the Consolidated Financial Statements included in this Annual Report on Form 10-K are prepared in accordance with generally accepted accounting principles in the United States ("GAAP") for annual financial information and the instructions to Form 10-K and Article 10 of Regulation S-X. The accompanying Consolidated Financial Statements include our accounts and those of our wholly-owned subsidiaries; all intercompany activity and balances have been eliminated.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that the financial statements were issued.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reclassified a fiscal 2020 comparative figure related to the impairment of an investment in a company from Selling, general and administrative to Asset impairments in the Consolidated Statement of Income to conform to the current year's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have been made in areas that include income taxes, stock-based compensation, goodwill and intangible assets, business combinations, long-live assets and contingencies.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revenues are derived from client access to our multi-asset solutions powered by our suite of connected content available over the contractual term (referred to as the "hosted platform"). The hosted platform is a subscription-based service that provides client access to various combinations of products and services including workstations, portfolio analytics, and enterprise solutions. We also provide subscription access to a database of universally recognized identifiers reflecting differentiating characteristics for issuers and their financial instruments (referred to as the "identifier platform").</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determined that the majority of each of our hosted platform and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with revenue recognized over-time as performance is satisfied on an output time-based measure of progress, as the client is simultaneously receiving and consuming the benefits of the platform.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deferred revenues when cash payments are received or we have a contractual right to bill in advance.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compensation expense for all stock-based awards made to employees and members of our board of directors ("non-employees"), using the Black-Scholes model or the lattice-binomial option-pricing model ("binomial model") to calculate the grant-date fair value. Both models involve several assumptions, including the expected term of the awards, volatility of our common stock, risk-free interest rates and our dividend yield.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the Black-Scholes model for our non-employee options, non-employee restricted stock units and common stock acquired under our employee stock purchase plan and the binomial model for our employee stock options, employee restricted stock units and employee performance share units. The binomial model incorporates market conditions, vesting restrictions and exercise patterns.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restricted stock units and performance share units, the grant date fair value is measured by reducing the grant date price of our common stock by the present value of the dividends expected to be paid on the underlying stock during the requisite service period, discounted at the appropriate risk-free interest rate.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stock-based awards with service conditions, we use the straight-line method to recognize compensation expense over the requisite service period. For stock-based awards that also include performance conditions, the graded vesting method is used to</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determine compensation expense over the requisite service period if achievement of the performance condition is determined to be probable, which is reviewed on a quarterly basis. Compensation expense for all stock-based awards is recorded net of estimated forfeitures which are based on historical forfeiture rates and revised if actual forfeitures differ from those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employee stock purchase plan, compensation expense is recognized on a straight-line basis over the offering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 Costs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 separate research and product development ("R&amp;D") department, but rather these costs primarily consist of non-compensatory employee expenses, such as salaries and related benefits for our product development, software engineering and technical support departments and certain third parties, collaborating with our strategists, product and content managers, technologists, sales and other team members to develop new products and process innovations and enhance existing products. Our R&amp;D costs are expensed as incurred and are primarily recorded in employee compensation costs (included in our Cost of services and SG&amp;A expenses in the Consolidated Statements of Income). We incurred research and product development costs of $255.1 million, $250.1 million and $224.0 million during fiscal years 2022, 2021 and 2020,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to be realized.</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We classify the liability for unrecognized tax benefits as Taxes Payable (non-current) and to the extent that we anticipate payment of cash within one year, the benefit will be classified as Taxes Payable (current) in the Consolidated Balance Sheets.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accrue interest on all tax exposures for which reserves have been established consistent with jurisdictional tax laws, and classify this interest as income tax expense in the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including demand deposits and money market funds available for withdrawal without restriction or with original maturities of 90 days or less. The carrying value of our cash and cash equivalents approximates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net of an allowance for any potential uncollectible amounts. Our accounts receivable includes unbilled receivables that are short-term in nature and expected to be billed and earned within one year. We evaluate our allowance to include expected credit losses and collectability trends based on a variety of factors, including our historical write-off activity, current economic environment, customer-specific information and expectations of future economic conditions. Our allowance is recorded to SG&amp;A in the Consolidated Statements of Income and we assess the adequacy of the allowance on a quarterly basis. Recoveries of accounts previously reserved are recognized as a reversal to SG&amp;A when payment is received. We write-off account balances when we have exhausted our collection efforts.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Equipment and Leasehold Improvements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equipment and leasehold improvements are stated at cost, less accumulated depreciation and amortization. Property and equipment is depreciated based on the straight-line method over the estimated useful lives of the assets, ranging from three to five years for computers and related equipment and seven years for furniture and fixtures. Leasehold improvements are amortized on a straight-line basis over the shorter of their respective useful lives or the related lease term. Repairs and maintenance expenditures, which are not considered leasehold improvements and do not extend the useful life of the property and equipment, are expensed as incurred.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a qualitative review of the carrying amount of our property, equipment and leasehold improvements on a quarterly basis. Should projected undiscounted future cash flows be less than the carrying amount of the asset or asset group, an impairment charge reducing the carrying amount to fair value is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at the reporting unit level is tested for impairment annually, and more frequently if impairment indicators exist. Goodwill is deemed to be impaired and written-down in the period in which the carrying value of the reporting unit exceeds its fair value. We have three reporting units, Americas, EMEA and Asia Pacific, which are consistent with our operating segments.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first elect to perform a qualitative analysis for the reporting units to determine whether it is more likely (a likelihood of more than 50 percent) than not the fair value of the reporting unit is less than its carrying value. In performing a qualitative assessment, we consider such factors as macro-economic conditions, industry and market conditions in which we operate, including the competitive environment and significant changes in demand for our services. We also consider the share price both in absolute terms and in relation to peer companies.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qualitative analysis indicates that it is more likely than not the fair value of a reporting unit is less than its carrying amount or if we elect not to perform a qualitative analysis, a quantitative analysis is performed to determine whether a goodwill impairment exists. The quantitative goodwill impairment analysis is used to identify potential impairment by comparing the carrying amount of a reporting unit with its fair value, by applying the income approach, utilizing the discounted cash flow method, along with other relevant market information. The annual review of carrying value of goodwill requires us to develop estimates of future business performance. These estimates are used to derive expected cash flows and include assumptions regarding future sales levels and the level of working capital needed to support a given business. The discounted cash flow model also includes a determination of our weighted average cost of capital by reporting unit. Cost of capital is based on assumptions about interest rates, as well as a risk-adjusted rate of return required by our equity investors. Changes in these estimates can impact present value of expected cash flows used in determining fair value of a reporting unit. An impairment charge for the amount by which the carrying amount exceeds the reporting unit’s fair value, if any, would be recognized. The loss recognized would not exceed total amount of goodwill allocated to that reporting unit.</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our annual goodwill impairment test during the fourth quarter of fiscal 2022 utilizing a qualitative analysis and concluded it was more likely than not the fair value of each reporting unit was greater than its respective carrying value and no impairment charge was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identifiable intangible assets are classified as an ABA business process, client relationships, software technology, developed technology, acquired databases, data content and trade names resulting from previous acquisitions. We amortize intangible assets over their estimated useful lives, which are evaluated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Amortizable intangible assets are tested for impairment qualitatively on a quarterly basis, based on undiscounted cash flows, and, if impaired, written down to fair value based on discounted cash flows. The intangible assets have no assigned residual values.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Internally Developed Software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developed technology intangible also includes capitalized internal and external costs incurred during the application development stage related to developing, modifying or obtaining software for internal-use. Costs related to software upgrades and enhancements are capitalized if it is determined that these upgrades or enhancements provide additional functionality to the software. The capitalized software is amortized using the straight-line method over the estimated useful life of the software, generally three to five years. These assets are subject to the impairment test guidance specified in the acquired intangible assets disclosure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 portfolio consists of operating leases primarily related to our office space. We determine if an arrangement qualifies as a lease at inception by evaluating if there is an identified asset and whether we obtain substantially all the economic benefits of and have the right to control the use of an asset. For operating leases with a term greater than one year, we recognize operating lease assets and lease liabilities as the present value of future minimum lease payments (including fixed lease payments and certain qualifying index-based variable payments) over the reasonably certain lease term beginning at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commencement date. Certain adjustments to our lease right-of-use ("ROU") assets may be required due to prepayments, lease incentives received and initial direct costs incurred. Operating leases are included in operating Lease right-of-use assets, net, Current lease liabilities and Long-term lease liabilities on our Consolidated Balance Sheets.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generally do not have a readily determinable implicit rate, therefore we use our incremental borrowing rate ("IBR") at the lease commencement date in determining the present value of future payments and subsequently reassessed upon a modification to the lease arrangement. Our IBR is derived by selecting U.S. corporate yield curves observed for public companies that are reflective of our credit rating adjusted to approximate a secured rate of borrowing. We also consider revisions to the rate to reflect the geographic location where the leased asset is located.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lease agreements include options to extend and options to terminate the lease, which we do not include in our minimum lease terms unless management is reasonably certain to exercise. We account for the lease and non-lease components as a single lease component, which we recognize over the expected term on a straight-line expense basis in occupancy costs (a component of SG&amp;A expense). Variable lease payments are not included in the calculation of the lease ROU asset and lease liability and are recognized as occupancy costs and expensed as incurred.</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our lease assets for impairment when there is an indication that the asset may no longer be recoverable. The impairment assessment requires significant judgments and estimates, including estimated subtenant rental income, discount rates and future cash flows based on our experience and knowledge of the market in which the property is located, previous efforts to dispose of similar assets and the assessment of existing market conditions. Impairments are recognized as a reduction to the carrying value of the Lease right-of-use assets, net with a corresponding increase to Asset impairments on our Consolidated Balance Sheets and Consolidated Statements of Income,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costs primarily include costs related to salaries, incentive compensation and sales commissions, equity compensation costs, benefits, employment taxes, and any applicable restructuring costs. A significant portion of these costs are discretionary. We review our accrued compensation estimates on a quarterly basis to adjust our accruals, taking into account, among other thing, our financial results, how our overall performance tracks against management’s expectations, the individual employee's performance and historical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outside the U.S. in several currencies. Our primary currency exposures include the British Pound Sterling, Euro, Indian Rupee, and Philippine Peso. As such, we are exposed to movements in foreign currency exchange rates relative to the U.S. dollar. We utilize derivative instruments (foreign currency forward contracts) to manage the exposures related to the effects of foreign exchange rate fluctuations in our operating expenses and reduce the volatility of earnings and cash flows associated with changes in foreign currency. In designing a specific hedging approach, we consider several factors, including offsetting exposures, significance of exposures, forecasting risk and potential effectiveness of the hedge.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interest rate swap agreements to hedge the variability of our cash flows resulting from floating interest rates on our debt. We pay interest at a fixed interest rate at specified intervals in exchange for receiving interest based on a floating interest rate that we are hedging per the contractual terms of our debt agreement, throughout the life of the interest rate swap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 Classification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that we designate at inception and that qualify as a cash flow hedge in accordance with applicable accounting guidance, the changes in fair value for these cash flow hedges are initially reported as a component of accumulated other comprehensive loss ("AOCL") and subsequently reclassified to the Consolidated Statements of Income within SG&amp;A for the foreign currency forward contract and interest expense for the interest rate swap agreements, when the hedged exposure affects earnings. All derivatives are assessed for effectiveness at each reporting period and we do not have any derivatives not designated as hedging instruments. We do not enter into cash flow hedges for trading or speculative purposes.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account for repurchased common stock at the market price on the trade date under the cost method, with the treasury shares included as a reduction of our Stockholders’ equity. Repurchased shares of our common stock are held as treasury shares until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they are reissued or retired. When treasury shares are reissued, if the issuance price is higher than the average price paid to acquire the shares ("the cost"), the excess of the issuance price over the cost is credited to additional paid-in capital ("APIC"). If the issuance is lower than the cost, the difference is first charged against any credit balance in APIC from treasury stock, with the remaining balance charged to Retained earnings.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the formal retirement of treasury shares by deducting its par value from common stock, reflecting any excess of over par value as a reduction to APIC (to the extent created by previous issuances of the shares) and then Retained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Remeasurement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wholly-owned subsidiaries operate under a functional currency different from the U.S. dollar, including our primary currency exposures of the British Pound Sterling, Euro, Indian Rupee, and Philippine Peso.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local currency functional are translated into U.S. dollars using period-end rates of exchange for assets and liabilities, and average rates for the period for revenues and expenses. The resulting translation gains and losses that arise from translating these assets, liabilities, revenue and expenses of our foreign operations are recorded in AOCL as a component of stockholders’ equity.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financial statements of our foreign subsidiaries that are U.S. dollar functional, but maintain their books of record in their respective local currency, we remeasure our revenues and expenses into U.S. dollars at the average rates of exchange for the period, monetary assets and liabilities using period-end rates and non-monetary assets and liabilities at their historical rates. The resulting remeasurement gains and losses that arise from remeasuring these assets and liabilities of our foreign operations are recorded to SG&amp;A in the Consolidated Statements of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We do not believe our concentration of cash and cash equivalents present a significant credit risk as the counterparties to the instruments consist of multiple high-quality, credit-worthy financial institutions.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accounts receivable are subject to collection risk as they are unsecured and derived from revenue earned from clients located around the globe. We do not require collateral from our clients. We maintain reserves for potential write-offs and evaluate the adequacy of the reserves periodically. These losses have historically been within expectations. No single client represented more than 3% of our total subscription revenue in any period presented. As of August 31, 2022 and 2021, the receivable reserve was $2.8 million and $6.4 million,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distribute contracts among these institutions to reduce the concentration of credit risk. We do not expect any losses as a result of default by our counterparties.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Content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propriety data and analytics platform, which our clients access to perform their analyses.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each representing more than 10% of our total data costs for the year ended August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beginning of fiscal 2022, we implemented all applicable new accounting standards and updates issued by the Financial Accounting Standards Board ("FASB") that were in effect.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Simplification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We have adopted this standard effective September 1, 2021. The adoption of this standard did not have an impact on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which requires an acquirer to recognize and measure contract assets and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rather than adjust them to fair value at the acquisition date. We elected to early adopt this accounting standard in the second quarter of fiscal 2022, with retrospective application to business combinations that occurred in the current fiscal year. Results of operations for quarterly periods prior to September 1, 2021 remain unchanged as a result of the adoption of ASU No. 2021-08. The acquisitions of CGS and Cobalt Software, Inc. were accounted for in accordance with ASU 2021-08. 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 The adoption of this standard did not have a material impact on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Facilitation of the Effects of Reference Rate Reform on Financial Reporting</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w:t>
      </w:r>
      <w:r>
        <w:rPr>
          <w:rFonts w:ascii="Times New Roman" w:cs="Times New Roman" w:eastAsia="Times New Roman" w:hAnsi="Times New Roman"/>
          <w:sz w:val="18"/>
          <w:szCs w:val="18"/>
          <w:color w:val="auto"/>
        </w:rPr>
        <w:t>g, to provide optional expedients and exceptions for applying GAAP to contract modifications, hedging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anticipated transition from the London Interbank Offered Rate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repaid in full and terminated the 2019 Credit Agreement, which bore interest based on the LIBOR rate. Concurrently, on March 1, 2022, we entered into the 2022 Credit Agreement, which bears interest based on rates other than LIBOR. As such, the adoption of this standard will not have an impact on our Consolidated Financial Statements.</w:t>
      </w:r>
    </w:p>
    <w:p>
      <w:pPr>
        <w:spacing w:after="0" w:line="66" w:lineRule="exact"/>
        <w:rPr>
          <w:sz w:val="20"/>
          <w:szCs w:val="20"/>
          <w:color w:val="auto"/>
        </w:rPr>
      </w:pPr>
    </w:p>
    <w:p>
      <w:pPr>
        <w:ind w:right="1520"/>
        <w:spacing w:after="0" w:line="415" w:lineRule="auto"/>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2019 Credit Agreement and 2022 Credit Agreement. </w:t>
      </w:r>
      <w:r>
        <w:rPr>
          <w:rFonts w:ascii="Times New Roman" w:cs="Times New Roman" w:eastAsia="Times New Roman" w:hAnsi="Times New Roman"/>
          <w:sz w:val="18"/>
          <w:szCs w:val="18"/>
          <w:i w:val="1"/>
          <w:iCs w:val="1"/>
          <w:color w:val="auto"/>
        </w:rPr>
        <w:t>Inflation Reduction Act of 2022</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contains several revisions to the Internal Revenue Code effective in taxable years beginning after December 31, 2022, including a 15% corporate minimum income tax of certain large corporations and a 1% excise tax on corporate stock repurchases by publicly traded U.S. corporations. We are in the process of evaluating the impact of the IRA; however, we do not expect this law to have a material impact on our Consolidated Financial Statements.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as of August 31, 2022 have had or are expected to have a material impact on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providing client access to our multi-asset solutions powered by our suite of connected content available over the contractual term (referred to as the "hosted platform"). The hosted platform is a subscription-based service that provides client access to various combinations of products and services including workstations, portfolio analytics, and enterprise solutions. We also provide subscription access to a database of universally recognized identifiers reflecting differentiating characteristics for issuers and their financial instruments (referred to as the "identifier platform").</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determined that the majority of each of our hosted platform and identifier platform services represents a single performance obligation covering a series of distinct products and services that are substantially the same and that have the same pattern of transfer to the client. We also determined the primary nature of the promise to the client is to provide daily access to each of these data and analytics platforms. These platforms provide integrated financial information, analytical applications and industry-leading service for the investment community. Based on the nature of the services and products offered by us, we apply an output time-based measure of progress as the client is simultaneously receiving and consuming the benefits of the platform. We record revenues for these contracts using the over-time revenue recognition model as a client is invoiced or performance is satisfied.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consider payment terms as a performance obligation for clients with contractual terms that are one year or less and we have elected the practical expedient.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with clients can include certain fulfillment costs, comprised of up-front costs to allow for the delivery of services and products, which are recoverable. Fulfillment costs are recognized as an asset, with the current portion recorded in the Prepaid expenses and other current assets and the non-current portion recorded in Other assets, based on the term of the license period. The fulfillment costs are amortized consistent with the associated revenues for providing the services. There are no significant judgments that would impact the timing of revenue recognition. The majority of client contracts have a duration of one year or the amount we are entitled to receive corresponds directly with the value of performance obligations completed to date, and therefore, we do not disclose the value of the remaining unsatisfied performance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disaggregate revenues from contracts with clients by our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Segment revenues reflect sales to our clients based on their respective geographic locations.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this disaggregation by segment:</w:t>
            </w: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2"/>
        </w:trPr>
        <w:tc>
          <w:tcPr>
            <w:tcW w:w="5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August 31,</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7"/>
        </w:trPr>
        <w:tc>
          <w:tcPr>
            <w:tcW w:w="5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1,173,946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1,008,046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943,649</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484,279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427,700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406,498</w:t>
            </w:r>
          </w:p>
        </w:tc>
      </w:tr>
      <w:tr>
        <w:trPr>
          <w:trHeight w:val="230"/>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155,699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143,964</w:t>
            </w:r>
          </w:p>
        </w:tc>
      </w:tr>
      <w:tr>
        <w:trPr>
          <w:trHeight w:val="23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1,843,892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1,591,445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1,494,111</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assessment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significance of a particular input to the fair value measurement requires judgment and may affect its placement within the fair value hierarchy levels.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categorized our cash equivalents, investments and derivatives within the fair value hierarchy as follows:</w:t>
      </w:r>
    </w:p>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 These Level 1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include our corporate money market funds that are classified as cash equivalents.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Our mutual funds and derivative instruments are classified as Level 2.</w:t>
      </w:r>
    </w:p>
    <w:p>
      <w:pPr>
        <w:spacing w:after="0" w:line="15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August 31, 2022 and 2021. We did not have any transfers between levels of fair value measurements during the periods presented. We held no Level 3 assets or liabilities measured at fair value on a recurring basis as of August 31,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Fair Value Measurements at August 31, 2022</w:t>
            </w:r>
          </w:p>
        </w:tc>
      </w:tr>
      <w:tr>
        <w:trPr>
          <w:trHeight w:val="270"/>
        </w:trPr>
        <w:tc>
          <w:tcPr>
            <w:tcW w:w="20" w:type="dxa"/>
            <w:vAlign w:val="bottom"/>
            <w:tcBorders>
              <w:bottom w:val="single" w:sz="8" w:color="auto"/>
            </w:tcBorders>
          </w:tcPr>
          <w:p>
            <w:pPr>
              <w:spacing w:after="0"/>
              <w:rPr>
                <w:sz w:val="23"/>
                <w:szCs w:val="23"/>
                <w:color w:val="auto"/>
              </w:rPr>
            </w:pPr>
          </w:p>
        </w:tc>
        <w:tc>
          <w:tcPr>
            <w:tcW w:w="6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632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Corporate money market funds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179,330</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224,961</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6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r>
        <w:trPr>
          <w:trHeight w:val="56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6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Fair Value Measurements at August 31, 2021</w:t>
            </w:r>
          </w:p>
        </w:tc>
      </w:tr>
      <w:tr>
        <w:trPr>
          <w:trHeight w:val="270"/>
        </w:trPr>
        <w:tc>
          <w:tcPr>
            <w:tcW w:w="20" w:type="dxa"/>
            <w:vAlign w:val="bottom"/>
            <w:tcBorders>
              <w:bottom w:val="single" w:sz="8" w:color="auto"/>
            </w:tcBorders>
          </w:tcPr>
          <w:p>
            <w:pPr>
              <w:spacing w:after="0"/>
              <w:rPr>
                <w:sz w:val="23"/>
                <w:szCs w:val="23"/>
                <w:color w:val="auto"/>
              </w:rPr>
            </w:pPr>
          </w:p>
        </w:tc>
        <w:tc>
          <w:tcPr>
            <w:tcW w:w="6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632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Corporate money market funds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232,519</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269,887</w:t>
            </w:r>
          </w:p>
        </w:tc>
      </w:tr>
      <w:tr>
        <w:trPr>
          <w:trHeight w:val="257"/>
        </w:trPr>
        <w:tc>
          <w:tcPr>
            <w:tcW w:w="20" w:type="dxa"/>
            <w:vAlign w:val="bottom"/>
          </w:tcPr>
          <w:p>
            <w:pPr>
              <w:spacing w:after="0"/>
              <w:rPr>
                <w:sz w:val="22"/>
                <w:szCs w:val="22"/>
                <w:color w:val="auto"/>
              </w:rPr>
            </w:pPr>
          </w:p>
        </w:tc>
        <w:tc>
          <w:tcPr>
            <w:tcW w:w="6800" w:type="dxa"/>
            <w:vAlign w:val="bottom"/>
            <w:gridSpan w:val="3"/>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6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bl>
    <w:p>
      <w:pPr>
        <w:spacing w:after="0" w:line="115" w:lineRule="exact"/>
        <w:rPr>
          <w:sz w:val="20"/>
          <w:szCs w:val="20"/>
          <w:color w:val="auto"/>
        </w:rPr>
      </w:pPr>
    </w:p>
    <w:p>
      <w:pPr>
        <w:jc w:val="both"/>
        <w:ind w:left="660" w:hanging="328"/>
        <w:spacing w:after="0" w:line="267" w:lineRule="auto"/>
        <w:tabs>
          <w:tab w:leader="none" w:pos="65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corporate money market funds are readily convertible into cash and the net asset value of each fund on the last day of the quarter is used to determine its fair value. Our corporate money market funds are classified as Level 1 assets and are included in Cash and cash equivalents within the Consolidated Balance Sheets.</w:t>
      </w:r>
    </w:p>
    <w:p>
      <w:pPr>
        <w:spacing w:after="0" w:line="1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mutual funds have a fair value based on the fair value of the underlying investments held by the mutual funds, allocated to each share of the mutual fund using a net asset value approach. The fair value of the underlying investments is based on observable inputs. Our mutual funds are classified as Level 2 and are included in Investments (short-term) within the Consolidated Balance Sheets.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57" w:lineRule="auto"/>
        <w:tabs>
          <w:tab w:leader="none" w:pos="654" w:val="left"/>
        </w:tabs>
        <w:numPr>
          <w:ilvl w:val="1"/>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and are classified as Level 2 assets. To estimate fair value for our interest rate swap agreements, we utilize a present value of future cash flows, leveraging a model-derived valuation that uses Level 2 observable inputs such as interest rate yield curves. Refer to </w:t>
      </w:r>
      <w:r>
        <w:rPr>
          <w:rFonts w:ascii="Times New Roman" w:cs="Times New Roman" w:eastAsia="Times New Roman" w:hAnsi="Times New Roman"/>
          <w:sz w:val="18"/>
          <w:szCs w:val="18"/>
          <w:color w:val="auto"/>
        </w:rPr>
        <w:t>Note 5</w:t>
      </w:r>
      <w:r>
        <w:rPr>
          <w:rFonts w:ascii="Times New Roman" w:cs="Times New Roman" w:eastAsia="Times New Roman" w:hAnsi="Times New Roman"/>
          <w:sz w:val="18"/>
          <w:szCs w:val="18"/>
          <w:i w:val="1"/>
          <w:iCs w:val="1"/>
          <w:color w:val="auto"/>
        </w:rPr>
        <w:t>, Derivative Instruments for more information on our derivative instruments designed as cash flow hedges and their classification within the Consolidated Balance Sheets.</w:t>
      </w:r>
    </w:p>
    <w:p>
      <w:pPr>
        <w:spacing w:after="0" w:line="153"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non-recurring basis relate primarily to our tangible fixed assets, lease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their carrying value may not be fully recoverable, and at least annually for goodwill.</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twelve months ended August 31, 2022, we incurred an impairment charge of $62.2 million related to our lease ROU assets and property, equipment and leasehold improvements associated with vacating certain leased office space. For those locations we anticipate subleasing, we estimated the fair value of the lease ROU assets as of the cease use date, using a market approach, based on expected future cash flows from sublease income. To complete this assessment we relied on certain assumptions, which included estimates of the rental rate, period of vacancy, incentives and annual rent increases. We fully impaired the lease ROU assets for locations we will not sublease and substantially all the property, equipment and leasehold improvements associated with the related vacated leased office space as there are no expected cash flows related to these items. Due to the subjective nature of the unobservable inputs used, the fair value measurement for the asset impairments are classified within Level 3 of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Assets and Liabilities Measured at Fair Value for Disclosure Purposes Only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Long-term debt is net of related unamortized discount and debt issuance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our Senior Notes is estimated based on quoted prices in active markets as of the reporting date, given that the Senior Notes are publicly traded,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2019 Revolving Credit Facility approximated its carrying value as it bore interest at a floating interest rate, which is considered a Level 2 input. On March 1, 2022, we repaid in full and terminated the 2019 Credit Agreement.</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Senior Notes, 2022 Credit Facilities, 2019 Revolving Credit Facility and 2019 Credit Agreement.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principal amount, estimated fair value and related hierarchy level, unamortized discounts debt issuance costs and net carrying value of our debt as of August 31,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180"/>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jc w:val="center"/>
              <w:ind w:left="450"/>
              <w:spacing w:after="0" w:line="181" w:lineRule="exact"/>
              <w:rPr>
                <w:sz w:val="20"/>
                <w:szCs w:val="20"/>
                <w:color w:val="auto"/>
              </w:rPr>
            </w:pPr>
            <w:r>
              <w:rPr>
                <w:rFonts w:ascii="Times New Roman" w:cs="Times New Roman" w:eastAsia="Times New Roman" w:hAnsi="Times New Roman"/>
                <w:sz w:val="18"/>
                <w:szCs w:val="18"/>
                <w:color w:val="auto"/>
                <w:w w:val="99"/>
              </w:rPr>
              <w:t>Fair Value</w:t>
            </w:r>
          </w:p>
        </w:tc>
        <w:tc>
          <w:tcPr>
            <w:tcW w:w="200" w:type="dxa"/>
            <w:vAlign w:val="bottom"/>
          </w:tcPr>
          <w:p>
            <w:pPr>
              <w:spacing w:after="0"/>
              <w:rPr>
                <w:sz w:val="15"/>
                <w:szCs w:val="15"/>
                <w:color w:val="auto"/>
              </w:rPr>
            </w:pPr>
          </w:p>
        </w:tc>
        <w:tc>
          <w:tcPr>
            <w:tcW w:w="100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auto"/>
            </w:tcBorders>
            <w:gridSpan w:val="2"/>
            <w:vMerge w:val="continue"/>
          </w:tcPr>
          <w:p>
            <w:pPr>
              <w:spacing w:after="0"/>
              <w:rPr>
                <w:sz w:val="21"/>
                <w:szCs w:val="21"/>
                <w:color w:val="auto"/>
              </w:rPr>
            </w:pPr>
          </w:p>
        </w:tc>
        <w:tc>
          <w:tcPr>
            <w:tcW w:w="17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Hierarchy</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1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1,908,780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7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1,982,424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574,535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conduct business outside the U.S. in several currencies including the British Pound Sterling, Euro, Indian Rupee, and Philippine Peso. As such, we are exposed to movements in foreign currency exchange rates. We utilize derivative instruments (foreign currency forward contracts) to manage the exposures related to the effects of foreign exchange rate fluctuations and reduce the volatility of earnings and cash flows associated with changes in foreign currency. Factors considered in the decision to hedge an underlying market exposure include the materiality of the risk, the volatility of the market, the duration of the hedge, the degree to which the underlying exposure is committed to, and the availability, effectiveness, and cost of derivative instruments. Derivative instruments are only utilized for risk management purposes and are not used for speculative or trading purposes. We limit counterparties to credit-worthy financial institutions. Refer to Note 2, </w:t>
      </w:r>
      <w:r>
        <w:rPr>
          <w:rFonts w:ascii="Times New Roman" w:cs="Times New Roman" w:eastAsia="Times New Roman" w:hAnsi="Times New Roman"/>
          <w:sz w:val="18"/>
          <w:szCs w:val="18"/>
          <w:i w:val="1"/>
          <w:iCs w:val="1"/>
          <w:color w:val="auto"/>
        </w:rPr>
        <w:t>Significant 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designing a specific hedging approach, we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foreign currency cash flow hedges during fiscal 2022 or fiscal 2021, and as such, no corresponding gains or losses related to changes in the value of our contracts were reclassified into earnings prior to settlement.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August 31, 2022, we maintained foreign currency forward contracts to hedge a portion of our exposures related to the British Pound Sterling, Euro, Indian Rupee, and Philippine Peso. We entered into a series of forward contracts to mitigate our currency exposure ranging from 25% to 75% over their respective hedged periods. The current foreign currency forward contracts are set to mature at various points between the first quarter of fiscal 2023 through the fourth quarter of fiscal 2023.</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value of foreign currency forward contracts to purchase British Pound Sterling, Euros, Indian Rupees and Philippine Pesos with U.S. dollars as of August 31,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4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August 31, 2022</w:t>
            </w:r>
          </w:p>
        </w:tc>
        <w:tc>
          <w:tcPr>
            <w:tcW w:w="7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18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2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55,567</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40,674</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2,585,198</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0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1,462,060</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1,414,928</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154,728</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Foreign Currency Exchange Risk</w:t>
      </w:r>
      <w:r>
        <w:rPr>
          <w:rFonts w:ascii="Times New Roman" w:cs="Times New Roman" w:eastAsia="Times New Roman" w:hAnsi="Times New Roman"/>
          <w:sz w:val="18"/>
          <w:szCs w:val="18"/>
          <w:color w:val="auto"/>
        </w:rPr>
        <w:t xml:space="preserve"> in Part II, Item 7A of this Annual Report on Form 10-K for further discussion of our exposure to foreign exchange rate fluctuations.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Swap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2020, we entered into an interest rate swap agreement ("2020 Swap Agreement") with a notional amount of $287.5 million. The 2020 Swap Agreement hedged a portion of our then outstanding floating LIBOR rate debt with a fixed interest rate of 0.7995% to mitigate our interest rate exposure. On March 1, 2022, we terminated the 2020 Swap Agreement, which resulted in a one-time benefit of $3.5 million recognized in Interest expense, net in the Consolidated Statements of Income during the third quarter of fiscal 2022, based on its fair market value.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Secured Overnight Financing Rate ("SOFR") rate debt with a fixed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of 1.162%. The notional amount of the 2022 Swap Agreement declines by $100.0 million on a quarterly basis as of May 31, 2022 and is maturing on February 28, 2024. As of August 31, 2022, the notional amount of the 2022 Swap Agreement was $600.0 million.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designated and accounted for the 2022 Swap Agreement as a cash flow hedge with the unrealized gains or losses recorded in AOCL, net of tax, in the Consolidated Balance Sheets. Realized gains or losses resulting from settlement are subsequently reclassified into Interest expense, net in the Consolidated Statements of Income. Since its inception on March 1, 2022 and through August 31, 2022, the interest rate swap was considered highly effective.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discussion of the 2022 Credit Facilities.</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xml:space="preserve"> in Part II, Item 7A of this Annual Report on Form 10-K for further discussion of our exposure to interest rate risk on our long-term debt outstanding.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the derivative instruments: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Gross Notional Value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August 31, 2022</w:t>
            </w: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154,728</w:t>
            </w:r>
          </w:p>
        </w:tc>
        <w:tc>
          <w:tcPr>
            <w:tcW w:w="0" w:type="dxa"/>
            <w:vAlign w:val="bottom"/>
          </w:tcPr>
          <w:p>
            <w:pPr>
              <w:spacing w:after="0"/>
              <w:rPr>
                <w:sz w:val="1"/>
                <w:szCs w:val="1"/>
                <w:color w:val="auto"/>
              </w:rPr>
            </w:pPr>
          </w:p>
        </w:tc>
      </w:tr>
      <w:tr>
        <w:trPr>
          <w:trHeight w:val="27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756,846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442,228</w:t>
            </w:r>
          </w:p>
        </w:tc>
        <w:tc>
          <w:tcPr>
            <w:tcW w:w="0" w:type="dxa"/>
            <w:vAlign w:val="bottom"/>
          </w:tcPr>
          <w:p>
            <w:pPr>
              <w:spacing w:after="0"/>
              <w:rPr>
                <w:sz w:val="1"/>
                <w:szCs w:val="1"/>
                <w:color w:val="auto"/>
              </w:rPr>
            </w:pPr>
          </w:p>
        </w:tc>
      </w:tr>
      <w:tr>
        <w:trPr>
          <w:trHeight w:val="22"/>
        </w:trPr>
        <w:tc>
          <w:tcPr>
            <w:tcW w:w="7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the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Borders>
              <w:bottom w:val="single" w:sz="8" w:color="auto"/>
            </w:tcBorders>
            <w:gridSpan w:val="4"/>
          </w:tcPr>
          <w:p>
            <w:pPr>
              <w:ind w:left="1480"/>
              <w:spacing w:after="0"/>
              <w:rPr>
                <w:sz w:val="20"/>
                <w:szCs w:val="20"/>
                <w:color w:val="auto"/>
              </w:rPr>
            </w:pPr>
            <w:r>
              <w:rPr>
                <w:rFonts w:ascii="Times New Roman" w:cs="Times New Roman" w:eastAsia="Times New Roman" w:hAnsi="Times New Roman"/>
                <w:sz w:val="18"/>
                <w:szCs w:val="18"/>
                <w:color w:val="auto"/>
              </w:rPr>
              <w:t>Derivative Liabilities</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Derivatives designated as</w:t>
            </w:r>
          </w:p>
        </w:tc>
        <w:tc>
          <w:tcPr>
            <w:tcW w:w="17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5"/>
                <w:szCs w:val="15"/>
                <w:color w:val="auto"/>
              </w:rPr>
            </w:pPr>
          </w:p>
        </w:tc>
        <w:tc>
          <w:tcPr>
            <w:tcW w:w="9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August 31,</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August 31, 2021</w:t>
            </w:r>
          </w:p>
        </w:tc>
        <w:tc>
          <w:tcPr>
            <w:tcW w:w="1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2022</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August 31, 2021</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forward</w:t>
            </w:r>
          </w:p>
        </w:tc>
        <w:tc>
          <w:tcPr>
            <w:tcW w:w="1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1,384</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payable and</w:t>
            </w:r>
          </w:p>
        </w:tc>
        <w:tc>
          <w:tcPr>
            <w:tcW w:w="48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8,307</w:t>
            </w:r>
          </w:p>
        </w:tc>
        <w:tc>
          <w:tcPr>
            <w:tcW w:w="1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2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4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w:t>
            </w:r>
          </w:p>
        </w:tc>
        <w:tc>
          <w:tcPr>
            <w:tcW w:w="4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7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2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4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derivatives were designated as hedging instruments as of August 31, 2022 and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each of the three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2022,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296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 (Loss) Reclassified in AOCL on</w:t>
            </w:r>
          </w:p>
        </w:tc>
        <w:tc>
          <w:tcPr>
            <w:tcW w:w="22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Gain (Loss) Reclassified from AOCL into</w:t>
            </w:r>
          </w:p>
        </w:tc>
        <w:tc>
          <w:tcPr>
            <w:tcW w:w="0" w:type="dxa"/>
            <w:vAlign w:val="bottom"/>
          </w:tcPr>
          <w:p>
            <w:pPr>
              <w:spacing w:after="0"/>
              <w:rPr>
                <w:sz w:val="1"/>
                <w:szCs w:val="1"/>
                <w:color w:val="auto"/>
              </w:rPr>
            </w:pPr>
          </w:p>
        </w:tc>
      </w:tr>
      <w:tr>
        <w:trPr>
          <w:trHeight w:val="261"/>
        </w:trPr>
        <w:tc>
          <w:tcPr>
            <w:tcW w:w="2720" w:type="dxa"/>
            <w:vAlign w:val="bottom"/>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7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in Cash Flow Hedging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5,049</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(7,867)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5,027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(6,138)</w:t>
            </w:r>
          </w:p>
        </w:tc>
        <w:tc>
          <w:tcPr>
            <w:tcW w:w="2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8"/>
              </w:rPr>
              <w:t>1,854</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(1,956)</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(1,089)</w:t>
            </w:r>
          </w:p>
        </w:tc>
        <w:tc>
          <w:tcPr>
            <w:tcW w:w="2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(6,013)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3,071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864"/>
        </w:trPr>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2022, we estimate that net pre-tax derivative gains of $2.3 million included in AOCL will be reclassified into earnings within the next 12 months. As of August 31, 2022, our cash flow hedges were effective with no amount of ineffectiveness recorded in the Consolidated Statements of Income for these designated cash flow hedges and all components of each derivative’s gain or loss were included in the assessment of hedge effectiveness.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August 31, 2022 and 2021, there were no material amounts recorded net on the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ACQUISITIONS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and 2021, we completed acquisitions of several businesses, with the most significant cash flows related to the acquisitions of CUSIP Global Services ("CGS"), Cobalt Software, Inc. ("Cobalt") and Truvalue Labs, Inc. ("TVL").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 2022, we completed the acquisition of CGS, previously operated by S&amp;P Global Inc. on behalf of the American Bankers Association ("ABA"),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 office functions.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believe that the CGS acquisition will significantly expand our critical role in the global capital markets. The CGS purchase price was in excess of the fair value of net assets acquired, resulting in the recognition of goodwill. We finalized the purchase accounting for the CGS acquisition during the fourth quarter of fiscal 2022 and did not record any material changes to the preliminary purchase price allocation.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ABA business process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36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26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databases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214,970</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revenues, long-term</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1,931,526</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2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an accounts receivable balance of $29.5 million.</w:t>
      </w:r>
    </w:p>
    <w:p>
      <w:pPr>
        <w:spacing w:after="0" w:line="63"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 deferred revenues balance of $99.4 million. The CGS acquisition was accounted for in accordance with our adoption of ASU No. 2021-08; as such, the deferred revenues did not include a fair value adjustment. Refer to Note 2, Significant Accounting Policies in the Notes to the Consolidated Financial Statements included in Item 8. of this Annual Report on Form 10-K for more information on ASU No. 2021-08.</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totaling $215.0 million represents the excess of the CGS purchase price over the fair value of net assets acquired, representing future economic benefits that we expect to achieve as a result of the acquisition, and is included in the Americas segment. Goodwill generated from the CGS acquisition is deductible for income tax purposes. The majority of the net assets acquired relate to an ABA business process intangible which is a renewable license agreement with the ABA to manage the issuance, maintenance and access to the CUSIP numbering system and related database of CUSIP identifiers. This intangible asset's valuation and associated useful life considers the nature of the business relationship, multi-year term of the current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agreement and the likelihood of long-term renewals. The useful life assigned to the Client relationships intangible asset considers the strong historical client retention and client renewals as a basis for expected future retention. The useful life assigned to Acquired databases considers the historical period of data collection and the limited changes to the data on an annual basis.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CGS's operations have been included in our Consolidated Financial Statements, within the Americas, EMEA, and Asia Pacific segments, beginning with the closing of the acquisition on March 1, 2022. CGS functions as part of CTS. Pro forma information has not been presented because the effect of the CGS acquisition is not material to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Cobalt Software, Inc.</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and inclusive of working capital adjustments.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 The Cobalt purchase price was in excess of the fair value of net assets acquired, resulting in the recognition of goodwill. We finalized the purchase accounting for the Cobalt acquisition during the fourth quarter of fiscal 2022 and did not record any material changes to the preliminary purchase price allocation.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11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50,018</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$41.3 million represents the excess of the Cobalt purchase price over the fair value of net assets acquired and is included in the Americas and EMEA segments. Goodwill generated from the Cobalt acquisition is not deductible for income tax purposes. The useful life assigned to the Client relationships intangible asset considers the historical client retention as a basis for expected future retention. The useful life assigned to Software technology considers our historical experience and anticipated technological changes.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Cobalt's operations have been included in our Consolidated Financial Statements, within the Americas and EMEA segments, beginning with its acquisition on October 12, 2021. Pro forma information has not been presented because the effect of the Cobalt acquisition is not material to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Truvalue Labs, Inc.</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 2020, we acquired all of the outstanding shares of TVL for a purchase price of $41.9 million, net of cash acquired. TVL is a leading provider of environmental, social, and governance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The TVL purchase price was in excess of the fair value of net assets acquired, resulting in the recognition of goodwill. We finalized the purchase accounting for the TVL acquisition during the third quarter of fiscal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Fair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Acquisition Date Useful</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4"/>
        </w:trPr>
        <w:tc>
          <w:tcPr>
            <w:tcW w:w="5240" w:type="dxa"/>
            <w:vAlign w:val="bottom"/>
          </w:tcPr>
          <w:p>
            <w:pPr>
              <w:spacing w:after="0"/>
              <w:rPr>
                <w:sz w:val="20"/>
                <w:szCs w:val="20"/>
                <w:color w:val="auto"/>
              </w:rPr>
            </w:pPr>
          </w:p>
        </w:tc>
        <w:tc>
          <w:tcPr>
            <w:tcW w:w="1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2"/>
              </w:rPr>
              <w:t>Value</w:t>
            </w:r>
          </w:p>
        </w:tc>
        <w:tc>
          <w:tcPr>
            <w:tcW w:w="6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920" w:type="dxa"/>
            <w:vAlign w:val="bottom"/>
          </w:tcPr>
          <w:p>
            <w:pPr>
              <w:spacing w:after="0"/>
              <w:rPr>
                <w:sz w:val="20"/>
                <w:szCs w:val="20"/>
                <w:color w:val="auto"/>
              </w:rPr>
            </w:pPr>
          </w:p>
        </w:tc>
      </w:tr>
      <w:tr>
        <w:trPr>
          <w:trHeight w:val="238"/>
        </w:trPr>
        <w:tc>
          <w:tcPr>
            <w:tcW w:w="5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920" w:type="dxa"/>
            <w:vAlign w:val="bottom"/>
            <w:tcBorders>
              <w:bottom w:val="single" w:sz="8" w:color="auto"/>
            </w:tcBorders>
          </w:tcPr>
          <w:p>
            <w:pPr>
              <w:spacing w:after="0"/>
              <w:rPr>
                <w:sz w:val="20"/>
                <w:szCs w:val="20"/>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41,916</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
        </w:trPr>
        <w:tc>
          <w:tcPr>
            <w:tcW w:w="5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totaling $30.1 million represents the excess of the TVL purchase price over the fair value of net assets acquired and is included in the Americas segment. Goodwill generated from the TVL acquisition is not deductible for income tax purposes. The results of TVL's operations have been included in our Consolidated Financial Statements, within the Americas segment, beginning with its acquisition on November 2, 2020. Pro forma information has not been presented because the effect of the TVL acquisition is not material to our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PROPERTY, EQUIPMENT AND LEASEHOLD IMPROVEMENTS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leasehold improvements consist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August 31,</w:t>
            </w:r>
          </w:p>
        </w:tc>
        <w:tc>
          <w:tcPr>
            <w:tcW w:w="920" w:type="dxa"/>
            <w:vAlign w:val="bottom"/>
          </w:tcPr>
          <w:p>
            <w:pPr>
              <w:spacing w:after="0"/>
              <w:rPr>
                <w:sz w:val="24"/>
                <w:szCs w:val="24"/>
                <w:color w:val="auto"/>
              </w:rPr>
            </w:pPr>
          </w:p>
        </w:tc>
      </w:tr>
      <w:tr>
        <w:trPr>
          <w:trHeight w:val="270"/>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related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58,212</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Subtotal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347,082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392,144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(260,767)</w:t>
            </w:r>
          </w:p>
        </w:tc>
      </w:tr>
      <w:tr>
        <w:trPr>
          <w:trHeight w:val="228"/>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$24.3 million, $30.4 million and $32.2 million for fiscal years 2022, 2021 and 2020, respectively.</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2022, we incurred an impairment charge of $30.7 million for property, equipment and leasehold improvements related to vacating certain leased office space.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for more information on the property, equipment and leasehold improvements assets impairment methodology.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GOODWILL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for fiscal years ended August 31, 2022 and 2021 are as follows: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386,195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320,427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709,703</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43,893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43,893</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August 31, 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430,088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321,150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754,205</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256,324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256,752</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(45,109)</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686,412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277,087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965,848</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At least annually, we are required to test goodwill at the reporting unit level, which is consistent with our segments, for potential impairment, and, if impaired, we write down our goodwill to fair value based on the present value of discounted cash flows. We performed our annual goodwill impairment test during the fourth quarter of fiscal 2022 utilizing a qualitative analysis, consistent with the timing and methodology of previous years. We concluded it was more likely than not that the fair value of each of our segments was not less than its respective carrying value and no impairment charge was required.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INTANGIBLE ASSETS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 line basis over their estimated useful lives. The estimated useful life, gross carrying amounts and accumulated amortization totals related to our identifiable intangible assets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August 31, 2022</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31, 2021</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useful</w:t>
            </w:r>
          </w:p>
        </w:tc>
        <w:tc>
          <w:tcPr>
            <w:tcW w:w="1100" w:type="dxa"/>
            <w:vAlign w:val="bottom"/>
            <w:vMerge w:val="continue"/>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20" w:type="dxa"/>
            <w:vAlign w:val="bottom"/>
          </w:tcPr>
          <w:p>
            <w:pPr>
              <w:spacing w:after="0"/>
              <w:rPr>
                <w:sz w:val="13"/>
                <w:szCs w:val="13"/>
                <w:color w:val="auto"/>
              </w:rPr>
            </w:pPr>
          </w:p>
        </w:tc>
        <w:tc>
          <w:tcPr>
            <w:tcW w:w="12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Net Carrying</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40" w:type="dxa"/>
            <w:vAlign w:val="bottom"/>
          </w:tcPr>
          <w:p>
            <w:pPr>
              <w:spacing w:after="0"/>
              <w:rPr>
                <w:sz w:val="13"/>
                <w:szCs w:val="13"/>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3"/>
                <w:szCs w:val="13"/>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5"/>
        </w:trPr>
        <w:tc>
          <w:tcPr>
            <w:tcW w:w="2140" w:type="dxa"/>
            <w:vAlign w:val="bottom"/>
            <w:vMerge w:val="continue"/>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Useful Life</w:t>
            </w: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7"/>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1,561,014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to 26</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263,163</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101,077</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49,139</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51,938</w:t>
            </w:r>
          </w:p>
        </w:tc>
        <w:tc>
          <w:tcPr>
            <w:tcW w:w="0" w:type="dxa"/>
            <w:vAlign w:val="bottom"/>
          </w:tcPr>
          <w:p>
            <w:pPr>
              <w:spacing w:after="0"/>
              <w:rPr>
                <w:sz w:val="1"/>
                <w:szCs w:val="1"/>
                <w:color w:val="auto"/>
              </w:rPr>
            </w:pPr>
          </w:p>
        </w:tc>
      </w:tr>
      <w:tr>
        <w:trPr>
          <w:trHeight w:val="41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to 9</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96,567</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121,556</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87,207</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34,349</w:t>
            </w:r>
          </w:p>
        </w:tc>
        <w:tc>
          <w:tcPr>
            <w:tcW w:w="0" w:type="dxa"/>
            <w:vAlign w:val="bottom"/>
          </w:tcPr>
          <w:p>
            <w:pPr>
              <w:spacing w:after="0"/>
              <w:rPr>
                <w:sz w:val="1"/>
                <w:szCs w:val="1"/>
                <w:color w:val="auto"/>
              </w:rPr>
            </w:pPr>
          </w:p>
        </w:tc>
      </w:tr>
      <w:tr>
        <w:trPr>
          <w:trHeight w:val="41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80,956</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33,676</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databases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26,835</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0" w:type="dxa"/>
            <w:vAlign w:val="bottom"/>
          </w:tcPr>
          <w:p>
            <w:pPr>
              <w:spacing w:after="0"/>
              <w:rPr>
                <w:sz w:val="1"/>
                <w:szCs w:val="1"/>
                <w:color w:val="auto"/>
              </w:rPr>
            </w:pPr>
          </w:p>
        </w:tc>
      </w:tr>
      <w:tr>
        <w:trPr>
          <w:trHeight w:val="41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28"/>
        </w:trPr>
        <w:tc>
          <w:tcPr>
            <w:tcW w:w="214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2,134,480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1,895,909</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134,986</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weighted average useful life of our intangible assets at August 31, 2022 was 32.8 years. As described in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we acquired several intangible assets as part of the CGS acquisition. The weighted average useful life of our intangible assets excluding those acquired from CGS at August 31, 2022 was 9.6 years. We assess intangible assets for indicators of impairment on a quarterly basis, including an evaluation of our useful lives to determine if events and circumstances warrant a revision to the remaining period of amortization. If indicators of impairment are present, amortizable intangible assets are tested for impairment by comparing the carrying value to undiscounted cash flows and, if impaired, written down to fair value based on discounted cash flows. We have not identified a material impairment, nor a material change to the estimated remaining useful lives of our intangible assets during fiscal years 2022 and 2021. The intangible assets have no assigned residual values.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recorded for intangible assets was $62.4 million, $31.5 million, and $25.4 million during fiscal years 2022, 2021, and 2020,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2022, estimated intangible asset amortization expense for each of the next five years and thereafter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Fiscal Year </w:t>
            </w: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1,524,309</w:t>
            </w:r>
          </w:p>
        </w:tc>
      </w:tr>
      <w:tr>
        <w:trPr>
          <w:trHeight w:val="223"/>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1,895,909</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INCOME TAXES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and Components for Income Taxes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is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73"/>
        </w:trPr>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Years ended August 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281,971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311,767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280,283</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161,623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155,850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146,851</w:t>
            </w:r>
          </w:p>
        </w:tc>
      </w:tr>
      <w:tr>
        <w:trPr>
          <w:trHeight w:val="22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467,617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427,134</w:t>
            </w:r>
          </w:p>
        </w:tc>
      </w:tr>
      <w:tr>
        <w:trPr>
          <w:trHeight w:val="270"/>
        </w:trPr>
        <w:tc>
          <w:tcPr>
            <w:tcW w:w="6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18,107</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31,926</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22,270</w:t>
            </w:r>
          </w:p>
        </w:tc>
      </w:tr>
      <w:tr>
        <w:trPr>
          <w:trHeight w:val="22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Total provision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68,027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54,196</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Effective tax rate</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20" w:type="dxa"/>
            <w:vAlign w:val="bottom"/>
          </w:tcPr>
          <w:p>
            <w:pPr>
              <w:spacing w:after="0"/>
              <w:rPr>
                <w:sz w:val="19"/>
                <w:szCs w:val="19"/>
                <w:color w:val="auto"/>
              </w:rPr>
            </w:pPr>
          </w:p>
        </w:tc>
      </w:tr>
      <w:tr>
        <w:trPr>
          <w:trHeight w:val="48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consist of the following:</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5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Years ended August 31,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3"/>
                <w:szCs w:val="23"/>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20" w:type="dxa"/>
            <w:vAlign w:val="bottom"/>
          </w:tcPr>
          <w:p>
            <w:pPr>
              <w:spacing w:after="0"/>
              <w:rPr>
                <w:sz w:val="19"/>
                <w:szCs w:val="19"/>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20" w:type="dxa"/>
            <w:vAlign w:val="bottom"/>
          </w:tcPr>
          <w:p>
            <w:pPr>
              <w:spacing w:after="0"/>
              <w:rPr>
                <w:sz w:val="19"/>
                <w:szCs w:val="19"/>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20" w:type="dxa"/>
            <w:vAlign w:val="bottom"/>
          </w:tcPr>
          <w:p>
            <w:pPr>
              <w:spacing w:after="0"/>
              <w:rPr>
                <w:sz w:val="19"/>
                <w:szCs w:val="19"/>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taxes</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20" w:type="dxa"/>
            <w:vAlign w:val="bottom"/>
          </w:tcPr>
          <w:p>
            <w:pPr>
              <w:spacing w:after="0"/>
              <w:rPr>
                <w:sz w:val="19"/>
                <w:szCs w:val="19"/>
                <w:color w:val="auto"/>
              </w:rPr>
            </w:pPr>
          </w:p>
        </w:tc>
      </w:tr>
      <w:tr>
        <w:trPr>
          <w:trHeight w:val="257"/>
        </w:trPr>
        <w:tc>
          <w:tcPr>
            <w:tcW w:w="5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20" w:type="dxa"/>
            <w:vAlign w:val="bottom"/>
          </w:tcPr>
          <w:p>
            <w:pPr>
              <w:spacing w:after="0"/>
              <w:rPr>
                <w:sz w:val="19"/>
                <w:szCs w:val="19"/>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0" w:type="dxa"/>
            <w:vAlign w:val="bottom"/>
          </w:tcPr>
          <w:p>
            <w:pPr>
              <w:spacing w:after="0"/>
              <w:rPr>
                <w:sz w:val="19"/>
                <w:szCs w:val="19"/>
                <w:color w:val="auto"/>
              </w:rPr>
            </w:pPr>
          </w:p>
        </w:tc>
      </w:tr>
      <w:tr>
        <w:trPr>
          <w:trHeight w:val="229"/>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0" w:type="dxa"/>
            <w:vAlign w:val="bottom"/>
          </w:tcPr>
          <w:p>
            <w:pPr>
              <w:spacing w:after="0"/>
              <w:rPr>
                <w:sz w:val="19"/>
                <w:szCs w:val="19"/>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taxes</w:t>
            </w:r>
          </w:p>
        </w:tc>
        <w:tc>
          <w:tcPr>
            <w:tcW w:w="1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20" w:type="dxa"/>
            <w:vAlign w:val="bottom"/>
          </w:tcPr>
          <w:p>
            <w:pPr>
              <w:spacing w:after="0"/>
              <w:rPr>
                <w:sz w:val="19"/>
                <w:szCs w:val="19"/>
                <w:color w:val="auto"/>
              </w:rPr>
            </w:pPr>
          </w:p>
        </w:tc>
      </w:tr>
      <w:tr>
        <w:trPr>
          <w:trHeight w:val="228"/>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Total provision for income taxes</w:t>
            </w:r>
          </w:p>
        </w:tc>
        <w:tc>
          <w:tcPr>
            <w:tcW w:w="1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54,196</w:t>
            </w:r>
          </w:p>
        </w:tc>
        <w:tc>
          <w:tcPr>
            <w:tcW w:w="20" w:type="dxa"/>
            <w:vAlign w:val="bottom"/>
          </w:tcPr>
          <w:p>
            <w:pPr>
              <w:spacing w:after="0"/>
              <w:rPr>
                <w:sz w:val="19"/>
                <w:szCs w:val="19"/>
                <w:color w:val="auto"/>
              </w:rPr>
            </w:pPr>
          </w:p>
        </w:tc>
      </w:tr>
      <w:tr>
        <w:trPr>
          <w:trHeight w:val="859"/>
        </w:trPr>
        <w:tc>
          <w:tcPr>
            <w:tcW w:w="5480" w:type="dxa"/>
            <w:vAlign w:val="bottom"/>
          </w:tcPr>
          <w:p>
            <w:pPr>
              <w:spacing w:after="0"/>
              <w:rPr>
                <w:sz w:val="24"/>
                <w:szCs w:val="24"/>
                <w:color w:val="auto"/>
              </w:rPr>
            </w:pPr>
          </w:p>
        </w:tc>
        <w:tc>
          <w:tcPr>
            <w:tcW w:w="12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2022 provision for income taxes decreased 31.4% to $46.7 million, compared with $68.0 million in fiscal 2021. This decrease was primarily driven by lower pretax income and $11.7 million in higher tax benefits from the exercise of stock options for fiscal 2022, compared with the prior year period.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Our effective tax rate is lower than the applicable U.S. corporate income tax rate for fiscal 2022 driven mainly by research and development ("R&amp;D") tax credits, a foreign derived intangible income ("FDII") deduction and a tax benefit from the exercise of stock options.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between the U.S. corporate income tax rate and our effective tax rate: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(expressed as a percentage of income before income taxes)</w:t>
            </w:r>
          </w:p>
        </w:tc>
        <w:tc>
          <w:tcPr>
            <w:tcW w:w="1640" w:type="dxa"/>
            <w:vAlign w:val="bottom"/>
          </w:tcPr>
          <w:p>
            <w:pPr>
              <w:spacing w:after="0"/>
              <w:rPr>
                <w:sz w:val="19"/>
                <w:szCs w:val="19"/>
                <w:color w:val="auto"/>
              </w:rPr>
            </w:pPr>
          </w:p>
        </w:tc>
        <w:tc>
          <w:tcPr>
            <w:tcW w:w="2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Years ended August 31,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22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2021</w:t>
            </w: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tax rate</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2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 taxes, net of U.S. federal income tax benefit</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income at other than U.S. rates</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22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derived intangible income ("FDII") deduction</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22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benefits from R&amp;D tax credits</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22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payments</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22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2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10.5 %</w:t>
            </w:r>
          </w:p>
        </w:tc>
        <w:tc>
          <w:tcPr>
            <w:tcW w:w="2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14.5 %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permanently reinvested in all foreign unremitted earnings, except in jurisdictions where earnings can be repatriated substantially free of tax. It is not practicable to determine the amount of unremitted earnings that are permanently reinvested and the taxes that would be payable if these amounts were repatriated to the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deferred tax assets recorded within the Consolidated Balance Sheets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At August 31,</w:t>
            </w:r>
          </w:p>
        </w:tc>
        <w:tc>
          <w:tcPr>
            <w:tcW w:w="94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55,416</w:t>
            </w:r>
          </w:p>
        </w:tc>
      </w:tr>
      <w:tr>
        <w:trPr>
          <w:trHeight w:val="229"/>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w:t>
            </w:r>
          </w:p>
        </w:tc>
      </w:tr>
      <w:tr>
        <w:trPr>
          <w:trHeight w:val="230"/>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Unrealized tax loss on investment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3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r>
      <w:tr>
        <w:trPr>
          <w:trHeight w:val="228"/>
        </w:trPr>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i w:val="1"/>
                <w:iCs w:val="1"/>
                <w:color w:val="auto"/>
              </w:rPr>
              <w:t>Total deferred tax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93,597</w:t>
            </w:r>
          </w:p>
        </w:tc>
      </w:tr>
    </w:tbl>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August 31, 2022, we had pre-tax federal and state net operating loss carryforwards ("NOLs") of approximately $34.8 million and $13.8 million, respectively. The carryforwards may be used to offset future taxable income. The federal NOLs have an indefinite carryforward and the state NOLs have various expiration dates, beginning August 31, 2025. Utilization of the NOLs may be subject to an annual limitation due to the ownership limitations provided by the Internal Revenue Code of 1986, as amended (the “Code”), and similar state provisions. Any annual limitation may result in the expiration of net operating losses before utilization.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deferred tax liabilities recorded within the Consolidated Balance Sheets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At August 31,</w:t>
            </w:r>
          </w:p>
        </w:tc>
        <w:tc>
          <w:tcPr>
            <w:tcW w:w="94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on property, equipment and leasehold improvements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29"/>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Purchased intangible assets, including acquired technology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44,773</w:t>
            </w:r>
          </w:p>
        </w:tc>
      </w:tr>
      <w:tr>
        <w:trPr>
          <w:trHeight w:val="229"/>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43,904</w:t>
            </w:r>
          </w:p>
        </w:tc>
      </w:tr>
      <w:tr>
        <w:trPr>
          <w:trHeight w:val="23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8"/>
        </w:trPr>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i w:val="1"/>
                <w:iCs w:val="1"/>
                <w:color w:val="auto"/>
              </w:rPr>
              <w:t>Total deferred tax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106,099</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Positions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Applicable accounting guidance prescribes a comprehensive model for the financial statement recognition, measurement, classification and disclosure of uncertain tax positions that a company has taken or expects to take on a tax return. We recognize the financial effect of an income tax position only if it is more likely than not (greater than 50%) that the tax position will </w:t>
      </w:r>
      <w:r>
        <w:rPr>
          <w:rFonts w:ascii="Times New Roman" w:cs="Times New Roman" w:eastAsia="Times New Roman" w:hAnsi="Times New Roman"/>
          <w:sz w:val="18"/>
          <w:szCs w:val="18"/>
          <w:color w:val="212121"/>
        </w:rPr>
        <w:t>be sustained based on its technical merits</w:t>
      </w:r>
      <w:r>
        <w:rPr>
          <w:rFonts w:ascii="Times New Roman" w:cs="Times New Roman" w:eastAsia="Times New Roman" w:hAnsi="Times New Roman"/>
          <w:sz w:val="18"/>
          <w:szCs w:val="18"/>
          <w:color w:val="auto"/>
        </w:rPr>
        <w:t xml:space="preserve"> of the tax position. Otherwise, no benefit or expense can be recognized in the Consolidated Financial Statements. The tax benefits recognized are measured based on the largest benefit that has a greater than 50% likelihood of being realized upon </w:t>
      </w:r>
      <w:r>
        <w:rPr>
          <w:rFonts w:ascii="Times New Roman" w:cs="Times New Roman" w:eastAsia="Times New Roman" w:hAnsi="Times New Roman"/>
          <w:sz w:val="18"/>
          <w:szCs w:val="18"/>
          <w:color w:val="212121"/>
        </w:rPr>
        <w:t>effective settlement with a taxing authority</w:t>
      </w:r>
      <w:r>
        <w:rPr>
          <w:rFonts w:ascii="Times New Roman" w:cs="Times New Roman" w:eastAsia="Times New Roman" w:hAnsi="Times New Roman"/>
          <w:sz w:val="18"/>
          <w:szCs w:val="18"/>
          <w:color w:val="auto"/>
        </w:rPr>
        <w:t>. Additionally, we accrue interest on all tax exposures for which reserves have been established consistent with jurisdictional tax laws.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121"/>
        </w:rPr>
        <w:t xml:space="preserve">The determination of liabilities related to </w:t>
      </w:r>
      <w:r>
        <w:rPr>
          <w:rFonts w:ascii="Times New Roman" w:cs="Times New Roman" w:eastAsia="Times New Roman" w:hAnsi="Times New Roman"/>
          <w:sz w:val="18"/>
          <w:szCs w:val="18"/>
          <w:color w:val="252525"/>
        </w:rPr>
        <w:t>unrecognized tax benefits</w:t>
      </w:r>
      <w:r>
        <w:rPr>
          <w:rFonts w:ascii="Times New Roman" w:cs="Times New Roman" w:eastAsia="Times New Roman" w:hAnsi="Times New Roman"/>
          <w:sz w:val="18"/>
          <w:szCs w:val="18"/>
          <w:color w:val="212121"/>
        </w:rPr>
        <w:t>, including associated interest and penalties, requires significant estimates. There can be no assurance that we will accurately predict the audit outcomes, h</w:t>
      </w:r>
      <w:r>
        <w:rPr>
          <w:rFonts w:ascii="Times New Roman" w:cs="Times New Roman" w:eastAsia="Times New Roman" w:hAnsi="Times New Roman"/>
          <w:sz w:val="18"/>
          <w:szCs w:val="18"/>
          <w:color w:val="000000"/>
        </w:rPr>
        <w:t>owever, we have no reason to believe that such audits will result in the payment of</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additional taxes and/or penalties that would have a material adverse effect on our results of operations or financial position, beyond current estimates. For this reason and due to ongoing audits by multiple tax authorities, we will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We do not currently anticipate that the total amounts of unrecognized tax benefits will significantly change within the next 12 months.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121"/>
        </w:rPr>
        <w:t>We classify the liability for unrecognized tax benefits as Taxes Payable (non-current) and to the extent that we anticipate payment of cash within one year, the benefit will be classified as Taxes Payable (current). Additionally, we accrue interest on all tax exposures for which reserves have been established consistent with jurisdictional tax laws, recorded in Provision for income taxes in the Consolidated Statements of Income and Taxes Payable (non-current) within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balance of gross unrecognized tax benefits: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income tax benefits as of August 31, 2019</w:t>
            </w:r>
          </w:p>
        </w:tc>
        <w:tc>
          <w:tcPr>
            <w:tcW w:w="30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30"/>
        </w:trPr>
        <w:tc>
          <w:tcPr>
            <w:tcW w:w="72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 for tax positions of prior years</w:t>
            </w:r>
          </w:p>
        </w:tc>
        <w:tc>
          <w:tcPr>
            <w:tcW w:w="3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23"/>
        </w:trPr>
        <w:tc>
          <w:tcPr>
            <w:tcW w:w="7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Unrecognized income tax benefits as of August 31, 2020</w:t>
            </w:r>
            <w:r>
              <w:rPr>
                <w:rFonts w:ascii="Times New Roman" w:cs="Times New Roman" w:eastAsia="Times New Roman" w:hAnsi="Times New Roman"/>
                <w:sz w:val="23"/>
                <w:szCs w:val="23"/>
                <w:color w:val="auto"/>
                <w:vertAlign w:val="superscript"/>
              </w:rPr>
              <w:t>(1)</w:t>
            </w:r>
          </w:p>
        </w:tc>
        <w:tc>
          <w:tcPr>
            <w:tcW w:w="3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230"/>
        </w:trPr>
        <w:tc>
          <w:tcPr>
            <w:tcW w:w="7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Release for tax positions of prior years</w:t>
            </w:r>
          </w:p>
        </w:tc>
        <w:tc>
          <w:tcPr>
            <w:tcW w:w="3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23"/>
        </w:trPr>
        <w:tc>
          <w:tcPr>
            <w:tcW w:w="7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Unrecognized income tax benefits as of August 31, 2021</w:t>
            </w:r>
            <w:r>
              <w:rPr>
                <w:rFonts w:ascii="Times New Roman" w:cs="Times New Roman" w:eastAsia="Times New Roman" w:hAnsi="Times New Roman"/>
                <w:sz w:val="23"/>
                <w:szCs w:val="23"/>
                <w:color w:val="auto"/>
                <w:vertAlign w:val="superscript"/>
              </w:rPr>
              <w:t>(1)</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r>
      <w:tr>
        <w:trPr>
          <w:trHeight w:val="230"/>
        </w:trPr>
        <w:tc>
          <w:tcPr>
            <w:tcW w:w="72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 for tax positions of prior years</w:t>
            </w:r>
          </w:p>
        </w:tc>
        <w:tc>
          <w:tcPr>
            <w:tcW w:w="3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30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income tax benefits as of August 31, 2022</w:t>
            </w:r>
            <w:r>
              <w:rPr>
                <w:rFonts w:ascii="Times New Roman" w:cs="Times New Roman" w:eastAsia="Times New Roman" w:hAnsi="Times New Roman"/>
                <w:sz w:val="23"/>
                <w:szCs w:val="23"/>
                <w:color w:val="auto"/>
                <w:vertAlign w:val="superscript"/>
              </w:rPr>
              <w:t>(1)</w:t>
            </w:r>
          </w:p>
        </w:tc>
        <w:tc>
          <w:tcPr>
            <w:tcW w:w="3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w:t>
            </w:r>
          </w:p>
        </w:tc>
      </w:tr>
    </w:tbl>
    <w:p>
      <w:pPr>
        <w:spacing w:after="0" w:line="51" w:lineRule="exact"/>
        <w:rPr>
          <w:sz w:val="20"/>
          <w:szCs w:val="20"/>
          <w:color w:val="auto"/>
        </w:rPr>
      </w:pPr>
    </w:p>
    <w:p>
      <w:pPr>
        <w:ind w:left="660" w:hanging="328"/>
        <w:spacing w:after="0" w:line="284" w:lineRule="auto"/>
        <w:tabs>
          <w:tab w:leader="none" w:pos="654"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unrecognized income tax benefits include accrued interest of $1.4 million, $1.3 million and $0.9 million as of August 31, 2022, 2021 and 2020,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our tax filings are subject to audit by federal, state and foreign tax authorities. At August 31, 2022, we remained subject to examination in the following major tax jurisdictions for the tax years as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Major Tax Jurisdictions</w:t>
            </w:r>
          </w:p>
        </w:tc>
        <w:tc>
          <w:tcPr>
            <w:tcW w:w="37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Open Tax Years</w:t>
            </w:r>
          </w:p>
        </w:tc>
        <w:tc>
          <w:tcPr>
            <w:tcW w:w="1020" w:type="dxa"/>
            <w:vAlign w:val="bottom"/>
            <w:tcBorders>
              <w:bottom w:val="single" w:sz="8" w:color="auto"/>
            </w:tcBorders>
          </w:tcPr>
          <w:p>
            <w:pPr>
              <w:spacing w:after="0"/>
              <w:rPr>
                <w:sz w:val="20"/>
                <w:szCs w:val="20"/>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3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 (various)</w:t>
            </w:r>
          </w:p>
        </w:tc>
        <w:tc>
          <w:tcPr>
            <w:tcW w:w="3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70"/>
        </w:trPr>
        <w:tc>
          <w:tcPr>
            <w:tcW w:w="49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Kingdom</w:t>
            </w:r>
          </w:p>
        </w:tc>
        <w:tc>
          <w:tcPr>
            <w:tcW w:w="3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3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34"/>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Germany</w:t>
            </w:r>
          </w:p>
        </w:tc>
        <w:tc>
          <w:tcPr>
            <w:tcW w:w="3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2018</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LEASES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lease portfolio is primarily related to our office space, </w:t>
      </w:r>
      <w:r>
        <w:rPr>
          <w:rFonts w:ascii="Times New Roman" w:cs="Times New Roman" w:eastAsia="Times New Roman" w:hAnsi="Times New Roman"/>
          <w:sz w:val="18"/>
          <w:szCs w:val="18"/>
          <w:color w:val="212529"/>
        </w:rPr>
        <w:t>under various operating lease agreements.</w:t>
      </w:r>
      <w:r>
        <w:rPr>
          <w:rFonts w:ascii="Times New Roman" w:cs="Times New Roman" w:eastAsia="Times New Roman" w:hAnsi="Times New Roman"/>
          <w:sz w:val="18"/>
          <w:szCs w:val="18"/>
          <w:color w:val="auto"/>
        </w:rPr>
        <w:t xml:space="preserve">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IBR. </w:t>
      </w:r>
      <w:r>
        <w:rPr>
          <w:rFonts w:ascii="Times New Roman" w:cs="Times New Roman" w:eastAsia="Times New Roman" w:hAnsi="Times New Roman"/>
          <w:sz w:val="18"/>
          <w:szCs w:val="18"/>
          <w:color w:val="000000"/>
        </w:rPr>
        <w:t>Certain adjustments to our lease ROU</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assets may be required due to prepayments, lease incentives received and initial direct costs incurred. We account for the lease and non-lease components as a single lease component, which we recognize over the expected term on a straight-line expense basis in occupancy costs (a component of SG&amp;A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As of August 31, 2022</w:t>
      </w:r>
      <w:r>
        <w:rPr>
          <w:rFonts w:ascii="Times New Roman" w:cs="Times New Roman" w:eastAsia="Times New Roman" w:hAnsi="Times New Roman"/>
          <w:sz w:val="18"/>
          <w:szCs w:val="18"/>
          <w:color w:val="000000"/>
        </w:rPr>
        <w:t xml:space="preserve">, we recognized $159.5 million of Lease right-of-use assets, net and $237.8 million of combined Current lease liabilities and Long-term lease liabilities in the Consolidated Balance Sheet. Such leases </w:t>
      </w:r>
      <w:r>
        <w:rPr>
          <w:rFonts w:ascii="Times New Roman" w:cs="Times New Roman" w:eastAsia="Times New Roman" w:hAnsi="Times New Roman"/>
          <w:sz w:val="18"/>
          <w:szCs w:val="18"/>
          <w:color w:val="212529"/>
        </w:rPr>
        <w:t>have a remaining lease term ranging from less than one year to just over 13 years and</w:t>
      </w:r>
      <w:r>
        <w:rPr>
          <w:rFonts w:ascii="Times New Roman" w:cs="Times New Roman" w:eastAsia="Times New Roman" w:hAnsi="Times New Roman"/>
          <w:sz w:val="18"/>
          <w:szCs w:val="18"/>
          <w:color w:val="000000"/>
        </w:rPr>
        <w:t xml:space="preserve"> did not include any renewal or termination options that were not yet reasonably certain to be exercised.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reconciles our future undiscounted cash flows related to our operating leases and the reconciliation to the combined </w:t>
      </w:r>
      <w:r>
        <w:rPr>
          <w:rFonts w:ascii="Times New Roman" w:cs="Times New Roman" w:eastAsia="Times New Roman" w:hAnsi="Times New Roman"/>
          <w:sz w:val="18"/>
          <w:szCs w:val="18"/>
          <w:color w:val="000000"/>
        </w:rPr>
        <w:t>Current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and Long-term lease liabilities in the Consolidated Balance Sheets </w:t>
      </w:r>
      <w:r>
        <w:rPr>
          <w:rFonts w:ascii="Times New Roman" w:cs="Times New Roman" w:eastAsia="Times New Roman" w:hAnsi="Times New Roman"/>
          <w:sz w:val="18"/>
          <w:szCs w:val="18"/>
          <w:color w:val="212529"/>
        </w:rPr>
        <w:t>as of August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w w:val="97"/>
              </w:rPr>
              <w:t>Minimum Lease</w:t>
            </w:r>
          </w:p>
        </w:tc>
        <w:tc>
          <w:tcPr>
            <w:tcW w:w="0" w:type="dxa"/>
            <w:vAlign w:val="bottom"/>
          </w:tcPr>
          <w:p>
            <w:pPr>
              <w:spacing w:after="0"/>
              <w:rPr>
                <w:sz w:val="1"/>
                <w:szCs w:val="1"/>
                <w:color w:val="auto"/>
              </w:rPr>
            </w:pPr>
          </w:p>
        </w:tc>
      </w:tr>
      <w:tr>
        <w:trPr>
          <w:trHeight w:val="36"/>
        </w:trPr>
        <w:tc>
          <w:tcPr>
            <w:tcW w:w="6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0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38,696</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35,316</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114,016</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285,529</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47,722</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237,807</w:t>
            </w:r>
          </w:p>
        </w:tc>
        <w:tc>
          <w:tcPr>
            <w:tcW w:w="0" w:type="dxa"/>
            <w:vAlign w:val="bottom"/>
          </w:tcPr>
          <w:p>
            <w:pPr>
              <w:spacing w:after="0"/>
              <w:rPr>
                <w:sz w:val="1"/>
                <w:szCs w:val="1"/>
                <w:color w:val="auto"/>
              </w:rPr>
            </w:pPr>
          </w:p>
        </w:tc>
      </w:tr>
      <w:tr>
        <w:trPr>
          <w:trHeight w:val="48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cost related to the operating leases were as follows: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Years ended August 31,</w:t>
            </w: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312"/>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2</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60" w:hanging="328"/>
        <w:spacing w:after="0" w:line="284" w:lineRule="auto"/>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lease costs include costs associated with fixed lease payments and index-based variable payments that qualified for lease accounting under ASC 842, Leases and complied with the practical expedients and exceptions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elected by us.</w:t>
      </w:r>
    </w:p>
    <w:p>
      <w:pPr>
        <w:spacing w:after="0" w:line="63" w:lineRule="exact"/>
        <w:rPr>
          <w:sz w:val="20"/>
          <w:szCs w:val="20"/>
          <w:color w:val="auto"/>
        </w:rPr>
      </w:pPr>
    </w:p>
    <w:p>
      <w:pPr>
        <w:jc w:val="both"/>
        <w:ind w:left="660" w:hanging="328"/>
        <w:spacing w:after="0" w:line="267" w:lineRule="auto"/>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Variable lease costs were not included in the measurement of lease liabilities. These costs primarily include variable non-lease costs and leases that qualified for the short-term lease exception. Our variable non-lease costs include costs that were not fixed at the lease commencement date and are not dependent on an index or rate. These costs relate to utilities, real estate taxes, insurance and maintenance.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lease term and discount rate assumptions related to the operating leases recorded on the Consolidated Balance Sheets:</w:t>
      </w:r>
    </w:p>
    <w:p>
      <w:pPr>
        <w:spacing w:after="0" w:line="5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At August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20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20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4.4 %</w:t>
            </w:r>
          </w:p>
        </w:tc>
        <w:tc>
          <w:tcPr>
            <w:tcW w:w="9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64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Years ended August 31,</w:t>
            </w:r>
          </w:p>
        </w:tc>
        <w:tc>
          <w:tcPr>
            <w:tcW w:w="142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6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1, 3</w:t>
            </w:r>
          </w:p>
        </w:tc>
        <w:tc>
          <w:tcPr>
            <w:tcW w:w="20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2, 3</w:t>
            </w:r>
          </w:p>
        </w:tc>
        <w:tc>
          <w:tcPr>
            <w:tcW w:w="206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660" w:right="20" w:hanging="328"/>
        <w:spacing w:after="0" w:line="281" w:lineRule="auto"/>
        <w:tabs>
          <w:tab w:leader="none" w:pos="660" w:val="left"/>
        </w:tabs>
        <w:numPr>
          <w:ilvl w:val="0"/>
          <w:numId w:val="25"/>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212529"/>
        </w:rPr>
        <w:t>Primarily includes new lease arrangements entered into during the period and contract modifications that extend our lease terms and/or provide additional rights.</w:t>
      </w:r>
    </w:p>
    <w:p>
      <w:pPr>
        <w:spacing w:after="0" w:line="1" w:lineRule="exact"/>
        <w:rPr>
          <w:rFonts w:ascii="Times New Roman" w:cs="Times New Roman" w:eastAsia="Times New Roman" w:hAnsi="Times New Roman"/>
          <w:sz w:val="18"/>
          <w:szCs w:val="18"/>
          <w:i w:val="1"/>
          <w:iCs w:val="1"/>
          <w:color w:val="212529"/>
        </w:rPr>
      </w:pPr>
    </w:p>
    <w:p>
      <w:pPr>
        <w:ind w:left="660" w:hanging="328"/>
        <w:spacing w:after="0" w:line="281" w:lineRule="auto"/>
        <w:tabs>
          <w:tab w:leader="none" w:pos="660" w:val="left"/>
        </w:tabs>
        <w:numPr>
          <w:ilvl w:val="0"/>
          <w:numId w:val="25"/>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212529"/>
        </w:rPr>
        <w:t>Primarily includes modifications to our lease agreements based on contractual options or negotiations that allow for early termination that result in a reduction to our future minimum lease payments.</w:t>
      </w:r>
    </w:p>
    <w:p>
      <w:pPr>
        <w:spacing w:after="0" w:line="1" w:lineRule="exact"/>
        <w:rPr>
          <w:rFonts w:ascii="Times New Roman" w:cs="Times New Roman" w:eastAsia="Times New Roman" w:hAnsi="Times New Roman"/>
          <w:sz w:val="18"/>
          <w:szCs w:val="18"/>
          <w:i w:val="1"/>
          <w:iCs w:val="1"/>
          <w:color w:val="212529"/>
        </w:rPr>
      </w:pPr>
    </w:p>
    <w:p>
      <w:pPr>
        <w:ind w:left="660" w:hanging="328"/>
        <w:spacing w:after="0" w:line="284" w:lineRule="auto"/>
        <w:tabs>
          <w:tab w:leader="none" w:pos="660" w:val="left"/>
        </w:tabs>
        <w:numPr>
          <w:ilvl w:val="0"/>
          <w:numId w:val="25"/>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212529"/>
        </w:rPr>
        <w:t>We reclassified prior year comparative figures from Lease ROU assets obtained in exchange for lease liabilities to Reductions to ROU assets resulting from reductions to lease liabilities to conform to the current year's presentation.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we incurred an impairment charge of $31.5 million related to our lease ROU assets associated with vacating certain leased office space.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for more information on the lease ROU assets impairment methodology.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DEBT</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debt is net of related unamortized discount and debt issuance costs. Our total debt obligations as of August 31, 2022 and August 31, 2021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Contractual</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0"/>
        </w:trPr>
        <w:tc>
          <w:tcPr>
            <w:tcW w:w="6160" w:type="dxa"/>
            <w:vAlign w:val="bottom"/>
            <w:tcBorders>
              <w:bottom w:val="single" w:sz="8" w:color="CCEEFF"/>
            </w:tcBorders>
            <w:gridSpan w:val="2"/>
          </w:tcPr>
          <w:p>
            <w:pPr>
              <w:jc w:val="center"/>
              <w:ind w:right="49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Issuance Date</w:t>
            </w:r>
          </w:p>
        </w:tc>
        <w:tc>
          <w:tcPr>
            <w:tcW w:w="3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Maturity Date  August 31, 2022 August 31, 2021</w:t>
            </w:r>
          </w:p>
        </w:tc>
      </w:tr>
      <w:tr>
        <w:trPr>
          <w:trHeight w:val="216"/>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2019 Credit Agreement</w:t>
            </w:r>
          </w:p>
        </w:tc>
        <w:tc>
          <w:tcPr>
            <w:tcW w:w="1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2019</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(terminated on March 1,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3/29/2019</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3/29/2024 $</w:t>
            </w: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70"/>
        </w:trPr>
        <w:tc>
          <w:tcPr>
            <w:tcW w:w="6160" w:type="dxa"/>
            <w:vAlign w:val="bottom"/>
            <w:gridSpan w:val="2"/>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2022 Credit Agreement</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4"/>
              </w:rPr>
              <w:t>2022</w:t>
            </w: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3/1/2025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2022</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3/1/2027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60" w:type="dxa"/>
            <w:vAlign w:val="bottom"/>
            <w:gridSpan w:val="2"/>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4"/>
              </w:rPr>
              <w:t>2027</w:t>
            </w: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3/1/2027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2032</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3/1/2032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60" w:type="dxa"/>
            <w:vAlign w:val="bottom"/>
            <w:gridSpan w:val="2"/>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0"/>
        </w:trPr>
        <w:tc>
          <w:tcPr>
            <w:tcW w:w="6160" w:type="dxa"/>
            <w:vAlign w:val="bottom"/>
            <w:gridSpan w:val="2"/>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1,982,424</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574,535</w:t>
            </w:r>
          </w:p>
        </w:tc>
      </w:tr>
      <w:tr>
        <w:trPr>
          <w:trHeight w:val="21"/>
        </w:trPr>
        <w:tc>
          <w:tcPr>
            <w:tcW w:w="7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2022, annual maturities on our total debt obligations, based on contract maturity,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we entered into a credit agreement, as the borrower, with PNC Bank, National Association ("PNC"), as the administrative agent and lender (the "2019 Credit Agreement"), which provided a $750.0 million revolving credit facility (the "2019 Revolving Credit Facility"). We borrowed $575.0 million of the available $750.0 million provided by the 2019 Revolving Credit Facility. We were required to pay a commitment fee using a pricing grid based on the daily amount by which the available balance in the 2019 Revolving Credit Facility exceeded the borrowed amount. All outstanding loan amounts were reported as Long-term debt within the Consolidated Balance Sheets.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2019, we incurred approximately $0.9 million in debt issuance costs related to the 2019 Credit Agreement. These costs were capitalized as debt issuance costs and were amortized into Interest expense, net in the Consolidated Statements of Income ratably over the term of the 2019 Credit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Credit Agreement contained covenants and requirements restricting certain of our activities, which were usual and customary for this type of loan. In addition, the 2019 Credit Agreement required that we maintain a consolidated net leverage ratio, as measured by total net funded debt/EBITDA (as defined in the 2019 Credit Agreement) below a specified level as of the end of each fiscal quarter. We were in compliance with all covenants and requirements within the 2019 Credit Agreement through the termination date of the 2019 Credit Agreement.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terminated the 2019 Credit Agreement and amortized the remaining related $0.4 million of capitalized debt issuance costs into Interest expense, net in the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which provides for a senior unsecured term loan credit facility in an aggregate principal amount of $1.0 billion (the “2022 Term Facility”) and a senior unsecured revolving credit facility in an aggregate principal amount of $500.0 million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borrowed $1.0 billion under the 2022 Term Facility and $250.0 million of the available $500.0 million under the 2022 Revolving Facility. We are required to pay a commitment fee on the daily unused amount of the 2022 Revolving Facility using a pricing grid which remained at 0.125% through August 31, 2022. The commitment fee can fluctuate between 0.10% and 0.25% per annum based upon our senior unsecured non-credit enhanced long-term debt rating and our total leverage ratio.</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and to pay related transaction fees, costs and expenses.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incurred approximately $9.5 million in debt issuance costs related to the 2022 Credit Facilities. Debt issuance costs are presented in the Consolidated Balance Sheets as a direct deduction from the carrying amount of the related debt liability. Debt issuance costs are amortized to Interest expense, net in the Consolidated Statements of Income over the contractual term of the debt on a straight-line basis, which approximates the effective interest method.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2022 Term Facility are subject to scheduled amortization payments on the last day of each fiscal quarter, commencing with August 31, 2022 and ending on the last such day to occur prior to the maturity date. Each amortization payment is equal to 1.25% of the original principal amount of the 2022 Term Facility. Any remaining outstanding principal will be repaid in full on March 1, 2025, the maturity date of the 2022 Term Facility. The 2022 Credit Facilities are not otherwise subject to any mandatory prepayments. We may voluntarily prepay loans under the 2022 Credit Facilities at any time without premium or penalty. Prepayments of the 2022 Term Facility shall be applied to reduce the subsequent scheduled amortization payments in direct order of maturity. During fiscal 2022, we repaid $250.0 million under the 2022 Term Facility, inclusive of voluntary prepayments of $237.5 million.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Credit Agreement provides that loans denominated in U.S. dollars, at our option, will bear interest at either (i) the one-month Term SOFR (with a 0.1% credit spread adjustment and subject to a "zero" floor), (ii) the Daily Simple SOFR (with a 0.1% credit spread adjustment and subject to a "zero" floor) or (iii) an alternate base rate. Under the 2022 Credit Agreement, loans denominated in Pounds Sterling will bear interest at the Daily Simple Sterling Overnight Index Average ("SONIA") (subject to a "zero" floor) and loans denominated in Euros will bear interest at the Euro Interbank Offered Rate ("EURIBOR") (subject to a "zero" floor), in each case, plus an applicable interest rate margin. The interest rate margin will fluctuate based upon our senior unsecured non-credit enhanced long-term debt rating and our total leverage ratio.</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2022, the outstanding borrowings under the 2022 Credit Facilities bore interest at rates equal to the applicable one-month Term SOFR rate plus a 1.1% spread (comprised of a 1.0% interest rate margin based on a debt leverage pricing grid plus 0.1% credit spread adjustment). The spread remained consistent through August 31, 2022. Interest on the 2022 Credit Facilities is currently payable on the last business day of each month, in arrears.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limitations on indebtedness of non-guarantor subsidiaries, liens, sale and leaseback transactions, mergers and certain other fundamental changes and change in nature of business. The 2022 Credit Agreement contains a financial covenant requiring maintenance of a total leverage ratio, permitting netting up to $350.0 million of unrestricted cash and cash equivalents, no greater than (a) 4.00 to 1.00 as of the last day of each fiscal quarter beginning with the fiscal quarter ending on May 31, 2022, (b) 3.75 to 1.00 as of the last day of each fiscal quarter beginning with the fiscal quarter ending on August 31, 2023 and (c) 3.50 to 1.00 as of the last day of each fiscal quarter beginning with the fiscal quarter ending on August 31, 2024, but if we consummate a material acquisition where the aggregate consideration payable is $200.0 million or more, we may, on no more than two occasions, increase the maximum total leverage ratio then applicable under the financial covenant by 0.50 to 1.00 with respect to the fiscal quarter in which such material acquisition is consummated and the subsequent four consecutive fiscal quarters. We were in compliance with all the covenants and requirements of the 2022 Credit Agreement during fiscal 2022.</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2022 Credit Agreement provides that, in the event that we no longer have a senior unsecured non-credit enhanced long-term debt rating or a corporate rating from at least two of the rating agencies where such rating is Baa3, BBB- or BBB-, respectively, or higher, (i) our wholly-owned domestic subsidiaries will be required to guarantee the 2022 Credit Facilities, subject to customary exceptions, (ii) we will be subject to limitations on additional indebtedness, investments, dispositions, restricted payments and burdensome agreements, and (iii) we will be required to maintain an interest coverage ratio of no less than 3.00 to 1.00 for any period of four consecutive fiscal quarters. We were in compliance with the required interest coverage ratio during fiscal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during the third quarter of 2022 we incurred approximately $9.1 million in debt issuance costs related to the Senior Notes. Debt discounts and debt issuance costs are presented in the Consolidated Balance Sheets as a net direct deduction from the carrying amount of the related debt liability. The debt discounts and debt issuance costs are amortized to Interest expense, net in the Consolidated Statements of Income over the contractual term of the debt, leveraging the effective interest method.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and the 2032 Notes will mature on March 1, 2027 and March 1, 2032, respectively. Interest on the Senior Notes is payable semiannually in arrears on March 1 and September 1 of each year, beginning September 1, 2022. The Senior Notes are unsecured unsubordinated obligations, and will be effectively subordinated to any of our existing and future secured obligations, to the extent of the value of the assets securing such obligations.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5, 2020, we entered into the 2020 Swap Agreement to hedge a portion of our then outstanding floating LIBOR rate debt with a fixed interest rate of 0.7995%. On March 1, 2022, we terminated the 2020 Swap Agreement and concurrently entered into the 2022 Swap Agreement to hedge a portion of our outstanding floating SOFR rate debt with a fixed interest rate of 1.162%.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the 2019 Revolving Credit Facility and 2020 Swap Agreement were both terminated and concurrently replaced with the 2022 Credit Facilities, Senior Notes and 2022 Swap Agreement.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 months ended August 31, 2022 and August 31, 2021, we recorded interest expense on our outstanding debt, including the related amortization of debt issuance costs and debt discounts, net of the effects of the interest rate swap agreement, of $35.2 million and $8.1 million, respectively in Interest expense, net in the Consolidated Statements of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Including the related amortization of debt issuance costs and debt discounts, net of the effects of the related interest rate swap agreement, the year-to-date weighted average interest rate on amounts outstanding under our outstanding debt was 2.02% and 1.38% as of August 31, 2022 and August 31, 2021, respectively.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COMMITMENTS AND CONTINGENCIES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accrue non-income-tax liabilities for contingencies when we believe that a loss is probable, and the amount can be reasonably estimated. Judgment is required to determine both probability and the estimated amount of loss. If the reasonable 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pacing w:after="0" w:line="141" w:lineRule="exact"/>
        <w:rPr>
          <w:sz w:val="20"/>
          <w:szCs w:val="20"/>
          <w:color w:val="auto"/>
        </w:rPr>
      </w:pPr>
    </w:p>
    <w:p>
      <w:pPr>
        <w:ind w:right="320"/>
        <w:spacing w:after="0" w:line="462"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w:t>
      </w:r>
      <w:r>
        <w:rPr>
          <w:rFonts w:ascii="Times New Roman" w:cs="Times New Roman" w:eastAsia="Times New Roman" w:hAnsi="Times New Roman"/>
          <w:sz w:val="18"/>
          <w:szCs w:val="18"/>
          <w:b w:val="1"/>
          <w:bCs w:val="1"/>
          <w:color w:val="auto"/>
        </w:rPr>
        <w:t>Purchase Commitments with Suppliers and Vendors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Purchase obligations represent our legally-binding agreements to purchase fixed or minimum quantities at determinable prices. As of August 31, 2022 and 2021, we had total purchase obligations with suppliers of $373.9 million and $191.9 million, respectively. Our total purchase obligations at the end of both fiscal years primarily related to hosting services and data content. Hosting services support our technology investments related to our migration to cloud-based hosting services, the majority of which rely on third-party hosting providers. Data content is an integral component of the value we provide to our clients. Additional commitments relate primarily to third-party software providers. We also have contractual obligations related to our lease liabilities and outstanding debt. Refer to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2022 and 2021, we had outstanding capital commitments related to an investment of $1.1 million and $2.3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As of August 31, 2022 we had approximately $0.5 million, compared to $2.8 million as of August 31, 2021, of standby letters of credit outstanding. No liabilities related to these arrangements are reflected in the Company's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under audit by tax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nor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August 31, 2022,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from the Commonwealth of Massachusetts Department of Revenue (the "Commonwealth") relating to the tax periods from January 1, 2006 through December 31, 2013. On July 20, 2021, we received a Notice of Intent to Assess (the "Second Notice", cumulatively with the First Notice, the "Notices") additional sales taxes, interest and underpayment penalties from the Commonwealth relating to the tax periods from January 1, 2014 through December 31, 2018. Based upon the Notices, it is the Commonwealth's intention to assess sales tax, interest and underpayment penalties on previously recorded sales transactions. We have filed an appeal to the Notices and intend to contest any such assessment, if assessed. We continue to cooperate with the Commonwealth's inquiry with respect to the Notices.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2021, we received a letter (the “Letter”) from the Commonwealth relating to the tax periods from January 1, 2019 through June 30, 2021, requesting additional sales information to determine if a notice of intent to assess should be issued to FactSet with respect to these tax periods. Based upon a preliminary review of the Letter, we believe the Commonwealth might seek to assess sales tax, interest and underpayment penalties on previously recorded sales transactions. We are cooperating with the Commonwealth's inquiry with respect to the Letter.</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August 31, 2022, we have concluded that a payment to the Commonwealth is probable. We recorded an accrual which is not material to our consolidated financial statements. While we believe that the assumptions and estimates used to determine the accrual are reasonable, future developments could result in adjustments being made to this accrual. If we are presented with a formal assessment for any of these matters, we believe that we will ultimately prevail; however, if we do not prevail, the amount of any assessment could have a material impact on our consolidated financial position, results of operations and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The maximum potential amount of future payments we could be required to make under these indemnification obligations is unlimited; however, we have a director and officer insurance policy that we believe mitigates our exposure and may enable us to recover a portion of any future amounts paid. We believe the estimated fair value of these indemnification obligations is immaterial.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STOCKHOLDERS’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were as follows:</w:t>
            </w:r>
          </w:p>
        </w:tc>
        <w:tc>
          <w:tcPr>
            <w:tcW w:w="2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6580" w:type="dxa"/>
            <w:vAlign w:val="bottom"/>
          </w:tcPr>
          <w:p>
            <w:pPr>
              <w:spacing w:after="0"/>
              <w:rPr>
                <w:sz w:val="24"/>
                <w:szCs w:val="24"/>
                <w:color w:val="auto"/>
              </w:rPr>
            </w:pPr>
          </w:p>
        </w:tc>
        <w:tc>
          <w:tcPr>
            <w:tcW w:w="3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Years ended August 31,</w:t>
            </w:r>
          </w:p>
        </w:tc>
        <w:tc>
          <w:tcPr>
            <w:tcW w:w="1040" w:type="dxa"/>
            <w:vAlign w:val="bottom"/>
          </w:tcPr>
          <w:p>
            <w:pPr>
              <w:spacing w:after="0"/>
              <w:rPr>
                <w:sz w:val="24"/>
                <w:szCs w:val="24"/>
                <w:color w:val="auto"/>
              </w:rPr>
            </w:pPr>
          </w:p>
        </w:tc>
      </w:tr>
      <w:tr>
        <w:trPr>
          <w:trHeight w:val="270"/>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 at September 1, 2021, 2020 and 2019, respectively</w:t>
            </w:r>
          </w:p>
        </w:tc>
        <w:tc>
          <w:tcPr>
            <w:tcW w:w="2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37,615</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38,030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for employee stock plans</w:t>
            </w:r>
          </w:p>
        </w:tc>
        <w:tc>
          <w:tcPr>
            <w:tcW w:w="2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490</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395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 from employees</w:t>
            </w:r>
            <w:r>
              <w:rPr>
                <w:rFonts w:ascii="Times New Roman" w:cs="Times New Roman" w:eastAsia="Times New Roman" w:hAnsi="Times New Roman"/>
                <w:sz w:val="9"/>
                <w:szCs w:val="9"/>
                <w:color w:val="auto"/>
              </w:rPr>
              <w:t>(1)</w:t>
            </w:r>
          </w:p>
        </w:tc>
        <w:tc>
          <w:tcPr>
            <w:tcW w:w="2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Repurchase of common stock under the share repurchase program</w:t>
            </w:r>
          </w:p>
        </w:tc>
        <w:tc>
          <w:tcPr>
            <w:tcW w:w="2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(797)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 at August 31, 2022, 2021, and 2020 respectively</w:t>
            </w:r>
          </w:p>
        </w:tc>
        <w:tc>
          <w:tcPr>
            <w:tcW w:w="2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38,045</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37,615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38,030</w:t>
            </w:r>
          </w:p>
        </w:tc>
      </w:tr>
    </w:tbl>
    <w:p>
      <w:pPr>
        <w:spacing w:after="0" w:line="115" w:lineRule="exact"/>
        <w:rPr>
          <w:sz w:val="20"/>
          <w:szCs w:val="20"/>
          <w:color w:val="auto"/>
        </w:rPr>
      </w:pPr>
    </w:p>
    <w:p>
      <w:pPr>
        <w:ind w:left="660" w:right="600" w:hanging="328"/>
        <w:spacing w:after="0" w:line="284" w:lineRule="auto"/>
        <w:tabs>
          <w:tab w:leader="none" w:pos="654"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For fiscal years </w:t>
      </w:r>
      <w:r>
        <w:rPr>
          <w:rFonts w:ascii="Times New Roman" w:cs="Times New Roman" w:eastAsia="Times New Roman" w:hAnsi="Times New Roman"/>
          <w:sz w:val="18"/>
          <w:szCs w:val="18"/>
          <w:color w:val="auto"/>
        </w:rPr>
        <w:t>2022, 2021 and 2020</w:t>
      </w:r>
      <w:r>
        <w:rPr>
          <w:rFonts w:ascii="Times New Roman" w:cs="Times New Roman" w:eastAsia="Times New Roman" w:hAnsi="Times New Roman"/>
          <w:sz w:val="18"/>
          <w:szCs w:val="18"/>
          <w:i w:val="1"/>
          <w:iCs w:val="1"/>
          <w:color w:val="auto"/>
        </w:rPr>
        <w:t>, we repurchased 14,489, 12,932 and 11,945 shares, or $6.2 million, $4.3 million and $3.5 million, of common stock, respectively, primarily to satisfy tax withholding obligations due upon the vesting of stock-based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31, 2022, a total of $181.3 million remained authorized for future share repurchases under our share repurchase program. There is no defined number of shares to be repurchased over a specified timeframe through the life of the program.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of our common stock under the program from time-to-time in the open market and privately negotiated transactions, subject to market conditions.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August 31, 2022, we repurchased 46,200 shares for $18.6 million compared with 797,385 shares for $264.7 million for the year ended August 31, 2021.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Facilities.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2022 Credit Facilities.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awards entitle the holders to receive shares of common stock as the awards vest over time. For the year ended August 31, 2022, 39,499 shares of previously granted restricted stock vested and were included in common stock outstanding as of August 31, 2022 (recorded net of 14,489 shares repurchased from employees at a cost of $6.2 million to cover their cost of taxes upon vesting of the restricted stock). For the year ended August 31, 2021, 34,607 shares of previously granted restricted stock vested and were included in common stock outstanding as of August 31, 2021 (recorded net of 12,932 shares repurchased from employees at a cost of $4.3 million to cover their cost of taxes upon vesting of the restricted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declared dividends for the full years ended August 31, 2022 and August 31, 2021 as follows:</w:t>
      </w:r>
    </w:p>
    <w:p>
      <w:pPr>
        <w:spacing w:after="0" w:line="3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Dividends per</w:t>
      </w:r>
    </w:p>
    <w:tbl>
      <w:tblPr>
        <w:tblLayout w:type="fixed"/>
        <w:tblInd w:w="0" w:type="dxa"/>
        <w:tblCellMar>
          <w:top w:w="0" w:type="dxa"/>
          <w:left w:w="0" w:type="dxa"/>
          <w:bottom w:w="0" w:type="dxa"/>
          <w:right w:w="0" w:type="dxa"/>
        </w:tblCellMar>
      </w:tblPr>
      <w:tr>
        <w:trPr>
          <w:trHeight w:val="174"/>
        </w:trPr>
        <w:tc>
          <w:tcPr>
            <w:tcW w:w="22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Year Ended</w:t>
            </w:r>
          </w:p>
        </w:tc>
        <w:tc>
          <w:tcPr>
            <w:tcW w:w="680" w:type="dxa"/>
            <w:vAlign w:val="bottom"/>
          </w:tcPr>
          <w:p>
            <w:pPr>
              <w:spacing w:after="0"/>
              <w:rPr>
                <w:sz w:val="15"/>
                <w:szCs w:val="15"/>
                <w:color w:val="auto"/>
              </w:rPr>
            </w:pPr>
          </w:p>
        </w:tc>
        <w:tc>
          <w:tcPr>
            <w:tcW w:w="1540" w:type="dxa"/>
            <w:vAlign w:val="bottom"/>
          </w:tcPr>
          <w:p>
            <w:pPr>
              <w:jc w:val="right"/>
              <w:ind w:right="490"/>
              <w:spacing w:after="0" w:line="174" w:lineRule="exact"/>
              <w:rPr>
                <w:sz w:val="20"/>
                <w:szCs w:val="20"/>
                <w:color w:val="auto"/>
              </w:rPr>
            </w:pPr>
            <w:r>
              <w:rPr>
                <w:rFonts w:ascii="Times New Roman" w:cs="Times New Roman" w:eastAsia="Times New Roman" w:hAnsi="Times New Roman"/>
                <w:sz w:val="18"/>
                <w:szCs w:val="18"/>
                <w:color w:val="auto"/>
              </w:rPr>
              <w:t>Share of</w:t>
            </w:r>
          </w:p>
        </w:tc>
        <w:tc>
          <w:tcPr>
            <w:tcW w:w="276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Record Date</w:t>
            </w:r>
          </w:p>
        </w:tc>
        <w:tc>
          <w:tcPr>
            <w:tcW w:w="180" w:type="dxa"/>
            <w:vAlign w:val="bottom"/>
          </w:tcPr>
          <w:p>
            <w:pPr>
              <w:spacing w:after="0"/>
              <w:rPr>
                <w:sz w:val="15"/>
                <w:szCs w:val="15"/>
                <w:color w:val="auto"/>
              </w:rPr>
            </w:pPr>
          </w:p>
        </w:tc>
        <w:tc>
          <w:tcPr>
            <w:tcW w:w="136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Total amount</w:t>
            </w:r>
          </w:p>
        </w:tc>
        <w:tc>
          <w:tcPr>
            <w:tcW w:w="240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0.82</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30,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16, 2021</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0.82</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February 28, 2022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17, 2022</w:t>
            </w: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0.89</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31, 2022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June 16, 2022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0.89</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 31, 2022</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w:t>
            </w: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15, 2022</w:t>
            </w:r>
          </w:p>
        </w:tc>
        <w:tc>
          <w:tcPr>
            <w:tcW w:w="0" w:type="dxa"/>
            <w:vAlign w:val="bottom"/>
          </w:tcPr>
          <w:p>
            <w:pPr>
              <w:spacing w:after="0"/>
              <w:rPr>
                <w:sz w:val="1"/>
                <w:szCs w:val="1"/>
                <w:color w:val="auto"/>
              </w:rPr>
            </w:pPr>
          </w:p>
        </w:tc>
      </w:tr>
      <w:tr>
        <w:trPr>
          <w:trHeight w:val="223"/>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Dividends</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129,693</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November 30,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17, 2020</w:t>
            </w: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26, 2021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29,141</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18, 2021</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0.82</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31, 2021</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June 17, 2021</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0.82</w:t>
            </w:r>
          </w:p>
        </w:tc>
        <w:tc>
          <w:tcPr>
            <w:tcW w:w="2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August 31, 2021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2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September 16, 2021</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Dividends</w:t>
            </w:r>
          </w:p>
        </w:tc>
        <w:tc>
          <w:tcPr>
            <w:tcW w:w="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120,224</w:t>
            </w: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2022, our Board of Directors approved a 8.5% increase in the regular quarterly dividend from $0.82 to $0.89 per share.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are as follows: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August 31, 2022</w:t>
            </w:r>
          </w:p>
        </w:tc>
        <w:tc>
          <w:tcPr>
            <w:tcW w:w="400" w:type="dxa"/>
            <w:vAlign w:val="bottom"/>
          </w:tcPr>
          <w:p>
            <w:pPr>
              <w:spacing w:after="0"/>
              <w:rPr>
                <w:sz w:val="22"/>
                <w:szCs w:val="22"/>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losses on cash flow hedges, net of tax</w:t>
            </w:r>
          </w:p>
        </w:tc>
        <w:tc>
          <w:tcPr>
            <w:tcW w:w="264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40" w:type="dxa"/>
            <w:vAlign w:val="bottom"/>
          </w:tcPr>
          <w:p>
            <w:pPr>
              <w:spacing w:after="0"/>
              <w:rPr>
                <w:sz w:val="19"/>
                <w:szCs w:val="19"/>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(36,867)</w:t>
            </w:r>
          </w:p>
        </w:tc>
        <w:tc>
          <w:tcPr>
            <w:tcW w:w="40" w:type="dxa"/>
            <w:vAlign w:val="bottom"/>
          </w:tcPr>
          <w:p>
            <w:pPr>
              <w:spacing w:after="0"/>
              <w:rPr>
                <w:sz w:val="19"/>
                <w:szCs w:val="19"/>
                <w:color w:val="auto"/>
              </w:rPr>
            </w:pPr>
          </w:p>
        </w:tc>
      </w:tr>
      <w:tr>
        <w:trPr>
          <w:trHeight w:val="22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Total AOCL</w:t>
            </w:r>
          </w:p>
        </w:tc>
        <w:tc>
          <w:tcPr>
            <w:tcW w:w="2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(38,962)</w:t>
            </w:r>
          </w:p>
        </w:tc>
        <w:tc>
          <w:tcPr>
            <w:tcW w:w="40" w:type="dxa"/>
            <w:vAlign w:val="bottom"/>
          </w:tcPr>
          <w:p>
            <w:pPr>
              <w:spacing w:after="0"/>
              <w:rPr>
                <w:sz w:val="19"/>
                <w:szCs w:val="19"/>
                <w:color w:val="auto"/>
              </w:rPr>
            </w:pPr>
          </w:p>
        </w:tc>
      </w:tr>
      <w:tr>
        <w:trPr>
          <w:trHeight w:val="864"/>
        </w:trPr>
        <w:tc>
          <w:tcPr>
            <w:tcW w:w="5040" w:type="dxa"/>
            <w:vAlign w:val="bottom"/>
          </w:tcPr>
          <w:p>
            <w:pPr>
              <w:spacing w:after="0"/>
              <w:rPr>
                <w:sz w:val="24"/>
                <w:szCs w:val="24"/>
                <w:color w:val="auto"/>
              </w:rPr>
            </w:pPr>
          </w:p>
        </w:tc>
        <w:tc>
          <w:tcPr>
            <w:tcW w:w="224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EARNINGS PER SHARE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number of weighted average common shares outstanding during the period. Diluted EPS is computed using the treasury stock method, by dividing net income by the cumulative weighted average common shares that are outstanding or are issuable upon the exercise of outstanding stock-based compensation awards during the period. Performance-based awards stock-based compensation awards that are out-of-the-money are omitted from the calculation of diluted EPS until the reporting period in which the performance criteria has been met.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and diluted earnings per share ("EPS") computation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8"/>
              </w:rPr>
              <w:t>Twelve Months Ended</w:t>
            </w:r>
          </w:p>
        </w:tc>
        <w:tc>
          <w:tcPr>
            <w:tcW w:w="4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August 31,</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396,917</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399,590</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372,938</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 share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 associated with stock-based compensation plan</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Dilutive potential common shares consist of stock options and unvested performance-based awards. As of August 31, 2022 and August 31, 2021, there were 329,189 and 1,750 stock options excluded from the calculation of diluted EPS, respectively, as they were out-of-the-money and their inclusion would have been anti-dilutive.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Performance-based awards are omitted from the calculation of diluted EPS until it is determined that the performance criteria has been met at the end of the reporting period. As of August 31, 2022 and August 31, 2021, there were 60,725 and 68,990 performance-based awards excluded from the calculation of diluted EPS,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STOCK-BASED COMPENSATION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compensation expense for all stock-based awards made to our employees and board of directors ("non-employees") using the Black-Scholes model or the lattice-binomial option-pricing model ("binomial model") to estimate the grant-date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the Black-Scholes model for new non-employee director stock option grants, non-employee restricted stock units ("RSUs") and common stock acquired under our employee stock purchase plan ("ESPP"), and the binomial model for new employee stock option grants, employee RSUs and employee performance share units ("PSUs").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models involve certain estimates and assumptions such as:</w:t>
      </w:r>
    </w:p>
    <w:p>
      <w:pPr>
        <w:spacing w:after="0" w:line="181" w:lineRule="exact"/>
        <w:rPr>
          <w:sz w:val="20"/>
          <w:szCs w:val="20"/>
          <w:color w:val="auto"/>
        </w:rPr>
      </w:pPr>
    </w:p>
    <w:p>
      <w:pPr>
        <w:ind w:left="66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9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binomial model incorporates market conditions, vesting restrictions and exercise patterns.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stock-based awards with service conditions, we use the straight-line method to recognize compensation expense over the requisite service period. For stock-based awards that also include performance conditions, the graded vesting method is used to determine compensation expense over the requisite service period if achievement of the performance condition is determined to be probable, which is reviewed on a quarterly basis. Compensation expense for all stock-based awards is recorded net of estimated forfeitures which are based on historical forfeiture rates and revised if actual forfeitures differ from those estimates.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RSUs and PSUs, the grant date fair value is measured by reducing the grant date price of our common stock by the present value of the dividends expected to be paid on the underlying stock during the requisite service period, discounted at the appropriate risk-free interest 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total stock-based compensation expense of $56.0 million, $45.1 million and $36.6 million in fiscal 2022, 2021 and 2020, respectively. As of August 31, 2022, $109.3 million of total unrecognized compensation expense related to non-vested awards is expected to be recognized over a weighted average period of 3.0 years. There was no stock-based compensation capitalized as of August 31, 2022 and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4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5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Aggregate Intrinsic</w:t>
            </w:r>
          </w:p>
        </w:tc>
        <w:tc>
          <w:tcPr>
            <w:tcW w:w="14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Outstanding</w:t>
            </w:r>
          </w:p>
        </w:tc>
        <w:tc>
          <w:tcPr>
            <w:tcW w:w="340" w:type="dxa"/>
            <w:vAlign w:val="bottom"/>
          </w:tcPr>
          <w:p>
            <w:pPr>
              <w:spacing w:after="0"/>
              <w:rPr>
                <w:sz w:val="15"/>
                <w:szCs w:val="15"/>
                <w:color w:val="auto"/>
              </w:rPr>
            </w:pPr>
          </w:p>
        </w:tc>
        <w:tc>
          <w:tcPr>
            <w:tcW w:w="14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Exercise Price Per</w:t>
            </w:r>
          </w:p>
        </w:tc>
        <w:tc>
          <w:tcPr>
            <w:tcW w:w="160" w:type="dxa"/>
            <w:vAlign w:val="bottom"/>
          </w:tcPr>
          <w:p>
            <w:pPr>
              <w:spacing w:after="0"/>
              <w:rPr>
                <w:sz w:val="15"/>
                <w:szCs w:val="15"/>
                <w:color w:val="auto"/>
              </w:rPr>
            </w:pPr>
          </w:p>
        </w:tc>
        <w:tc>
          <w:tcPr>
            <w:tcW w:w="13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Grant Date Fair</w:t>
            </w:r>
          </w:p>
        </w:tc>
        <w:tc>
          <w:tcPr>
            <w:tcW w:w="1540" w:type="dxa"/>
            <w:vAlign w:val="bottom"/>
            <w:gridSpan w:val="2"/>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Contractual Life</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(thousands)</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Share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Value</w:t>
            </w:r>
          </w:p>
        </w:tc>
        <w:tc>
          <w:tcPr>
            <w:tcW w:w="1540" w:type="dxa"/>
            <w:vAlign w:val="bottom"/>
            <w:tcBorders>
              <w:bottom w:val="single" w:sz="8" w:color="auto"/>
            </w:tcBorders>
            <w:gridSpan w:val="2"/>
          </w:tcPr>
          <w:p>
            <w:pPr>
              <w:jc w:val="right"/>
              <w:ind w:right="30"/>
              <w:spacing w:after="0" w:line="230" w:lineRule="exact"/>
              <w:rPr>
                <w:sz w:val="20"/>
                <w:szCs w:val="20"/>
                <w:color w:val="auto"/>
              </w:rPr>
            </w:pPr>
            <w:r>
              <w:rPr>
                <w:rFonts w:ascii="Times New Roman" w:cs="Times New Roman" w:eastAsia="Times New Roman" w:hAnsi="Times New Roman"/>
                <w:sz w:val="18"/>
                <w:szCs w:val="18"/>
                <w:color w:val="auto"/>
              </w:rPr>
              <w:t xml:space="preserve">Value </w:t>
            </w:r>
            <w:r>
              <w:rPr>
                <w:rFonts w:ascii="Times New Roman" w:cs="Times New Roman" w:eastAsia="Times New Roman" w:hAnsi="Times New Roman"/>
                <w:sz w:val="18"/>
                <w:szCs w:val="18"/>
                <w:i w:val="1"/>
                <w:iCs w:val="1"/>
                <w:color w:val="auto"/>
              </w:rPr>
              <w:t>(millions)</w:t>
            </w:r>
            <w:r>
              <w:rPr>
                <w:rFonts w:ascii="Times New Roman" w:cs="Times New Roman" w:eastAsia="Times New Roman" w:hAnsi="Times New Roman"/>
                <w:sz w:val="23"/>
                <w:szCs w:val="23"/>
                <w:i w:val="1"/>
                <w:iCs w:val="1"/>
                <w:color w:val="auto"/>
                <w:vertAlign w:val="superscript"/>
              </w:rPr>
              <w:t>(1)</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(years)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2019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 employees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employees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 employees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Options vested and exercisable as of August</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Options expected to vest as of August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60" w:right="20" w:hanging="328"/>
        <w:spacing w:after="0" w:line="281" w:lineRule="auto"/>
        <w:tabs>
          <w:tab w:leader="none" w:pos="654"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aggregate intrinsic value represents the difference between our closing stock price as of August 31, 2022 of $433.34 and the exercise price, multiplied by the number of options exercisable as of that date.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4"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pre-tax intrinsic value of stock options exercised during fiscal 2022, 2021 and 2020 was $104.1 million, $54.3 million and $85.0 million, respectively</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4"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August 31, 2022, a total of 2,089,231 shares underlying the stock option awards were unvested and outstanding, which results in unamortized stock-based compensation of $60.1 million to be recognized as stock-based compensation expense over the remaining vesting period of 3.2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twelve months ended August 31, 2022, the majority of the 348,458 employee stock options granted under the FactSet Research 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Award Plan as Amended and Restated (the "LTIP") were related to the annual employee grant on November 1, 2021.</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November 1, 2021 grant vests ratably over five years on the anniversary date of the grant with the majority of the remaining employee stock options granted during fiscal 2022 vesting ratably over four years. All employee stock options granted during fiscal 2022 expire ten years from the date the options were granted.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the weighted average inputs to the binomial model to estimate the grant-date fair value of the employee stock options granted.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2022</w:t>
            </w:r>
          </w:p>
        </w:tc>
        <w:tc>
          <w:tcPr>
            <w:tcW w:w="2200" w:type="dxa"/>
            <w:vAlign w:val="bottom"/>
            <w:tcBorders>
              <w:bottom w:val="single" w:sz="8" w:color="auto"/>
            </w:tcBorders>
            <w:gridSpan w:val="2"/>
          </w:tcPr>
          <w:p>
            <w:pPr>
              <w:jc w:val="center"/>
              <w:ind w:right="76"/>
              <w:spacing w:after="0"/>
              <w:rPr>
                <w:sz w:val="20"/>
                <w:szCs w:val="20"/>
                <w:color w:val="auto"/>
              </w:rPr>
            </w:pPr>
            <w:r>
              <w:rPr>
                <w:rFonts w:ascii="Times New Roman" w:cs="Times New Roman" w:eastAsia="Times New Roman" w:hAnsi="Times New Roman"/>
                <w:sz w:val="18"/>
                <w:szCs w:val="18"/>
                <w:color w:val="auto"/>
                <w:w w:val="99"/>
              </w:rPr>
              <w:t>2021</w:t>
            </w:r>
          </w:p>
        </w:tc>
        <w:tc>
          <w:tcPr>
            <w:tcW w:w="1280" w:type="dxa"/>
            <w:vAlign w:val="bottom"/>
            <w:tcBorders>
              <w:bottom w:val="single" w:sz="8" w:color="auto"/>
            </w:tcBorders>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2020</w:t>
            </w:r>
          </w:p>
        </w:tc>
        <w:tc>
          <w:tcPr>
            <w:tcW w:w="720" w:type="dxa"/>
            <w:vAlign w:val="bottom"/>
            <w:tcBorders>
              <w:bottom w:val="single" w:sz="8" w:color="auto"/>
            </w:tcBorders>
          </w:tcPr>
          <w:p>
            <w:pPr>
              <w:spacing w:after="0"/>
              <w:rPr>
                <w:sz w:val="20"/>
                <w:szCs w:val="20"/>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structure of risk-free interest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2.99%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1.67%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760" w:type="dxa"/>
            <w:vAlign w:val="bottom"/>
          </w:tcPr>
          <w:p>
            <w:pPr>
              <w:spacing w:after="0"/>
              <w:rPr>
                <w:sz w:val="19"/>
                <w:szCs w:val="19"/>
                <w:color w:val="auto"/>
              </w:rPr>
            </w:pPr>
          </w:p>
        </w:tc>
        <w:tc>
          <w:tcPr>
            <w:tcW w:w="1240" w:type="dxa"/>
            <w:vAlign w:val="bottom"/>
          </w:tcPr>
          <w:p>
            <w:pPr>
              <w:jc w:val="center"/>
              <w:ind w:right="896"/>
              <w:spacing w:after="0"/>
              <w:rPr>
                <w:sz w:val="20"/>
                <w:szCs w:val="20"/>
                <w:color w:val="auto"/>
              </w:rPr>
            </w:pPr>
            <w:r>
              <w:rPr>
                <w:rFonts w:ascii="Times New Roman" w:cs="Times New Roman" w:eastAsia="Times New Roman" w:hAnsi="Times New Roman"/>
                <w:sz w:val="18"/>
                <w:szCs w:val="18"/>
                <w:color w:val="auto"/>
                <w:w w:val="97"/>
              </w:rPr>
              <w:t>6.9</w:t>
            </w:r>
          </w:p>
        </w:tc>
        <w:tc>
          <w:tcPr>
            <w:tcW w:w="900" w:type="dxa"/>
            <w:vAlign w:val="bottom"/>
          </w:tcPr>
          <w:p>
            <w:pPr>
              <w:spacing w:after="0"/>
              <w:rPr>
                <w:sz w:val="19"/>
                <w:szCs w:val="19"/>
                <w:color w:val="auto"/>
              </w:rPr>
            </w:pPr>
          </w:p>
        </w:tc>
        <w:tc>
          <w:tcPr>
            <w:tcW w:w="1300" w:type="dxa"/>
            <w:vAlign w:val="bottom"/>
          </w:tcPr>
          <w:p>
            <w:pPr>
              <w:jc w:val="center"/>
              <w:ind w:right="976"/>
              <w:spacing w:after="0"/>
              <w:rPr>
                <w:sz w:val="20"/>
                <w:szCs w:val="20"/>
                <w:color w:val="auto"/>
              </w:rPr>
            </w:pPr>
            <w:r>
              <w:rPr>
                <w:rFonts w:ascii="Times New Roman" w:cs="Times New Roman" w:eastAsia="Times New Roman" w:hAnsi="Times New Roman"/>
                <w:sz w:val="18"/>
                <w:szCs w:val="18"/>
                <w:color w:val="auto"/>
              </w:rPr>
              <w:t>7.1</w:t>
            </w:r>
          </w:p>
        </w:tc>
        <w:tc>
          <w:tcPr>
            <w:tcW w:w="12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7"/>
              </w:rPr>
              <w:t>7.2</w:t>
            </w:r>
          </w:p>
        </w:tc>
        <w:tc>
          <w:tcPr>
            <w:tcW w:w="7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structure of volatility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27%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0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8"/>
              </w:rPr>
              <w:t>0.86%</w:t>
            </w:r>
          </w:p>
        </w:tc>
        <w:tc>
          <w:tcPr>
            <w:tcW w:w="2200" w:type="dxa"/>
            <w:vAlign w:val="bottom"/>
            <w:gridSpan w:val="2"/>
          </w:tcPr>
          <w:p>
            <w:pPr>
              <w:jc w:val="center"/>
              <w:ind w:right="76"/>
              <w:spacing w:after="0"/>
              <w:rPr>
                <w:sz w:val="20"/>
                <w:szCs w:val="20"/>
                <w:color w:val="auto"/>
              </w:rPr>
            </w:pPr>
            <w:r>
              <w:rPr>
                <w:rFonts w:ascii="Times New Roman" w:cs="Times New Roman" w:eastAsia="Times New Roman" w:hAnsi="Times New Roman"/>
                <w:sz w:val="18"/>
                <w:szCs w:val="18"/>
                <w:color w:val="auto"/>
              </w:rPr>
              <w:t>0.12%</w:t>
            </w:r>
          </w:p>
        </w:tc>
        <w:tc>
          <w:tcPr>
            <w:tcW w:w="12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8"/>
              </w:rPr>
              <w:t>1.09%</w:t>
            </w:r>
          </w:p>
        </w:tc>
        <w:tc>
          <w:tcPr>
            <w:tcW w:w="720" w:type="dxa"/>
            <w:vAlign w:val="bottom"/>
          </w:tcPr>
          <w:p>
            <w:pPr>
              <w:spacing w:after="0"/>
              <w:rPr>
                <w:sz w:val="20"/>
                <w:szCs w:val="20"/>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 Stock Option Awards</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 xml:space="preserve">On </w:t>
      </w:r>
      <w:r>
        <w:rPr>
          <w:rFonts w:ascii="Times New Roman" w:cs="Times New Roman" w:eastAsia="Times New Roman" w:hAnsi="Times New Roman"/>
          <w:sz w:val="17"/>
          <w:szCs w:val="17"/>
          <w:color w:val="auto"/>
        </w:rPr>
        <w:t>January 18, 2022, we granted 6,329 stock options under the FactSet Research Systems Inc. Non-Employee Directors’ Stock Option and Award Plan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Amended and Restated (the “Director Plan”) which provides for the grant of stock-based awards, including stock options, to non-employee directors of FactSet. The expiration date of the Director Plan is December 19, 2027. The January 18, 2022 grant vests 100% after three years on the anniversary date of the grant and expires seven years from the date the options were granted.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Restricted Stock Award activity is as follows:</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3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award data)</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Weighted Average Grant</w:t>
            </w:r>
          </w:p>
        </w:tc>
        <w:tc>
          <w:tcPr>
            <w:tcW w:w="0" w:type="dxa"/>
            <w:vAlign w:val="bottom"/>
          </w:tcPr>
          <w:p>
            <w:pPr>
              <w:spacing w:after="0"/>
              <w:rPr>
                <w:sz w:val="1"/>
                <w:szCs w:val="1"/>
                <w:color w:val="auto"/>
              </w:rPr>
            </w:pPr>
          </w:p>
        </w:tc>
      </w:tr>
      <w:tr>
        <w:trPr>
          <w:trHeight w:val="234"/>
        </w:trPr>
        <w:tc>
          <w:tcPr>
            <w:tcW w:w="6340" w:type="dxa"/>
            <w:vAlign w:val="bottom"/>
            <w:tcBorders>
              <w:bottom w:val="single" w:sz="8" w:color="auto"/>
            </w:tcBorders>
            <w:gridSpan w:val="5"/>
            <w:vMerge w:val="continue"/>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Outstanding</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Date Fair Value Per Award</w:t>
            </w:r>
          </w:p>
        </w:tc>
        <w:tc>
          <w:tcPr>
            <w:tcW w:w="0" w:type="dxa"/>
            <w:vAlign w:val="bottom"/>
          </w:tcPr>
          <w:p>
            <w:pPr>
              <w:spacing w:after="0"/>
              <w:rPr>
                <w:sz w:val="1"/>
                <w:szCs w:val="1"/>
                <w:color w:val="auto"/>
              </w:rPr>
            </w:pPr>
          </w:p>
        </w:tc>
      </w:tr>
      <w:tr>
        <w:trPr>
          <w:trHeight w:val="223"/>
        </w:trPr>
        <w:tc>
          <w:tcPr>
            <w:tcW w:w="6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2019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205.47</w:t>
            </w:r>
          </w:p>
        </w:tc>
        <w:tc>
          <w:tcPr>
            <w:tcW w:w="0" w:type="dxa"/>
            <w:vAlign w:val="bottom"/>
          </w:tcPr>
          <w:p>
            <w:pPr>
              <w:spacing w:after="0"/>
              <w:rPr>
                <w:sz w:val="1"/>
                <w:szCs w:val="1"/>
                <w:color w:val="auto"/>
              </w:rPr>
            </w:pPr>
          </w:p>
        </w:tc>
      </w:tr>
      <w:tr>
        <w:trPr>
          <w:trHeight w:val="229"/>
        </w:trPr>
        <w:tc>
          <w:tcPr>
            <w:tcW w:w="6340" w:type="dxa"/>
            <w:vAlign w:val="bottom"/>
            <w:gridSpan w:val="5"/>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employee Restricted Stock Awards</w:t>
            </w:r>
            <w:r>
              <w:rPr>
                <w:rFonts w:ascii="Times New Roman" w:cs="Times New Roman" w:eastAsia="Times New Roman" w:hAnsi="Times New Roman"/>
                <w:sz w:val="23"/>
                <w:szCs w:val="23"/>
                <w:color w:val="auto"/>
                <w:vertAlign w:val="superscript"/>
              </w:rPr>
              <w:t>(1) (2)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252.17</w:t>
            </w:r>
          </w:p>
        </w:tc>
        <w:tc>
          <w:tcPr>
            <w:tcW w:w="0" w:type="dxa"/>
            <w:vAlign w:val="bottom"/>
          </w:tcPr>
          <w:p>
            <w:pPr>
              <w:spacing w:after="0"/>
              <w:rPr>
                <w:sz w:val="1"/>
                <w:szCs w:val="1"/>
                <w:color w:val="auto"/>
              </w:rPr>
            </w:pPr>
          </w:p>
        </w:tc>
      </w:tr>
      <w:tr>
        <w:trPr>
          <w:trHeight w:val="230"/>
        </w:trPr>
        <w:tc>
          <w:tcPr>
            <w:tcW w:w="63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 employee RSUs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gridSpan w:val="5"/>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0" w:type="dxa"/>
            <w:vAlign w:val="bottom"/>
          </w:tcPr>
          <w:p>
            <w:pPr>
              <w:spacing w:after="0"/>
              <w:rPr>
                <w:sz w:val="1"/>
                <w:szCs w:val="1"/>
                <w:color w:val="auto"/>
              </w:rPr>
            </w:pPr>
          </w:p>
        </w:tc>
      </w:tr>
      <w:tr>
        <w:trPr>
          <w:trHeight w:val="223"/>
        </w:trPr>
        <w:tc>
          <w:tcPr>
            <w:tcW w:w="6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0" w:type="dxa"/>
            <w:vAlign w:val="bottom"/>
          </w:tcPr>
          <w:p>
            <w:pPr>
              <w:spacing w:after="0"/>
              <w:rPr>
                <w:sz w:val="1"/>
                <w:szCs w:val="1"/>
                <w:color w:val="auto"/>
              </w:rPr>
            </w:pPr>
          </w:p>
        </w:tc>
      </w:tr>
      <w:tr>
        <w:trPr>
          <w:trHeight w:val="230"/>
        </w:trPr>
        <w:tc>
          <w:tcPr>
            <w:tcW w:w="6340" w:type="dxa"/>
            <w:vAlign w:val="bottom"/>
            <w:gridSpan w:val="5"/>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employee Restricted Stock Awards</w:t>
            </w:r>
            <w:r>
              <w:rPr>
                <w:rFonts w:ascii="Times New Roman" w:cs="Times New Roman" w:eastAsia="Times New Roman" w:hAnsi="Times New Roman"/>
                <w:sz w:val="23"/>
                <w:szCs w:val="23"/>
                <w:color w:val="auto"/>
                <w:vertAlign w:val="superscript"/>
              </w:rPr>
              <w:t>(1) (2)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0" w:type="dxa"/>
            <w:vAlign w:val="bottom"/>
          </w:tcPr>
          <w:p>
            <w:pPr>
              <w:spacing w:after="0"/>
              <w:rPr>
                <w:sz w:val="1"/>
                <w:szCs w:val="1"/>
                <w:color w:val="auto"/>
              </w:rPr>
            </w:pPr>
          </w:p>
        </w:tc>
      </w:tr>
      <w:tr>
        <w:trPr>
          <w:trHeight w:val="230"/>
        </w:trPr>
        <w:tc>
          <w:tcPr>
            <w:tcW w:w="63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 employee Restricted Stock Awards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5"/>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0" w:type="dxa"/>
            <w:vAlign w:val="bottom"/>
          </w:tcPr>
          <w:p>
            <w:pPr>
              <w:spacing w:after="0"/>
              <w:rPr>
                <w:sz w:val="1"/>
                <w:szCs w:val="1"/>
                <w:color w:val="auto"/>
              </w:rPr>
            </w:pPr>
          </w:p>
        </w:tc>
      </w:tr>
      <w:tr>
        <w:trPr>
          <w:trHeight w:val="223"/>
        </w:trPr>
        <w:tc>
          <w:tcPr>
            <w:tcW w:w="6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274.10</w:t>
            </w:r>
          </w:p>
        </w:tc>
        <w:tc>
          <w:tcPr>
            <w:tcW w:w="0" w:type="dxa"/>
            <w:vAlign w:val="bottom"/>
          </w:tcPr>
          <w:p>
            <w:pPr>
              <w:spacing w:after="0"/>
              <w:rPr>
                <w:sz w:val="1"/>
                <w:szCs w:val="1"/>
                <w:color w:val="auto"/>
              </w:rPr>
            </w:pPr>
          </w:p>
        </w:tc>
      </w:tr>
      <w:tr>
        <w:trPr>
          <w:trHeight w:val="229"/>
        </w:trPr>
        <w:tc>
          <w:tcPr>
            <w:tcW w:w="6340" w:type="dxa"/>
            <w:vAlign w:val="bottom"/>
            <w:gridSpan w:val="5"/>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employee Restricted Stock Awards</w:t>
            </w:r>
            <w:r>
              <w:rPr>
                <w:rFonts w:ascii="Times New Roman" w:cs="Times New Roman" w:eastAsia="Times New Roman" w:hAnsi="Times New Roman"/>
                <w:sz w:val="23"/>
                <w:szCs w:val="23"/>
                <w:color w:val="auto"/>
                <w:vertAlign w:val="superscript"/>
              </w:rPr>
              <w:t>(1) (2)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0" w:type="dxa"/>
            <w:vAlign w:val="bottom"/>
          </w:tcPr>
          <w:p>
            <w:pPr>
              <w:spacing w:after="0"/>
              <w:rPr>
                <w:sz w:val="1"/>
                <w:szCs w:val="1"/>
                <w:color w:val="auto"/>
              </w:rPr>
            </w:pPr>
          </w:p>
        </w:tc>
      </w:tr>
      <w:tr>
        <w:trPr>
          <w:trHeight w:val="156"/>
        </w:trPr>
        <w:tc>
          <w:tcPr>
            <w:tcW w:w="30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 xml:space="preserve">Granted – non-employee directors </w:t>
            </w:r>
            <w:r>
              <w:rPr>
                <w:rFonts w:ascii="Times New Roman" w:cs="Times New Roman" w:eastAsia="Times New Roman" w:hAnsi="Times New Roman"/>
                <w:sz w:val="18"/>
                <w:szCs w:val="18"/>
                <w:color w:val="auto"/>
                <w:w w:val="98"/>
                <w:shd w:val="clear" w:color="auto" w:fill="CCEEFF"/>
              </w:rPr>
              <w:t>RSUs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140" w:type="dxa"/>
            <w:vAlign w:val="bottom"/>
            <w:vMerge w:val="restart"/>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425.29</w:t>
            </w:r>
          </w:p>
        </w:tc>
        <w:tc>
          <w:tcPr>
            <w:tcW w:w="0" w:type="dxa"/>
            <w:vAlign w:val="bottom"/>
          </w:tcPr>
          <w:p>
            <w:pPr>
              <w:spacing w:after="0"/>
              <w:rPr>
                <w:sz w:val="1"/>
                <w:szCs w:val="1"/>
                <w:color w:val="auto"/>
              </w:rPr>
            </w:pPr>
          </w:p>
        </w:tc>
      </w:tr>
      <w:tr>
        <w:trPr>
          <w:trHeight w:val="74"/>
        </w:trPr>
        <w:tc>
          <w:tcPr>
            <w:tcW w:w="3060" w:type="dxa"/>
            <w:vAlign w:val="bottom"/>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140" w:type="dxa"/>
            <w:vAlign w:val="bottom"/>
            <w:vMerge w:val="continue"/>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3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Vested - Restricted Stock Awards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0" w:type="dxa"/>
            <w:vAlign w:val="bottom"/>
          </w:tcPr>
          <w:p>
            <w:pPr>
              <w:spacing w:after="0"/>
              <w:rPr>
                <w:sz w:val="1"/>
                <w:szCs w:val="1"/>
                <w:color w:val="auto"/>
              </w:rPr>
            </w:pPr>
          </w:p>
        </w:tc>
      </w:tr>
      <w:tr>
        <w:trPr>
          <w:trHeight w:val="155"/>
        </w:trPr>
        <w:tc>
          <w:tcPr>
            <w:tcW w:w="8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Forfeited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5400" w:type="dxa"/>
            <w:vAlign w:val="bottom"/>
            <w:gridSpan w:val="3"/>
            <w:vMerge w:val="restart"/>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0" w:type="dxa"/>
            <w:vAlign w:val="bottom"/>
          </w:tcPr>
          <w:p>
            <w:pPr>
              <w:spacing w:after="0"/>
              <w:rPr>
                <w:sz w:val="1"/>
                <w:szCs w:val="1"/>
                <w:color w:val="auto"/>
              </w:rPr>
            </w:pPr>
          </w:p>
        </w:tc>
      </w:tr>
      <w:tr>
        <w:trPr>
          <w:trHeight w:val="79"/>
        </w:trPr>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0" w:type="dxa"/>
            <w:vAlign w:val="bottom"/>
            <w:gridSpan w:val="3"/>
            <w:vMerge w:val="continue"/>
            <w:shd w:val="clear" w:color="auto" w:fill="CCEEFF"/>
          </w:tcPr>
          <w:p>
            <w:pPr>
              <w:spacing w:after="0"/>
              <w:rPr>
                <w:sz w:val="6"/>
                <w:szCs w:val="6"/>
                <w:color w:val="auto"/>
              </w:rPr>
            </w:pPr>
          </w:p>
        </w:tc>
        <w:tc>
          <w:tcPr>
            <w:tcW w:w="166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6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338.87</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Restricted Stock Award granted or canceled/forfeited is equivalent to 2.5 shares under the LTIP.</w:t>
      </w:r>
    </w:p>
    <w:p>
      <w:pPr>
        <w:spacing w:after="0" w:line="63" w:lineRule="exact"/>
        <w:rPr>
          <w:rFonts w:ascii="Times New Roman" w:cs="Times New Roman" w:eastAsia="Times New Roman" w:hAnsi="Times New Roman"/>
          <w:sz w:val="18"/>
          <w:szCs w:val="18"/>
          <w:i w:val="1"/>
          <w:iCs w:val="1"/>
          <w:color w:val="auto"/>
        </w:rPr>
      </w:pPr>
    </w:p>
    <w:p>
      <w:pPr>
        <w:ind w:left="660" w:right="560" w:hanging="328"/>
        <w:spacing w:after="0" w:line="281" w:lineRule="auto"/>
        <w:tabs>
          <w:tab w:leader="none" w:pos="654"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During the fiscal year ended August 31, 2022 we granted 71,978 RSUs and 30,704 PSUs. During the fiscal year ended August 31, 2021 we granted 62,960 RSUs and 36,424 PSUs. During the fiscal year ended August 31, 2020 we granted 36,709 RSUs and 36,888 PSUs.</w:t>
      </w:r>
    </w:p>
    <w:p>
      <w:pPr>
        <w:spacing w:after="0" w:line="1" w:lineRule="exact"/>
        <w:rPr>
          <w:rFonts w:ascii="Times New Roman" w:cs="Times New Roman" w:eastAsia="Times New Roman" w:hAnsi="Times New Roman"/>
          <w:sz w:val="18"/>
          <w:szCs w:val="18"/>
          <w:i w:val="1"/>
          <w:iCs w:val="1"/>
          <w:color w:val="auto"/>
        </w:rPr>
      </w:pPr>
    </w:p>
    <w:p>
      <w:pPr>
        <w:ind w:left="660" w:right="100" w:hanging="328"/>
        <w:spacing w:after="0" w:line="267" w:lineRule="auto"/>
        <w:tabs>
          <w:tab w:leader="none" w:pos="654"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August 31, 2022, a total of 233,408 shares underlying the restricted stock awards were unvested and outstanding, which results in unamortized stock-based compensation of $49.2 million to be recognized as stock-based compensation expense over the remaining vesting period of 2.8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Restricted Stock Awards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LTIP provides for the grant of stock-based awards, including awards of restricted stock units ("RSUs") and performance share units ("PSUs"; RSUs and PSUs, collectively, "Restricted Stock Awards"). The Restricted Stock Awards are subject to continued employment over a specified period. The Restricted Stock Awards granted to employees entitle the holders to shares of common stock as the Restricted Stock Awards vest over time, but not to dividends declared on the underlying shares, while the stock subject to the Restricted Stock Awards is unvested. Vesting of the shares underlying the PSUs are also subject to achieving certain specified performance levels during the measurement period subsequent to the date of grant.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twelve months ended August 31, 2022, we granted 102,682 Restricted Stock Awards of which 71,978 were RSUs and 30,704 were PSUs. The majority of the Restricted Stock Awards granted are related to the annual employee grant on November 1, 2021. From this grant, the RSUs vest ratably over five years on the anniversary of the grant date with the majority of the remaining RSUs granted during fiscal 2022 vesting ratably over three years on the anniversary of the grant date. All PSUs granted in fiscal 2022, including those under the November 1, 2021 grant, cliff vest on the third anniversary of the grant date, subject to the achievement of certain performance metrics.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 Restricted Stock Units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Plan provides for the grant of stock-based awards, including RSUs, to non-employee directors of FactSet. On January 18, 2022, we granted 1,629 RSUs to our non-employee directors that vest 100% on the first anniversary of the grant date. There were no non-employee director RSU grants in fiscal 2021 and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Shares purchased through the ESPP cannot be sold or otherwise transferred for 18 months after purchase. Dividends paid on shares held in the ESPP are used to purchase additional ESPP shares at the market price on the dividend payment date.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2022, employees purchased 36,244 shares at a weighted average price of $332.30 compared with 38,848 shares at a weighted average price of $273.59 in fiscal 2021 and 42,606 shares at a weighted average price of $234.41 in fiscal 2020. Stock-based compensation expense recorded during fiscal 2022, 2021 and 2020 relating to the ESPP was $2.3 million, $2.0 million and $2.1 million, respectively. At August 31, 2022, the ESPP had 102,712 shares reserved for future issuance. The weighted average estimated fair value of the ESPP shares during fiscal years 2022, 2021 and 2020, was $66.35, $54.00 and $50.69 per share.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stock-based awards available for grant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Stock-based Awards</w:t>
            </w:r>
          </w:p>
        </w:tc>
        <w:tc>
          <w:tcPr>
            <w:tcW w:w="2980" w:type="dxa"/>
            <w:vAlign w:val="bottom"/>
            <w:tcBorders>
              <w:top w:val="single" w:sz="8" w:color="auto"/>
            </w:tcBorders>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Stock-based Awards</w:t>
            </w:r>
          </w:p>
        </w:tc>
        <w:tc>
          <w:tcPr>
            <w:tcW w:w="0" w:type="dxa"/>
            <w:vAlign w:val="bottom"/>
          </w:tcPr>
          <w:p>
            <w:pPr>
              <w:spacing w:after="0"/>
              <w:rPr>
                <w:sz w:val="1"/>
                <w:szCs w:val="1"/>
                <w:color w:val="auto"/>
              </w:rPr>
            </w:pPr>
          </w:p>
        </w:tc>
      </w:tr>
      <w:tr>
        <w:trPr>
          <w:trHeight w:val="184"/>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9"/>
              </w:rPr>
              <w:t>Available for Grant under the</w:t>
            </w:r>
          </w:p>
        </w:tc>
        <w:tc>
          <w:tcPr>
            <w:tcW w:w="298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Available for Grant under the</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auto"/>
            </w:tcBorders>
            <w:vMerge w:val="continue"/>
          </w:tcPr>
          <w:p>
            <w:pPr>
              <w:spacing w:after="0"/>
              <w:rPr>
                <w:sz w:val="20"/>
                <w:szCs w:val="20"/>
                <w:color w:val="auto"/>
              </w:rPr>
            </w:pPr>
          </w:p>
        </w:tc>
        <w:tc>
          <w:tcPr>
            <w:tcW w:w="2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Employee Stock Option Plan</w:t>
            </w:r>
          </w:p>
        </w:tc>
        <w:tc>
          <w:tcPr>
            <w:tcW w:w="2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Non-Employee Stock Option Plan</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2019</w:t>
            </w:r>
          </w:p>
        </w:tc>
        <w:tc>
          <w:tcPr>
            <w:tcW w:w="2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6,067</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 stock option awards</w:t>
            </w:r>
          </w:p>
        </w:tc>
        <w:tc>
          <w:tcPr>
            <w:tcW w:w="2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(424)</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RSUs</w:t>
            </w:r>
            <w:r>
              <w:rPr>
                <w:rFonts w:ascii="Times New Roman" w:cs="Times New Roman" w:eastAsia="Times New Roman" w:hAnsi="Times New Roman"/>
                <w:sz w:val="23"/>
                <w:szCs w:val="23"/>
                <w:color w:val="auto"/>
                <w:vertAlign w:val="superscript"/>
              </w:rPr>
              <w:t>(1)</w:t>
            </w:r>
          </w:p>
        </w:tc>
        <w:tc>
          <w:tcPr>
            <w:tcW w:w="2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PSUs</w:t>
            </w:r>
            <w:r>
              <w:rPr>
                <w:rFonts w:ascii="Times New Roman" w:cs="Times New Roman" w:eastAsia="Times New Roman" w:hAnsi="Times New Roman"/>
                <w:sz w:val="23"/>
                <w:szCs w:val="23"/>
                <w:color w:val="auto"/>
                <w:vertAlign w:val="superscript"/>
              </w:rPr>
              <w:t>(1)</w:t>
            </w:r>
          </w:p>
        </w:tc>
        <w:tc>
          <w:tcPr>
            <w:tcW w:w="2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 - stock-based awards</w:t>
            </w:r>
            <w:r>
              <w:rPr>
                <w:rFonts w:ascii="Times New Roman" w:cs="Times New Roman" w:eastAsia="Times New Roman" w:hAnsi="Times New Roman"/>
                <w:sz w:val="23"/>
                <w:szCs w:val="23"/>
                <w:color w:val="auto"/>
                <w:vertAlign w:val="superscript"/>
              </w:rPr>
              <w:t>(2)</w:t>
            </w:r>
          </w:p>
        </w:tc>
        <w:tc>
          <w:tcPr>
            <w:tcW w:w="2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August 31, 2020</w:t>
            </w:r>
          </w:p>
        </w:tc>
        <w:tc>
          <w:tcPr>
            <w:tcW w:w="2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5,626</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stock option awards</w:t>
            </w:r>
          </w:p>
        </w:tc>
        <w:tc>
          <w:tcPr>
            <w:tcW w:w="2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(418)</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RSUs</w:t>
            </w:r>
            <w:r>
              <w:rPr>
                <w:rFonts w:ascii="Times New Roman" w:cs="Times New Roman" w:eastAsia="Times New Roman" w:hAnsi="Times New Roman"/>
                <w:sz w:val="23"/>
                <w:szCs w:val="23"/>
                <w:color w:val="auto"/>
                <w:vertAlign w:val="superscript"/>
              </w:rPr>
              <w:t>(1)</w:t>
            </w:r>
          </w:p>
        </w:tc>
        <w:tc>
          <w:tcPr>
            <w:tcW w:w="2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PSUs</w:t>
            </w:r>
            <w:r>
              <w:rPr>
                <w:rFonts w:ascii="Times New Roman" w:cs="Times New Roman" w:eastAsia="Times New Roman" w:hAnsi="Times New Roman"/>
                <w:sz w:val="23"/>
                <w:szCs w:val="23"/>
                <w:color w:val="auto"/>
                <w:vertAlign w:val="superscript"/>
              </w:rPr>
              <w:t>(1)</w:t>
            </w:r>
          </w:p>
        </w:tc>
        <w:tc>
          <w:tcPr>
            <w:tcW w:w="2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 - stock-based awards</w:t>
            </w:r>
            <w:r>
              <w:rPr>
                <w:rFonts w:ascii="Times New Roman" w:cs="Times New Roman" w:eastAsia="Times New Roman" w:hAnsi="Times New Roman"/>
                <w:sz w:val="23"/>
                <w:szCs w:val="23"/>
                <w:color w:val="auto"/>
                <w:vertAlign w:val="superscript"/>
              </w:rPr>
              <w:t>(2)</w:t>
            </w:r>
          </w:p>
        </w:tc>
        <w:tc>
          <w:tcPr>
            <w:tcW w:w="2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2021</w:t>
            </w:r>
          </w:p>
        </w:tc>
        <w:tc>
          <w:tcPr>
            <w:tcW w:w="2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5,080</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 stock option awards</w:t>
            </w:r>
          </w:p>
        </w:tc>
        <w:tc>
          <w:tcPr>
            <w:tcW w:w="2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(348)</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Granted - RSUs</w:t>
            </w:r>
            <w:r>
              <w:rPr>
                <w:rFonts w:ascii="Times New Roman" w:cs="Times New Roman" w:eastAsia="Times New Roman" w:hAnsi="Times New Roman"/>
                <w:sz w:val="23"/>
                <w:szCs w:val="23"/>
                <w:color w:val="auto"/>
                <w:vertAlign w:val="superscript"/>
              </w:rPr>
              <w:t>(1)</w:t>
            </w:r>
          </w:p>
        </w:tc>
        <w:tc>
          <w:tcPr>
            <w:tcW w:w="2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PSUs</w:t>
            </w:r>
            <w:r>
              <w:rPr>
                <w:rFonts w:ascii="Times New Roman" w:cs="Times New Roman" w:eastAsia="Times New Roman" w:hAnsi="Times New Roman"/>
                <w:sz w:val="23"/>
                <w:szCs w:val="23"/>
                <w:color w:val="auto"/>
                <w:vertAlign w:val="superscript"/>
              </w:rPr>
              <w:t>(1)</w:t>
            </w:r>
          </w:p>
        </w:tc>
        <w:tc>
          <w:tcPr>
            <w:tcW w:w="2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Forfeited - stock-based awards</w:t>
            </w:r>
            <w:r>
              <w:rPr>
                <w:rFonts w:ascii="Times New Roman" w:cs="Times New Roman" w:eastAsia="Times New Roman" w:hAnsi="Times New Roman"/>
                <w:sz w:val="23"/>
                <w:szCs w:val="23"/>
                <w:color w:val="auto"/>
                <w:vertAlign w:val="superscript"/>
              </w:rPr>
              <w:t>(2)</w:t>
            </w:r>
          </w:p>
        </w:tc>
        <w:tc>
          <w:tcPr>
            <w:tcW w:w="2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194</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2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4,669</w:t>
            </w: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Restricted Stock Award granted is equivalent to 2.5 shares granted under the LTIP.</w:t>
      </w:r>
    </w:p>
    <w:p>
      <w:pPr>
        <w:spacing w:after="0" w:line="63"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4"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the LTIP, for each Restricted Stock Award canceled/forfeited, an equivalent of 2.5 shares is added back to the available stock-based awards balance.</w:t>
      </w:r>
    </w:p>
    <w:p>
      <w:pPr>
        <w:spacing w:after="0" w:line="26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established our 401(k) Plan in fiscal 1993. The 401(k) Plan is a defined contribution plan covering all full-time, U.S. employees of FactSet and is subject to the provisions of the Employee Retirement Income Security Act of 1974 and the Internal Revenue Code of 1986 ("IRC"). Each year, participants may contribute up to 60% of their eligible annual compensation, subject to annual limitations established by the IRC. We matched up to 4% of employees’ earnings, capped at the Internal Revenue Service annual maximum. Company matching contributions are subject to a five-year graduated vesting schedule. All full-time, U.S. employees are eligible for the matching contribution by FactSet. We contributed $12.0 million, $11.6 million, and $11.3 million in matching contributions to employee 401(k) accounts during fiscal 2022, 2021 and 2020,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 SEGMENT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segments are consistent with our reportable segments and how we, including our CODM, manage our business and the geographic markets in which we serve. Our internal financial reporting structure is based on three segments: the Americas; EMEA; and Asia Pacific.</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revenues reflect sales to our clients based on their respective geographic locations.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revenues.</w:t>
      </w:r>
    </w:p>
    <w:p>
      <w:pPr>
        <w:sectPr>
          <w:pgSz w:w="11900" w:h="16838" w:orient="portrait"/>
          <w:cols w:equalWidth="0" w:num="1">
            <w:col w:w="11240"/>
          </w:cols>
          <w:pgMar w:left="320" w:top="297" w:right="33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August 31, 2022</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ind w:left="20"/>
        <w:spacing w:after="0" w:line="236" w:lineRule="auto"/>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(1)(2)</w:t>
      </w:r>
    </w:p>
    <w:p>
      <w:pPr>
        <w:ind w:left="20"/>
        <w:spacing w:after="0" w:line="219" w:lineRule="auto"/>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August 31, 2021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August 31, 2020</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1,173,946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1,843,892</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475,482</w:t>
            </w:r>
          </w:p>
        </w:tc>
      </w:t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86,683</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56,003</w:t>
            </w:r>
          </w:p>
        </w:tc>
      </w:tr>
      <w:tr>
        <w:trPr>
          <w:trHeight w:val="234"/>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51,156</w:t>
            </w:r>
          </w:p>
        </w:tc>
      </w:tr>
      <w:tr>
        <w:trPr>
          <w:trHeight w:val="351"/>
        </w:trPr>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1,008,046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1,591,445</w:t>
            </w:r>
          </w:p>
        </w:tc>
      </w:t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218,180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474,041</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64,476</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45,065</w:t>
            </w:r>
          </w:p>
        </w:tc>
      </w:tr>
      <w:tr>
        <w:trPr>
          <w:trHeight w:val="234"/>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61,325</w:t>
            </w:r>
          </w:p>
        </w:tc>
      </w:tr>
      <w:tr>
        <w:trPr>
          <w:trHeight w:val="338"/>
        </w:trPr>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943,649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1,494,111</w:t>
            </w:r>
          </w:p>
        </w:tc>
      </w:t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182,037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439,660</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57,614</w:t>
            </w:r>
          </w:p>
        </w:tc>
      </w:t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36,579</w:t>
            </w:r>
          </w:p>
        </w:tc>
      </w:tr>
      <w:tr>
        <w:trPr>
          <w:trHeight w:val="234"/>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-2648585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-2348230</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-2056765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-1687830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-1388110</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-1096645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-736600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-436245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-145415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5220" w:space="720"/>
            <w:col w:w="5300"/>
          </w:cols>
          <w:pgMar w:left="320" w:top="297" w:right="339" w:bottom="1440" w:gutter="0" w:footer="0" w:header="0"/>
          <w:type w:val="continuous"/>
        </w:sectPr>
      </w:pPr>
    </w:p>
    <w:p>
      <w:pPr>
        <w:ind w:left="660" w:right="280" w:hanging="328"/>
        <w:spacing w:after="0" w:line="267" w:lineRule="auto"/>
        <w:tabs>
          <w:tab w:leader="none" w:pos="654" w:val="left"/>
        </w:tabs>
        <w:numPr>
          <w:ilvl w:val="0"/>
          <w:numId w:val="32"/>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auto"/>
        </w:rPr>
        <w:t>Includes impairment charges of $64.3 million, of which $62.2 million ($57.7 million in the Americas, $4.2 million in EMEA and $0.3 million in Asia Pacific) related to lease ROU assets and property, equipment and leasehold improvements impairment charges associated with vacating certain leased office space.</w:t>
      </w:r>
    </w:p>
    <w:p>
      <w:pPr>
        <w:spacing w:after="0" w:line="11" w:lineRule="exact"/>
        <w:rPr>
          <w:rFonts w:ascii="Times New Roman" w:cs="Times New Roman" w:eastAsia="Times New Roman" w:hAnsi="Times New Roman"/>
          <w:sz w:val="18"/>
          <w:szCs w:val="18"/>
          <w:i w:val="1"/>
          <w:iCs w:val="1"/>
          <w:color w:val="212529"/>
        </w:rPr>
      </w:pPr>
    </w:p>
    <w:p>
      <w:pPr>
        <w:ind w:left="640" w:hanging="308"/>
        <w:spacing w:after="0"/>
        <w:tabs>
          <w:tab w:leader="none" w:pos="6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Americas includes CGS intangible asset amortization of $26.8 million during fiscal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Total Assets</w:t>
            </w:r>
          </w:p>
        </w:tc>
        <w:tc>
          <w:tcPr>
            <w:tcW w:w="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Pr>
          <w:p>
            <w:pPr>
              <w:spacing w:after="0"/>
              <w:rPr>
                <w:sz w:val="21"/>
                <w:szCs w:val="21"/>
                <w:color w:val="auto"/>
              </w:rPr>
            </w:pPr>
          </w:p>
        </w:tc>
        <w:tc>
          <w:tcPr>
            <w:tcW w:w="2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As of August 31,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6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Assets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3,191,313</w:t>
            </w:r>
          </w:p>
        </w:tc>
        <w:tc>
          <w:tcPr>
            <w:tcW w:w="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1,144,693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580,450</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842,652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242,542</w:t>
            </w: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237,595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Total assets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4,014,305</w:t>
            </w:r>
          </w:p>
        </w:tc>
        <w:tc>
          <w:tcPr>
            <w:tcW w:w="8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2,224,940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reflect our revenues and long-lived assets, split geographically by our country of domicile (the United States) and other countries where major subsidiaries are domiciled.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 by geography, attributed to countries based on the location of the client: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color w:val="auto"/>
              </w:rPr>
              <w:t>Years ended August 31,</w:t>
            </w:r>
          </w:p>
        </w:tc>
        <w:tc>
          <w:tcPr>
            <w:tcW w:w="1000" w:type="dxa"/>
            <w:vAlign w:val="bottom"/>
          </w:tcPr>
          <w:p>
            <w:pPr>
              <w:spacing w:after="0"/>
              <w:rPr>
                <w:sz w:val="20"/>
                <w:szCs w:val="20"/>
                <w:color w:val="auto"/>
              </w:rPr>
            </w:pPr>
          </w:p>
        </w:tc>
      </w:tr>
      <w:tr>
        <w:trPr>
          <w:trHeight w:val="270"/>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898,609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179,966</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European Countries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226,532</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189,004</w:t>
            </w:r>
          </w:p>
        </w:tc>
      </w:tr>
      <w:tr>
        <w:trPr>
          <w:trHeight w:val="228"/>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1,843,892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1,494,111</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Long-Lived Assets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long-lived assets by geographic area. Long-lived assets consist of Property, equipment and leasehold improvements, net and Lease right-of-use assets, net and excludes goodwill, intangible assets, deferred taxes and other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At August 31,</w:t>
            </w:r>
          </w:p>
        </w:tc>
        <w:tc>
          <w:tcPr>
            <w:tcW w:w="1020" w:type="dxa"/>
            <w:vAlign w:val="bottom"/>
          </w:tcPr>
          <w:p>
            <w:pPr>
              <w:spacing w:after="0"/>
              <w:rPr>
                <w:sz w:val="20"/>
                <w:szCs w:val="20"/>
                <w:color w:val="auto"/>
              </w:rPr>
            </w:pPr>
          </w:p>
        </w:tc>
      </w:tr>
      <w:tr>
        <w:trPr>
          <w:trHeight w:val="27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111,301</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42,379</w:t>
            </w:r>
          </w:p>
        </w:tc>
      </w:tr>
      <w:tr>
        <w:trPr>
          <w:trHeight w:val="22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Total long-lived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annual period covered by this report. In accordance with the guidance issued by the Securities and Exchange Commission, companies are permitted to exclude acquisitions from their first assessment of internal control over financial reporting following the date of acquisition. Excluding goodwill and intangible assets, CGS represented 5% percent of our total assets as of August 31, 2022 and 5% percent of our consolidated revenues for fiscal year 2022.</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those guidelines, our management's assessment of the effectiveness of our internal control over financial reporting excluded CGS, which we acquired in the third quarter of fiscal 2022.</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that our disclosure controls and procedures, excluding the assessment of those related to CGS, were effective as of the end of the annual period covered by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other changes in our internal control over financial reporting (as such term is defined in Rules 13a-15(f) and 15d-15(f) under the Exchange Act) during our fourth quarter of fiscal 2022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Item 8.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xml:space="preserve"> of this Annual Report on Form 10-K, which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Item 8. </w:t>
      </w:r>
      <w:r>
        <w:rPr>
          <w:rFonts w:ascii="Times New Roman" w:cs="Times New Roman" w:eastAsia="Times New Roman" w:hAnsi="Times New Roman"/>
          <w:sz w:val="18"/>
          <w:szCs w:val="18"/>
          <w:i w:val="1"/>
          <w:iCs w:val="1"/>
          <w:color w:val="auto"/>
        </w:rPr>
        <w:t>Report of Independent Registered Public Accounting Firm</w:t>
      </w:r>
      <w:r>
        <w:rPr>
          <w:rFonts w:ascii="Times New Roman" w:cs="Times New Roman" w:eastAsia="Times New Roman" w:hAnsi="Times New Roman"/>
          <w:sz w:val="18"/>
          <w:szCs w:val="18"/>
          <w:color w:val="auto"/>
        </w:rPr>
        <w:t xml:space="preserve"> of this Annual Report on Form 10-K, which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by this Item 10 is incorporated herein by reference to our Notice of Annual Meeting of Stockholders and Proxy Statement to be filed within 120 days of August 31, 2022 (the "Proxy Statement").</w:t>
      </w:r>
    </w:p>
    <w:p>
      <w:pPr>
        <w:spacing w:after="0" w:line="1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Pursuant to General Instruction G(3) of Form 10-K, the information required by this item relating to our executive officers is included in Item 1.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Officers of the Registrant </w:t>
      </w:r>
      <w:r>
        <w:rPr>
          <w:rFonts w:ascii="Times New Roman" w:cs="Times New Roman" w:eastAsia="Times New Roman" w:hAnsi="Times New Roman"/>
          <w:sz w:val="18"/>
          <w:szCs w:val="18"/>
          <w:color w:val="auto"/>
        </w:rPr>
        <w:t>of this Annual Report on Form 10-K.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11. EXECUTIVE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to be furnished by this Item 11 is incorporated herein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2"/>
          <w:szCs w:val="22"/>
          <w:b w:val="1"/>
          <w:bCs w:val="1"/>
          <w:color w:val="auto"/>
        </w:rPr>
        <w:t>ITEM 12.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to be furnished by this Item 12 is incorporated herein by reference to our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August 31, 2022, the number of outstanding equity awards granted to employees and non-employee directors, as well as the number of equity awards remaining available for future issuance, under our equity compensation plans: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remaining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available for future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40" w:type="dxa"/>
            <w:vAlign w:val="bottom"/>
          </w:tcPr>
          <w:p>
            <w:pPr>
              <w:spacing w:after="0"/>
              <w:rPr>
                <w:sz w:val="16"/>
                <w:szCs w:val="16"/>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340" w:type="dxa"/>
            <w:vAlign w:val="bottom"/>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issuances under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equity compensation plans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to be issued upon exercise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(excluding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outstanding options,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securities reflected in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196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warrants and rights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34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column (a))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5"/>
              </w:rPr>
              <w:t>(b)</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2,322,639</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5,003,572</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184"/>
        </w:trPr>
        <w:tc>
          <w:tcPr>
            <w:tcW w:w="4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9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2,322,639</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5,003,572</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60" w:hanging="328"/>
        <w:spacing w:after="0" w:line="281" w:lineRule="auto"/>
        <w:tabs>
          <w:tab w:leader="none" w:pos="654"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2,089,231 shares issuable upon exercise of outstanding options, 141,643 shares issuable upon vesting of outstanding RSUs and 91,765 shares issuable upon the conversion of outstanding PSUs.</w:t>
      </w:r>
    </w:p>
    <w:p>
      <w:pPr>
        <w:spacing w:after="0" w:line="1"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 average exercise price of outstanding options only.</w:t>
      </w:r>
    </w:p>
    <w:p>
      <w:pPr>
        <w:spacing w:after="0" w:line="63"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4"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4,668,567 shares available for future issuance under the FactSet Research Systems Inc. Stock Option and Award Plan, as Amended and Restated, 232,293 shares available for future issuance under the FactSet Research Systems Inc. Non-Employee Directors’ Stock Option and Award Plan, as Amended and Restated, and 102,712 shares available for purchase under the FactSet Research Systems Inc. 2008 Employee Stock Purchase Plan, as Amended and Restated.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13. CERTAIN RELATIONSHIPS AND RELATED TRANSACTIONS, AND DIRECTOR INDEPENDENCE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to be furnished by this Item 13 is incorporated herein by reference to our Proxy Statement.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14. PRINCIPAL ACCOUNTING FEES AND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to be furnished by this Item 14 is incorporated herein by reference to our Proxy Statement.</w:t>
      </w: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FINANCIAL STATEMENT SCHEDULES</w:t>
      </w:r>
    </w:p>
    <w:p>
      <w:pPr>
        <w:spacing w:after="0" w:line="162"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 on Form 10-K:</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96" w:lineRule="exact"/>
        <w:rPr>
          <w:rFonts w:ascii="Times New Roman" w:cs="Times New Roman" w:eastAsia="Times New Roman" w:hAnsi="Times New Roman"/>
          <w:sz w:val="18"/>
          <w:szCs w:val="18"/>
          <w:color w:val="auto"/>
        </w:rPr>
      </w:pPr>
    </w:p>
    <w:p>
      <w:pPr>
        <w:ind w:left="7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required by this item is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which is incorporated herein.</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w:t>
      </w:r>
    </w:p>
    <w:p>
      <w:pPr>
        <w:spacing w:after="0" w:line="1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2500" w:type="dxa"/>
            <w:vAlign w:val="bottom"/>
          </w:tcPr>
          <w:p>
            <w:pPr>
              <w:spacing w:after="0"/>
              <w:rPr>
                <w:sz w:val="19"/>
                <w:szCs w:val="19"/>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Balance at</w:t>
            </w:r>
          </w:p>
        </w:tc>
      </w:tr>
      <w:tr>
        <w:trPr>
          <w:trHeight w:val="243"/>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Charged to Expense</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Net of Recoveries</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End of Year</w:t>
            </w:r>
          </w:p>
        </w:tc>
      </w:tr>
      <w:tr>
        <w:trPr>
          <w:trHeight w:val="20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Allowance:</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r>
    </w:tbl>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financial statement schedules are omitted since they are either not required, not applicable, or the information is otherwise included.</w:t>
      </w:r>
    </w:p>
    <w:p>
      <w:pPr>
        <w:spacing w:after="0" w:line="18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set forth below.</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10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8"/>
              </w:rPr>
              <w:t>Exhibit</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gridSpan w:val="10"/>
          </w:tcPr>
          <w:p>
            <w:pPr>
              <w:jc w:val="center"/>
              <w:ind w:right="102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7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Form</w:t>
            </w:r>
          </w:p>
        </w:tc>
        <w:tc>
          <w:tcPr>
            <w:tcW w:w="1000" w:type="dxa"/>
            <w:vAlign w:val="bottom"/>
          </w:tcPr>
          <w:p>
            <w:pPr>
              <w:jc w:val="center"/>
              <w:ind w:left="90"/>
              <w:spacing w:after="0" w:line="181" w:lineRule="exact"/>
              <w:rPr>
                <w:sz w:val="20"/>
                <w:szCs w:val="20"/>
                <w:color w:val="auto"/>
              </w:rPr>
            </w:pPr>
            <w:r>
              <w:rPr>
                <w:rFonts w:ascii="Times New Roman" w:cs="Times New Roman" w:eastAsia="Times New Roman" w:hAnsi="Times New Roman"/>
                <w:sz w:val="18"/>
                <w:szCs w:val="18"/>
                <w:color w:val="auto"/>
                <w:w w:val="98"/>
              </w:rPr>
              <w:t>File No.</w:t>
            </w:r>
          </w:p>
        </w:tc>
        <w:tc>
          <w:tcPr>
            <w:tcW w:w="146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Exhibit No.</w:t>
            </w:r>
          </w:p>
        </w:tc>
        <w:tc>
          <w:tcPr>
            <w:tcW w:w="128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Filing Date</w:t>
            </w:r>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9"/>
        </w:trPr>
        <w:tc>
          <w:tcPr>
            <w:tcW w:w="11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10"/>
          </w:tcPr>
          <w:p>
            <w:pPr>
              <w:jc w:val="center"/>
              <w:ind w:right="1040"/>
              <w:spacing w:after="0"/>
              <w:rPr>
                <w:sz w:val="20"/>
                <w:szCs w:val="20"/>
                <w:color w:val="auto"/>
              </w:rPr>
            </w:pPr>
            <w:r>
              <w:rPr>
                <w:rFonts w:ascii="Times New Roman" w:cs="Times New Roman" w:eastAsia="Times New Roman" w:hAnsi="Times New Roman"/>
                <w:sz w:val="18"/>
                <w:szCs w:val="18"/>
                <w:color w:val="auto"/>
                <w:w w:val="99"/>
              </w:rPr>
              <w:t>Description</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540" w:type="dxa"/>
            <w:vAlign w:val="bottom"/>
          </w:tcPr>
          <w:p>
            <w:pPr>
              <w:spacing w:after="0"/>
              <w:rPr>
                <w:sz w:val="16"/>
                <w:szCs w:val="16"/>
                <w:color w:val="auto"/>
              </w:rPr>
            </w:pPr>
          </w:p>
        </w:tc>
        <w:tc>
          <w:tcPr>
            <w:tcW w:w="282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Asset Purchase Agreement, dated as of</w:t>
              </w:r>
            </w:hyperlink>
          </w:p>
        </w:tc>
        <w:tc>
          <w:tcPr>
            <w:tcW w:w="440" w:type="dxa"/>
            <w:vAlign w:val="bottom"/>
            <w:gridSpan w:val="4"/>
          </w:tcPr>
          <w:p>
            <w:pPr>
              <w:spacing w:after="0"/>
              <w:rPr>
                <w:sz w:val="16"/>
                <w:szCs w:val="16"/>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ind w:left="90"/>
              <w:spacing w:after="0" w:line="169" w:lineRule="exact"/>
              <w:rPr>
                <w:sz w:val="20"/>
                <w:szCs w:val="20"/>
                <w:color w:val="auto"/>
              </w:rPr>
            </w:pPr>
            <w:r>
              <w:rPr>
                <w:rFonts w:ascii="Times New Roman" w:cs="Times New Roman" w:eastAsia="Times New Roman" w:hAnsi="Times New Roman"/>
                <w:sz w:val="18"/>
                <w:szCs w:val="18"/>
                <w:color w:val="auto"/>
                <w:w w:val="99"/>
              </w:rPr>
              <w:t>001-11869</w:t>
            </w:r>
          </w:p>
        </w:tc>
        <w:tc>
          <w:tcPr>
            <w:tcW w:w="1460" w:type="dxa"/>
            <w:vAlign w:val="bottom"/>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3/1/2022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gridSpan w:val="12"/>
          </w:tcPr>
          <w:p>
            <w:pPr>
              <w:spacing w:after="0" w:line="202"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December 24, 2021, by and between S&amp;P</w:t>
              </w:r>
            </w:hyperlink>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Global Inc. and FactSet Research Systems</w:t>
              </w:r>
            </w:hyperlink>
          </w:p>
        </w:tc>
        <w:tc>
          <w:tcPr>
            <w:tcW w:w="2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gridSpan w:val="12"/>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w:t>
              </w:r>
            </w:hyperlink>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240" w:type="dxa"/>
            <w:vAlign w:val="bottom"/>
            <w:vMerge w:val="restart"/>
          </w:tcPr>
          <w:p>
            <w:pPr>
              <w:jc w:val="cente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001-11869</w:t>
            </w:r>
          </w:p>
        </w:tc>
        <w:tc>
          <w:tcPr>
            <w:tcW w:w="146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7"/>
              </w:rPr>
              <w:t>2.2</w:t>
            </w: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3/1/2022</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0" w:type="dxa"/>
            <w:vAlign w:val="bottom"/>
            <w:vMerge w:val="continue"/>
          </w:tcPr>
          <w:p>
            <w:pPr>
              <w:spacing w:after="0"/>
              <w:rPr>
                <w:sz w:val="21"/>
                <w:szCs w:val="21"/>
                <w:color w:val="auto"/>
              </w:rPr>
            </w:pPr>
          </w:p>
        </w:tc>
        <w:tc>
          <w:tcPr>
            <w:tcW w:w="240" w:type="dxa"/>
            <w:vAlign w:val="bottom"/>
            <w:tcBorders>
              <w:bottom w:val="single" w:sz="8" w:color="0000FF"/>
            </w:tcBorders>
            <w:vMerge w:val="continue"/>
          </w:tcPr>
          <w:p>
            <w:pPr>
              <w:spacing w:after="0"/>
              <w:rPr>
                <w:sz w:val="21"/>
                <w:szCs w:val="21"/>
                <w:color w:val="auto"/>
              </w:rPr>
            </w:pPr>
          </w:p>
        </w:tc>
        <w:tc>
          <w:tcPr>
            <w:tcW w:w="540" w:type="dxa"/>
            <w:vAlign w:val="bottom"/>
          </w:tcPr>
          <w:p>
            <w:pPr>
              <w:spacing w:after="0"/>
              <w:rPr>
                <w:sz w:val="21"/>
                <w:szCs w:val="21"/>
                <w:color w:val="auto"/>
              </w:rPr>
            </w:pPr>
          </w:p>
        </w:tc>
        <w:tc>
          <w:tcPr>
            <w:tcW w:w="26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Amendment No. 1 to Asset Purchase</w:t>
              </w:r>
            </w:hyperlink>
          </w:p>
        </w:tc>
        <w:tc>
          <w:tcPr>
            <w:tcW w:w="580" w:type="dxa"/>
            <w:vAlign w:val="bottom"/>
            <w:gridSpan w:val="5"/>
          </w:tcPr>
          <w:p>
            <w:pPr>
              <w:spacing w:after="0"/>
              <w:rPr>
                <w:sz w:val="21"/>
                <w:szCs w:val="21"/>
                <w:color w:val="auto"/>
              </w:rPr>
            </w:pPr>
          </w:p>
        </w:tc>
        <w:tc>
          <w:tcPr>
            <w:tcW w:w="7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gridSpan w:val="12"/>
          </w:tcPr>
          <w:p>
            <w:pPr>
              <w:spacing w:after="0" w:line="20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Agreement, dated as of February 11, 2022,</w:t>
              </w:r>
            </w:hyperlink>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8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by and between S&amp;P Global Inc. and</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FactSet Research Systems Inc.</w:t>
              </w:r>
            </w:hyperlink>
          </w:p>
        </w:tc>
        <w:tc>
          <w:tcPr>
            <w:tcW w:w="460" w:type="dxa"/>
            <w:vAlign w:val="bottom"/>
            <w:tcBorders>
              <w:top w:val="single" w:sz="8" w:color="0000FF"/>
            </w:tcBorders>
            <w:gridSpan w:val="3"/>
          </w:tcPr>
          <w:p>
            <w:pPr>
              <w:spacing w:after="0"/>
              <w:rPr>
                <w:sz w:val="17"/>
                <w:szCs w:val="17"/>
                <w:color w:val="auto"/>
              </w:rPr>
            </w:pPr>
          </w:p>
        </w:tc>
        <w:tc>
          <w:tcPr>
            <w:tcW w:w="5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540" w:type="dxa"/>
            <w:vAlign w:val="bottom"/>
          </w:tcPr>
          <w:p>
            <w:pPr>
              <w:spacing w:after="0"/>
              <w:rPr>
                <w:sz w:val="22"/>
                <w:szCs w:val="22"/>
                <w:color w:val="auto"/>
              </w:rPr>
            </w:pPr>
          </w:p>
        </w:tc>
        <w:tc>
          <w:tcPr>
            <w:tcW w:w="26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Restated Certificate of Incorporation</w:t>
              </w:r>
            </w:hyperlink>
          </w:p>
        </w:tc>
        <w:tc>
          <w:tcPr>
            <w:tcW w:w="600" w:type="dxa"/>
            <w:vAlign w:val="bottom"/>
            <w:gridSpan w:val="6"/>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333-04238</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6/26/1996</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40" w:type="dxa"/>
            <w:vAlign w:val="bottom"/>
          </w:tcPr>
          <w:p>
            <w:pPr>
              <w:jc w:val="cente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540" w:type="dxa"/>
            <w:vAlign w:val="bottom"/>
          </w:tcPr>
          <w:p>
            <w:pPr>
              <w:spacing w:after="0"/>
              <w:rPr>
                <w:sz w:val="20"/>
                <w:szCs w:val="20"/>
                <w:color w:val="auto"/>
              </w:rPr>
            </w:pPr>
          </w:p>
        </w:tc>
        <w:tc>
          <w:tcPr>
            <w:tcW w:w="3260" w:type="dxa"/>
            <w:vAlign w:val="bottom"/>
            <w:gridSpan w:val="1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Certificate of Amendment of Certificate of</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333-22319</w:t>
            </w:r>
          </w:p>
        </w:tc>
        <w:tc>
          <w:tcPr>
            <w:tcW w:w="14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3.12</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11/20/2001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3080" w:type="dxa"/>
            <w:vAlign w:val="bottom"/>
            <w:tcBorders>
              <w:top w:val="single" w:sz="8" w:color="0000FF"/>
            </w:tcBorders>
            <w:gridSpan w:val="11"/>
          </w:tcPr>
          <w:p>
            <w:pPr>
              <w:spacing w:after="0" w:line="20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Incorporation</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240" w:type="dxa"/>
            <w:vAlign w:val="bottom"/>
            <w:vMerge w:val="restart"/>
          </w:tcPr>
          <w:p>
            <w:pPr>
              <w:jc w:val="cente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5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001-11869</w:t>
            </w:r>
          </w:p>
        </w:tc>
        <w:tc>
          <w:tcPr>
            <w:tcW w:w="146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12/16/2011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gridSpan w:val="1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Second Amendment to the Restated</w:t>
              </w:r>
            </w:hyperlink>
          </w:p>
        </w:tc>
        <w:tc>
          <w:tcPr>
            <w:tcW w:w="7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2580" w:type="dxa"/>
            <w:vAlign w:val="bottom"/>
            <w:tcBorders>
              <w:top w:val="single" w:sz="8" w:color="0000FF"/>
            </w:tcBorders>
            <w:gridSpan w:val="5"/>
          </w:tcPr>
          <w:p>
            <w:pPr>
              <w:spacing w:after="0" w:line="20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Certificate of Incorporation</w:t>
              </w:r>
            </w:hyperlink>
          </w:p>
        </w:tc>
        <w:tc>
          <w:tcPr>
            <w:tcW w:w="68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160"/>
          </w:cols>
          <w:pgMar w:left="320" w:top="297" w:right="419" w:bottom="1440" w:gutter="0" w:footer="0" w:header="0"/>
        </w:sectPr>
      </w:pPr>
    </w:p>
    <w:p>
      <w:pPr>
        <w:ind w:left="1760" w:right="20" w:hanging="777"/>
        <w:spacing w:after="0" w:line="266" w:lineRule="auto"/>
        <w:tabs>
          <w:tab w:leader="none" w:pos="1740" w:val="left"/>
        </w:tabs>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3.4</w:t>
        </w:r>
      </w:hyperlink>
      <w:r>
        <w:rPr>
          <w:rFonts w:ascii="Times New Roman" w:cs="Times New Roman" w:eastAsia="Times New Roman" w:hAnsi="Times New Roman"/>
          <w:sz w:val="18"/>
          <w:szCs w:val="18"/>
          <w:u w:val="single" w:color="auto"/>
          <w:color w:val="0000FF"/>
        </w:rPr>
        <w:tab/>
      </w:r>
      <w:hyperlink r:id="rId123">
        <w:r>
          <w:rPr>
            <w:rFonts w:ascii="Times New Roman" w:cs="Times New Roman" w:eastAsia="Times New Roman" w:hAnsi="Times New Roman"/>
            <w:sz w:val="18"/>
            <w:szCs w:val="18"/>
            <w:u w:val="single" w:color="auto"/>
            <w:color w:val="0000FF"/>
          </w:rPr>
          <w:t>Amended and Restated By-laws of FactSet</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Research Systems Inc. as amended</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September 1, 2018</w:t>
        </w:r>
      </w:hyperlink>
    </w:p>
    <w:p>
      <w:pPr>
        <w:spacing w:after="0" w:line="14" w:lineRule="exact"/>
        <w:rPr>
          <w:rFonts w:ascii="Times New Roman" w:cs="Times New Roman" w:eastAsia="Times New Roman" w:hAnsi="Times New Roman"/>
          <w:sz w:val="18"/>
          <w:szCs w:val="18"/>
          <w:u w:val="single" w:color="auto"/>
          <w:color w:val="0000FF"/>
        </w:rPr>
      </w:pPr>
    </w:p>
    <w:p>
      <w:pPr>
        <w:ind w:left="1760" w:hanging="777"/>
        <w:spacing w:after="0" w:line="266" w:lineRule="auto"/>
        <w:tabs>
          <w:tab w:leader="none" w:pos="1740" w:val="left"/>
        </w:tabs>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3.5</w:t>
        </w:r>
      </w:hyperlink>
      <w:r>
        <w:rPr>
          <w:rFonts w:ascii="Times New Roman" w:cs="Times New Roman" w:eastAsia="Times New Roman" w:hAnsi="Times New Roman"/>
          <w:sz w:val="18"/>
          <w:szCs w:val="18"/>
          <w:u w:val="single" w:color="auto"/>
          <w:color w:val="0000FF"/>
        </w:rPr>
        <w:tab/>
      </w:r>
      <w:hyperlink r:id="rId124">
        <w:r>
          <w:rPr>
            <w:rFonts w:ascii="Times New Roman" w:cs="Times New Roman" w:eastAsia="Times New Roman" w:hAnsi="Times New Roman"/>
            <w:sz w:val="18"/>
            <w:szCs w:val="18"/>
            <w:u w:val="single" w:color="auto"/>
            <w:color w:val="0000FF"/>
          </w:rPr>
          <w:t>Amendment to Amended and Restated By-</w:t>
        </w:r>
      </w:hyperlink>
      <w:hyperlink r:id="rId124">
        <w:r>
          <w:rPr>
            <w:rFonts w:ascii="Times New Roman" w:cs="Times New Roman" w:eastAsia="Times New Roman" w:hAnsi="Times New Roman"/>
            <w:sz w:val="18"/>
            <w:szCs w:val="18"/>
            <w:u w:val="single" w:color="auto"/>
            <w:color w:val="0000FF"/>
          </w:rPr>
          <w:t>laws of FactSet Research Systems Inc.</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effective September 27, 2021</w:t>
        </w:r>
      </w:hyperlink>
    </w:p>
    <w:p>
      <w:pPr>
        <w:spacing w:after="0" w:line="14" w:lineRule="exact"/>
        <w:rPr>
          <w:rFonts w:ascii="Times New Roman" w:cs="Times New Roman" w:eastAsia="Times New Roman" w:hAnsi="Times New Roman"/>
          <w:sz w:val="18"/>
          <w:szCs w:val="18"/>
          <w:u w:val="single" w:color="auto"/>
          <w:color w:val="0000FF"/>
        </w:rPr>
      </w:pPr>
    </w:p>
    <w:p>
      <w:pPr>
        <w:ind w:left="980"/>
        <w:spacing w:after="0"/>
        <w:tabs>
          <w:tab w:leader="none" w:pos="1740" w:val="left"/>
        </w:tabs>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4.0</w:t>
        </w:r>
      </w:hyperlink>
      <w:r>
        <w:rPr>
          <w:rFonts w:ascii="Times New Roman" w:cs="Times New Roman" w:eastAsia="Times New Roman" w:hAnsi="Times New Roman"/>
          <w:sz w:val="18"/>
          <w:szCs w:val="18"/>
          <w:u w:val="single" w:color="auto"/>
          <w:color w:val="0000FF"/>
        </w:rPr>
        <w:tab/>
      </w:r>
      <w:hyperlink r:id="rId125">
        <w:r>
          <w:rPr>
            <w:rFonts w:ascii="Times New Roman" w:cs="Times New Roman" w:eastAsia="Times New Roman" w:hAnsi="Times New Roman"/>
            <w:sz w:val="18"/>
            <w:szCs w:val="18"/>
            <w:u w:val="single" w:color="auto"/>
            <w:color w:val="0000FF"/>
          </w:rPr>
          <w:t>Form of Common Stock</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001-11869</w:t>
            </w: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9/6/2018</w:t>
            </w:r>
          </w:p>
        </w:tc>
      </w:tr>
      <w:tr>
        <w:trPr>
          <w:trHeight w:val="702"/>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001-11869</w:t>
            </w: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10/1/2021</w:t>
            </w:r>
          </w:p>
        </w:tc>
      </w:tr>
      <w:tr>
        <w:trPr>
          <w:trHeight w:val="702"/>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333-04238</w:t>
            </w: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6/26/1996</w:t>
            </w:r>
          </w:p>
        </w:tc>
      </w:tr>
    </w:tbl>
    <w:p>
      <w:pPr>
        <w:spacing w:after="0" w:line="200" w:lineRule="exact"/>
        <w:rPr>
          <w:sz w:val="20"/>
          <w:szCs w:val="20"/>
          <w:color w:val="auto"/>
        </w:rPr>
      </w:pPr>
    </w:p>
    <w:p>
      <w:pPr>
        <w:sectPr>
          <w:pgSz w:w="11900" w:h="16838" w:orient="portrait"/>
          <w:cols w:equalWidth="0" w:num="2">
            <w:col w:w="4880" w:space="300"/>
            <w:col w:w="5980"/>
          </w:cols>
          <w:pgMar w:left="320" w:top="297" w:right="41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60" w:right="80" w:hanging="777"/>
        <w:spacing w:after="0" w:line="261" w:lineRule="auto"/>
        <w:tabs>
          <w:tab w:leader="none" w:pos="1740" w:val="left"/>
        </w:tabs>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27">
        <w:r>
          <w:rPr>
            <w:rFonts w:ascii="Times New Roman" w:cs="Times New Roman" w:eastAsia="Times New Roman" w:hAnsi="Times New Roman"/>
            <w:sz w:val="18"/>
            <w:szCs w:val="18"/>
            <w:u w:val="single" w:color="auto"/>
            <w:color w:val="0000FF"/>
          </w:rPr>
          <w:t>Indenture, dated as of March 1, 2022,</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between FactSet Research Systems Inc. and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U.S. Bank Trust Company, National</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Association, as trustee</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1760" w:hanging="777"/>
        <w:spacing w:after="0" w:line="261" w:lineRule="auto"/>
        <w:tabs>
          <w:tab w:leader="none" w:pos="1740" w:val="left"/>
        </w:tabs>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28">
        <w:r>
          <w:rPr>
            <w:rFonts w:ascii="Times New Roman" w:cs="Times New Roman" w:eastAsia="Times New Roman" w:hAnsi="Times New Roman"/>
            <w:sz w:val="18"/>
            <w:szCs w:val="18"/>
            <w:u w:val="single" w:color="auto"/>
            <w:color w:val="0000FF"/>
          </w:rPr>
          <w:t>Supplemental Indenture, dated as of March</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1, 2022, between FactSet Research Systems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Inc. and U.S. Bank Trust Company, National</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Association, as trustee</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1760" w:right="400" w:hanging="777"/>
        <w:spacing w:after="0" w:line="266" w:lineRule="auto"/>
        <w:tabs>
          <w:tab w:leader="none" w:pos="1740" w:val="left"/>
        </w:tabs>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u w:val="single" w:color="auto"/>
          <w:color w:val="0000FF"/>
        </w:rPr>
        <w:tab/>
      </w:r>
      <w:hyperlink r:id="rId128">
        <w:r>
          <w:rPr>
            <w:rFonts w:ascii="Times New Roman" w:cs="Times New Roman" w:eastAsia="Times New Roman" w:hAnsi="Times New Roman"/>
            <w:sz w:val="18"/>
            <w:szCs w:val="18"/>
            <w:u w:val="single" w:color="auto"/>
            <w:color w:val="0000FF"/>
          </w:rPr>
          <w:t>Form of 2.900% Global Note due 2027</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(included in Exhibit A-1 to Exhibit 4.2</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above)</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760" w:right="400" w:hanging="777"/>
        <w:spacing w:after="0" w:line="266" w:lineRule="auto"/>
        <w:tabs>
          <w:tab w:leader="none" w:pos="1740" w:val="left"/>
        </w:tabs>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u w:val="single" w:color="auto"/>
          <w:color w:val="0000FF"/>
        </w:rPr>
        <w:tab/>
      </w:r>
      <w:hyperlink r:id="rId128">
        <w:r>
          <w:rPr>
            <w:rFonts w:ascii="Times New Roman" w:cs="Times New Roman" w:eastAsia="Times New Roman" w:hAnsi="Times New Roman"/>
            <w:sz w:val="18"/>
            <w:szCs w:val="18"/>
            <w:u w:val="single" w:color="auto"/>
            <w:color w:val="0000FF"/>
          </w:rPr>
          <w:t>Form of 3.450% Global Note due 2032</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(included in Exhibit A-2 to Exhibit 4.2</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above)</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760" w:right="180" w:hanging="822"/>
        <w:spacing w:after="0" w:line="242" w:lineRule="auto"/>
        <w:tabs>
          <w:tab w:leader="none" w:pos="1740" w:val="left"/>
        </w:tabs>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29">
        <w:r>
          <w:rPr>
            <w:rFonts w:ascii="Times New Roman" w:cs="Times New Roman" w:eastAsia="Times New Roman" w:hAnsi="Times New Roman"/>
            <w:sz w:val="17"/>
            <w:szCs w:val="17"/>
            <w:u w:val="single" w:color="auto"/>
            <w:color w:val="0000FF"/>
          </w:rPr>
          <w:t>FactSet Research Systems Inc. 2004</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Employee Stock Option and Award Plan</w:t>
        </w:r>
        <w:r>
          <w:rPr>
            <w:rFonts w:ascii="Times New Roman" w:cs="Times New Roman" w:eastAsia="Times New Roman" w:hAnsi="Times New Roman"/>
            <w:sz w:val="22"/>
            <w:szCs w:val="22"/>
            <w:u w:val="single" w:color="auto"/>
            <w:color w:val="0000FF"/>
            <w:vertAlign w:val="superscript"/>
          </w:rPr>
          <w:t>(1)</w:t>
        </w:r>
      </w:hyperlink>
    </w:p>
    <w:p>
      <w:pPr>
        <w:spacing w:after="0" w:line="34" w:lineRule="exact"/>
        <w:rPr>
          <w:rFonts w:ascii="Times New Roman" w:cs="Times New Roman" w:eastAsia="Times New Roman" w:hAnsi="Times New Roman"/>
          <w:sz w:val="18"/>
          <w:szCs w:val="18"/>
          <w:u w:val="single" w:color="auto"/>
          <w:color w:val="0000FF"/>
        </w:rPr>
      </w:pPr>
    </w:p>
    <w:p>
      <w:pPr>
        <w:jc w:val="both"/>
        <w:ind w:left="1760" w:right="160" w:hanging="822"/>
        <w:spacing w:after="0" w:line="235" w:lineRule="auto"/>
        <w:tabs>
          <w:tab w:leader="none" w:pos="1740" w:val="left"/>
        </w:tabs>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30">
        <w:r>
          <w:rPr>
            <w:rFonts w:ascii="Times New Roman" w:cs="Times New Roman" w:eastAsia="Times New Roman" w:hAnsi="Times New Roman"/>
            <w:sz w:val="18"/>
            <w:szCs w:val="18"/>
            <w:u w:val="single" w:color="auto"/>
            <w:color w:val="0000FF"/>
          </w:rPr>
          <w:t>FactSet Research Systems Inc. 2004 Stock</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Option and Award Plan, as Amended and</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Restated</w:t>
        </w:r>
        <w:r>
          <w:rPr>
            <w:rFonts w:ascii="Times New Roman" w:cs="Times New Roman" w:eastAsia="Times New Roman" w:hAnsi="Times New Roman"/>
            <w:sz w:val="23"/>
            <w:szCs w:val="23"/>
            <w:u w:val="single" w:color="auto"/>
            <w:color w:val="0000FF"/>
            <w:vertAlign w:val="superscript"/>
          </w:rPr>
          <w:t>(1)</w:t>
        </w:r>
      </w:hyperlink>
    </w:p>
    <w:p>
      <w:pPr>
        <w:spacing w:after="0" w:line="38" w:lineRule="exact"/>
        <w:rPr>
          <w:rFonts w:ascii="Times New Roman" w:cs="Times New Roman" w:eastAsia="Times New Roman" w:hAnsi="Times New Roman"/>
          <w:sz w:val="18"/>
          <w:szCs w:val="18"/>
          <w:u w:val="single" w:color="auto"/>
          <w:color w:val="0000FF"/>
        </w:rPr>
      </w:pPr>
    </w:p>
    <w:p>
      <w:pPr>
        <w:jc w:val="right"/>
        <w:ind w:left="940" w:right="20"/>
        <w:spacing w:after="0" w:line="236"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10.3      FactSet Research Systems Inc. Stock Option</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and Award Plan as Amended and Restated</w:t>
        </w:r>
        <w:r>
          <w:rPr>
            <w:rFonts w:ascii="Times New Roman" w:cs="Times New Roman" w:eastAsia="Times New Roman" w:hAnsi="Times New Roman"/>
            <w:sz w:val="23"/>
            <w:szCs w:val="23"/>
            <w:u w:val="single" w:color="auto"/>
            <w:color w:val="0000FF"/>
            <w:vertAlign w:val="superscript"/>
          </w:rPr>
          <w:t>(1)</w:t>
        </w:r>
      </w:hyperlink>
    </w:p>
    <w:p>
      <w:pPr>
        <w:spacing w:after="0" w:line="22" w:lineRule="exact"/>
        <w:rPr>
          <w:sz w:val="20"/>
          <w:szCs w:val="20"/>
          <w:color w:val="auto"/>
        </w:rPr>
      </w:pPr>
    </w:p>
    <w:p>
      <w:pPr>
        <w:jc w:val="right"/>
        <w:ind w:left="940" w:right="200"/>
        <w:spacing w:after="0" w:line="23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10.4      FactSet Research Systems Inc. 2008 Non-</w:t>
        </w:r>
      </w:hyperlink>
      <w:hyperlink r:id="rId132">
        <w:r>
          <w:rPr>
            <w:rFonts w:ascii="Times New Roman" w:cs="Times New Roman" w:eastAsia="Times New Roman" w:hAnsi="Times New Roman"/>
            <w:sz w:val="18"/>
            <w:szCs w:val="18"/>
            <w:u w:val="single" w:color="auto"/>
            <w:color w:val="0000FF"/>
          </w:rPr>
          <w:t>Employee Directors’ Stock Option Plan</w:t>
        </w:r>
        <w:r>
          <w:rPr>
            <w:rFonts w:ascii="Times New Roman" w:cs="Times New Roman" w:eastAsia="Times New Roman" w:hAnsi="Times New Roman"/>
            <w:sz w:val="23"/>
            <w:szCs w:val="23"/>
            <w:u w:val="single" w:color="auto"/>
            <w:color w:val="0000FF"/>
            <w:vertAlign w:val="superscript"/>
          </w:rPr>
          <w:t>(1)</w:t>
        </w:r>
      </w:hyperlink>
    </w:p>
    <w:p>
      <w:pPr>
        <w:spacing w:after="0" w:line="22" w:lineRule="exact"/>
        <w:rPr>
          <w:sz w:val="20"/>
          <w:szCs w:val="20"/>
          <w:color w:val="auto"/>
        </w:rPr>
      </w:pPr>
    </w:p>
    <w:p>
      <w:pPr>
        <w:ind w:left="1760" w:right="300" w:hanging="822"/>
        <w:spacing w:after="0" w:line="252" w:lineRule="auto"/>
        <w:tabs>
          <w:tab w:leader="none" w:pos="1740" w:val="left"/>
        </w:tabs>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33">
        <w:r>
          <w:rPr>
            <w:rFonts w:ascii="Times New Roman" w:cs="Times New Roman" w:eastAsia="Times New Roman" w:hAnsi="Times New Roman"/>
            <w:sz w:val="17"/>
            <w:szCs w:val="17"/>
            <w:u w:val="single" w:color="auto"/>
            <w:color w:val="0000FF"/>
          </w:rPr>
          <w:t>FactSet Research Systems Inc. Non-</w:t>
        </w:r>
      </w:hyperlink>
      <w:hyperlink r:id="rId133">
        <w:r>
          <w:rPr>
            <w:rFonts w:ascii="Times New Roman" w:cs="Times New Roman" w:eastAsia="Times New Roman" w:hAnsi="Times New Roman"/>
            <w:sz w:val="17"/>
            <w:szCs w:val="17"/>
            <w:u w:val="single" w:color="auto"/>
            <w:color w:val="0000FF"/>
          </w:rPr>
          <w:t>Employee Directors’ Stock Option and</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Award Plan, as Amended and Restated</w:t>
        </w:r>
        <w:r>
          <w:rPr>
            <w:rFonts w:ascii="Times New Roman" w:cs="Times New Roman" w:eastAsia="Times New Roman" w:hAnsi="Times New Roman"/>
            <w:sz w:val="22"/>
            <w:szCs w:val="22"/>
            <w:u w:val="single" w:color="auto"/>
            <w:color w:val="0000FF"/>
            <w:vertAlign w:val="superscript"/>
          </w:rPr>
          <w:t>(1)</w:t>
        </w:r>
      </w:hyperlink>
    </w:p>
    <w:p>
      <w:pPr>
        <w:spacing w:after="0" w:line="26" w:lineRule="exact"/>
        <w:rPr>
          <w:rFonts w:ascii="Times New Roman" w:cs="Times New Roman" w:eastAsia="Times New Roman" w:hAnsi="Times New Roman"/>
          <w:sz w:val="17"/>
          <w:szCs w:val="17"/>
          <w:u w:val="single" w:color="auto"/>
          <w:color w:val="0000FF"/>
        </w:rPr>
      </w:pPr>
    </w:p>
    <w:p>
      <w:pPr>
        <w:ind w:left="1760" w:right="280" w:hanging="822"/>
        <w:spacing w:after="0" w:line="235" w:lineRule="auto"/>
        <w:tabs>
          <w:tab w:leader="none" w:pos="1740" w:val="left"/>
        </w:tabs>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34">
        <w:r>
          <w:rPr>
            <w:rFonts w:ascii="Times New Roman" w:cs="Times New Roman" w:eastAsia="Times New Roman" w:hAnsi="Times New Roman"/>
            <w:sz w:val="18"/>
            <w:szCs w:val="18"/>
            <w:u w:val="single" w:color="auto"/>
            <w:color w:val="0000FF"/>
          </w:rPr>
          <w:t>Lease, dated February 14, 2018, between</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FactSet Research Systems Inc. and 45</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Glover Partners, LLC</w:t>
        </w:r>
        <w:r>
          <w:rPr>
            <w:rFonts w:ascii="Times New Roman" w:cs="Times New Roman" w:eastAsia="Times New Roman" w:hAnsi="Times New Roman"/>
            <w:sz w:val="23"/>
            <w:szCs w:val="23"/>
            <w:u w:val="single" w:color="auto"/>
            <w:color w:val="0000FF"/>
            <w:vertAlign w:val="superscript"/>
          </w:rPr>
          <w:t>(2)</w:t>
        </w:r>
      </w:hyperlink>
    </w:p>
    <w:p>
      <w:pPr>
        <w:spacing w:after="0" w:line="38" w:lineRule="exact"/>
        <w:rPr>
          <w:rFonts w:ascii="Times New Roman" w:cs="Times New Roman" w:eastAsia="Times New Roman" w:hAnsi="Times New Roman"/>
          <w:sz w:val="18"/>
          <w:szCs w:val="18"/>
          <w:u w:val="single" w:color="auto"/>
          <w:color w:val="0000FF"/>
        </w:rPr>
      </w:pPr>
    </w:p>
    <w:p>
      <w:pPr>
        <w:ind w:left="1760" w:right="260" w:hanging="822"/>
        <w:spacing w:after="0" w:line="229" w:lineRule="auto"/>
        <w:tabs>
          <w:tab w:leader="none" w:pos="1740" w:val="left"/>
        </w:tabs>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35">
        <w:r>
          <w:rPr>
            <w:rFonts w:ascii="Times New Roman" w:cs="Times New Roman" w:eastAsia="Times New Roman" w:hAnsi="Times New Roman"/>
            <w:sz w:val="18"/>
            <w:szCs w:val="18"/>
            <w:u w:val="single" w:color="auto"/>
            <w:color w:val="0000FF"/>
          </w:rPr>
          <w:t>FactSet Research Systems Inc. Executive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Severance Plan</w:t>
        </w:r>
        <w:r>
          <w:rPr>
            <w:rFonts w:ascii="Times New Roman" w:cs="Times New Roman" w:eastAsia="Times New Roman" w:hAnsi="Times New Roman"/>
            <w:sz w:val="23"/>
            <w:szCs w:val="23"/>
            <w:u w:val="single" w:color="auto"/>
            <w:color w:val="0000FF"/>
            <w:vertAlign w:val="superscript"/>
          </w:rPr>
          <w:t>(1)</w:t>
        </w:r>
      </w:hyperlink>
    </w:p>
    <w:p>
      <w:pPr>
        <w:spacing w:after="0" w:line="36" w:lineRule="exact"/>
        <w:rPr>
          <w:rFonts w:ascii="Times New Roman" w:cs="Times New Roman" w:eastAsia="Times New Roman" w:hAnsi="Times New Roman"/>
          <w:sz w:val="18"/>
          <w:szCs w:val="18"/>
          <w:u w:val="single" w:color="auto"/>
          <w:color w:val="0000FF"/>
        </w:rPr>
      </w:pPr>
    </w:p>
    <w:p>
      <w:pPr>
        <w:ind w:left="1760" w:right="520" w:hanging="822"/>
        <w:spacing w:after="0" w:line="229" w:lineRule="auto"/>
        <w:tabs>
          <w:tab w:leader="none" w:pos="174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Form of FactSet Research Inc. Equity</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Award Agreement</w:t>
        </w:r>
        <w:r>
          <w:rPr>
            <w:rFonts w:ascii="Times New Roman" w:cs="Times New Roman" w:eastAsia="Times New Roman" w:hAnsi="Times New Roman"/>
            <w:sz w:val="23"/>
            <w:szCs w:val="23"/>
            <w:u w:val="single" w:color="auto"/>
            <w:color w:val="0000FF"/>
            <w:vertAlign w:val="superscript"/>
          </w:rPr>
          <w:t>(1)</w:t>
        </w:r>
      </w:hyperlink>
    </w:p>
    <w:p>
      <w:pPr>
        <w:spacing w:after="0" w:line="36" w:lineRule="exact"/>
        <w:rPr>
          <w:rFonts w:ascii="Times New Roman" w:cs="Times New Roman" w:eastAsia="Times New Roman" w:hAnsi="Times New Roman"/>
          <w:sz w:val="18"/>
          <w:szCs w:val="18"/>
          <w:u w:val="single" w:color="auto"/>
          <w:color w:val="0000FF"/>
        </w:rPr>
      </w:pPr>
    </w:p>
    <w:p>
      <w:pPr>
        <w:ind w:left="1760" w:right="100" w:hanging="822"/>
        <w:spacing w:after="0" w:line="256" w:lineRule="auto"/>
        <w:tabs>
          <w:tab w:leader="none" w:pos="174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8"/>
            <w:szCs w:val="18"/>
            <w:u w:val="single" w:color="auto"/>
            <w:color w:val="0000FF"/>
          </w:rPr>
          <w:t>Credit Agreement dated as of March 1,</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2022, among FactSet Research Systems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Inc., the Borrowing Subsidiaries party</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thereto, the Lenders party thereto, and PNC</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Bank, National Association, as the</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Administrative Agent</w:t>
        </w:r>
      </w:hyperlink>
    </w:p>
    <w:p>
      <w:pPr>
        <w:spacing w:after="0" w:line="25" w:lineRule="exact"/>
        <w:rPr>
          <w:rFonts w:ascii="Times New Roman" w:cs="Times New Roman" w:eastAsia="Times New Roman" w:hAnsi="Times New Roman"/>
          <w:sz w:val="18"/>
          <w:szCs w:val="18"/>
          <w:u w:val="single" w:color="auto"/>
          <w:color w:val="0000FF"/>
        </w:rPr>
      </w:pPr>
    </w:p>
    <w:p>
      <w:pPr>
        <w:ind w:left="1760" w:right="100" w:hanging="867"/>
        <w:spacing w:after="0" w:line="261" w:lineRule="auto"/>
        <w:tabs>
          <w:tab w:leader="none" w:pos="174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Separation Agreement and General Release</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of Claims dated April 26, 2022 between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FactSet Research Systems Inc. and Gene</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Fernandez</w:t>
        </w:r>
      </w:hyperlink>
    </w:p>
    <w:p>
      <w:pPr>
        <w:spacing w:after="0" w:line="31" w:lineRule="exact"/>
        <w:rPr>
          <w:rFonts w:ascii="Times New Roman" w:cs="Times New Roman" w:eastAsia="Times New Roman" w:hAnsi="Times New Roman"/>
          <w:sz w:val="18"/>
          <w:szCs w:val="18"/>
          <w:u w:val="single" w:color="auto"/>
          <w:color w:val="0000FF"/>
        </w:rPr>
      </w:pPr>
    </w:p>
    <w:p>
      <w:pPr>
        <w:ind w:left="1760" w:right="220" w:hanging="749"/>
        <w:spacing w:after="0" w:line="282" w:lineRule="auto"/>
        <w:tabs>
          <w:tab w:leader="none" w:pos="1760" w:val="left"/>
        </w:tabs>
        <w:numPr>
          <w:ilvl w:val="0"/>
          <w:numId w:val="3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Subsidiaries of FactSet Research Systems Inc.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4"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r>
      <w:tr>
        <w:trPr>
          <w:trHeight w:val="918"/>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r>
      <w:tr>
        <w:trPr>
          <w:trHeight w:val="918"/>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r>
      <w:tr>
        <w:trPr>
          <w:trHeight w:val="702"/>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r>
      <w:tr>
        <w:trPr>
          <w:trHeight w:val="648"/>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DEF-</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11/10/2004</w:t>
            </w:r>
          </w:p>
        </w:tc>
      </w:tr>
      <w:tr>
        <w:trPr>
          <w:trHeight w:val="234"/>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14A</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2"/>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DEFR-</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Appendix 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12/6/2010</w:t>
            </w:r>
          </w:p>
        </w:tc>
      </w:tr>
      <w:tr>
        <w:trPr>
          <w:trHeight w:val="234"/>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14A</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22"/>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12/21/2017</w:t>
            </w:r>
          </w:p>
        </w:tc>
      </w:tr>
      <w:tr>
        <w:trPr>
          <w:trHeight w:val="432"/>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DEF-</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Appendix 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10/30/2008</w:t>
            </w:r>
          </w:p>
        </w:tc>
      </w:tr>
      <w:tr>
        <w:trPr>
          <w:trHeight w:val="234"/>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14A</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06"/>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12/21/2017</w:t>
            </w:r>
          </w:p>
        </w:tc>
      </w:tr>
      <w:tr>
        <w:trPr>
          <w:trHeight w:val="702"/>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4/9/2018</w:t>
            </w:r>
          </w:p>
        </w:tc>
      </w:tr>
      <w:tr>
        <w:trPr>
          <w:trHeight w:val="702"/>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3/5/2020</w:t>
            </w:r>
          </w:p>
        </w:tc>
      </w:tr>
      <w:tr>
        <w:trPr>
          <w:trHeight w:val="486"/>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3/5/2020</w:t>
            </w:r>
          </w:p>
        </w:tc>
      </w:tr>
      <w:tr>
        <w:trPr>
          <w:trHeight w:val="486"/>
        </w:trPr>
        <w:tc>
          <w:tcPr>
            <w:tcW w:w="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001-11869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6" w:lineRule="exact"/>
        <w:rPr>
          <w:rFonts w:ascii="Times New Roman" w:cs="Times New Roman" w:eastAsia="Times New Roman" w:hAnsi="Times New Roman"/>
          <w:sz w:val="18"/>
          <w:szCs w:val="18"/>
          <w:u w:val="single" w:color="auto"/>
          <w:color w:val="0000FF"/>
        </w:rPr>
      </w:pPr>
    </w:p>
    <w:p>
      <w:pPr>
        <w:ind w:left="80"/>
        <w:spacing w:after="0"/>
        <w:tabs>
          <w:tab w:leader="none" w:pos="840" w:val="left"/>
          <w:tab w:leader="none" w:pos="2320" w:val="left"/>
          <w:tab w:leader="none" w:pos="36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001-11869</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7/1/2022</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1" w:lineRule="exact"/>
        <w:rPr>
          <w:rFonts w:ascii="Times New Roman" w:cs="Times New Roman" w:eastAsia="Times New Roman" w:hAnsi="Times New Roman"/>
          <w:sz w:val="18"/>
          <w:szCs w:val="18"/>
          <w:u w:val="single" w:color="auto"/>
          <w:color w:val="0000FF"/>
        </w:rPr>
      </w:pPr>
    </w:p>
    <w:p>
      <w:pPr>
        <w:jc w:val="right"/>
        <w:ind w:right="3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4" w:lineRule="exact"/>
        <w:rPr>
          <w:rFonts w:ascii="Times New Roman" w:cs="Times New Roman" w:eastAsia="Times New Roman" w:hAnsi="Times New Roman"/>
          <w:sz w:val="18"/>
          <w:szCs w:val="18"/>
          <w:u w:val="single" w:color="auto"/>
          <w:color w:val="0000FF"/>
        </w:rPr>
      </w:pPr>
    </w:p>
    <w:p>
      <w:pPr>
        <w:ind w:left="38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-3283585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0" w:space="160"/>
            <w:col w:w="4979"/>
          </w:cols>
          <w:pgMar w:left="320" w:top="297"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1200" w:type="dxa"/>
            <w:vAlign w:val="bottom"/>
            <w:tcBorders>
              <w:top w:val="single" w:sz="8" w:color="0000FF"/>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0000FF"/>
                <w:w w:val="99"/>
              </w:rPr>
              <w:t>23</w:t>
            </w: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260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0000FF"/>
            </w:tcBorders>
            <w:shd w:val="clear" w:color="auto" w:fill="0000FF"/>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00" w:type="dxa"/>
            <w:vAlign w:val="bottom"/>
          </w:tcPr>
          <w:p>
            <w:pPr>
              <w:spacing w:after="0"/>
              <w:rPr>
                <w:sz w:val="20"/>
                <w:szCs w:val="20"/>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w:t>
            </w:r>
          </w:p>
        </w:tc>
        <w:tc>
          <w:tcPr>
            <w:tcW w:w="260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w w:val="99"/>
              </w:rPr>
              <w:t>pursuant to Rule 13a-14(a) and Rule 15d-</w:t>
            </w:r>
          </w:p>
        </w:tc>
        <w:tc>
          <w:tcPr>
            <w:tcW w:w="140" w:type="dxa"/>
            <w:vAlign w:val="bottom"/>
            <w:tcBorders>
              <w:top w:val="single" w:sz="8" w:color="0000FF"/>
            </w:tcBorders>
            <w:gridSpan w:val="2"/>
          </w:tcPr>
          <w:p>
            <w:pPr>
              <w:spacing w:after="0"/>
              <w:rPr>
                <w:sz w:val="17"/>
                <w:szCs w:val="17"/>
                <w:color w:val="auto"/>
              </w:rPr>
            </w:pPr>
          </w:p>
        </w:tc>
        <w:tc>
          <w:tcPr>
            <w:tcW w:w="25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14(a) of the Securities Exchange Act, as</w:t>
            </w:r>
          </w:p>
        </w:tc>
        <w:tc>
          <w:tcPr>
            <w:tcW w:w="2800" w:type="dxa"/>
            <w:vAlign w:val="bottom"/>
            <w:gridSpan w:val="5"/>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5000" w:type="dxa"/>
            <w:vAlign w:val="bottom"/>
            <w:gridSpan w:val="9"/>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8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00" w:type="dxa"/>
            <w:vAlign w:val="bottom"/>
          </w:tcPr>
          <w:p>
            <w:pPr>
              <w:spacing w:after="0"/>
              <w:rPr>
                <w:sz w:val="21"/>
                <w:szCs w:val="21"/>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w:t>
            </w:r>
          </w:p>
        </w:tc>
        <w:tc>
          <w:tcPr>
            <w:tcW w:w="260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w w:val="99"/>
              </w:rPr>
              <w:t>pursuant to Rule 13a-14(a) and Rule 15d-</w:t>
            </w:r>
          </w:p>
        </w:tc>
        <w:tc>
          <w:tcPr>
            <w:tcW w:w="100" w:type="dxa"/>
            <w:vAlign w:val="bottom"/>
            <w:tcBorders>
              <w:top w:val="single" w:sz="8" w:color="0000FF"/>
            </w:tcBorders>
          </w:tcPr>
          <w:p>
            <w:pPr>
              <w:spacing w:after="0"/>
              <w:rPr>
                <w:sz w:val="17"/>
                <w:szCs w:val="17"/>
                <w:color w:val="auto"/>
              </w:rPr>
            </w:pPr>
          </w:p>
        </w:tc>
        <w:tc>
          <w:tcPr>
            <w:tcW w:w="260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14(a) of the Securities Exchange Act, as</w:t>
            </w:r>
          </w:p>
        </w:tc>
        <w:tc>
          <w:tcPr>
            <w:tcW w:w="2800" w:type="dxa"/>
            <w:vAlign w:val="bottom"/>
            <w:gridSpan w:val="5"/>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5000" w:type="dxa"/>
            <w:vAlign w:val="bottom"/>
            <w:gridSpan w:val="9"/>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8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500" w:type="dxa"/>
            <w:vAlign w:val="bottom"/>
          </w:tcPr>
          <w:p>
            <w:pPr>
              <w:spacing w:after="0"/>
              <w:rPr>
                <w:sz w:val="21"/>
                <w:szCs w:val="21"/>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w:t>
            </w:r>
          </w:p>
        </w:tc>
        <w:tc>
          <w:tcPr>
            <w:tcW w:w="260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w w:val="99"/>
              </w:rPr>
              <w:t>pursuant to 18 U.S.C. 1350, as adopted</w:t>
            </w:r>
          </w:p>
        </w:tc>
        <w:tc>
          <w:tcPr>
            <w:tcW w:w="320" w:type="dxa"/>
            <w:vAlign w:val="bottom"/>
            <w:tcBorders>
              <w:top w:val="single" w:sz="8" w:color="0000FF"/>
            </w:tcBorders>
            <w:gridSpan w:val="5"/>
          </w:tcPr>
          <w:p>
            <w:pPr>
              <w:spacing w:after="0"/>
              <w:rPr>
                <w:sz w:val="17"/>
                <w:szCs w:val="17"/>
                <w:color w:val="auto"/>
              </w:rPr>
            </w:pPr>
          </w:p>
        </w:tc>
        <w:tc>
          <w:tcPr>
            <w:tcW w:w="25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w:t>
            </w:r>
          </w:p>
        </w:tc>
        <w:tc>
          <w:tcPr>
            <w:tcW w:w="2780" w:type="dxa"/>
            <w:vAlign w:val="bottom"/>
            <w:gridSpan w:val="4"/>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jc w:val="center"/>
              <w:ind w:left="85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5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360" w:type="dxa"/>
            <w:vAlign w:val="bottom"/>
            <w:tcBorders>
              <w:left w:val="single" w:sz="8" w:color="0000FF"/>
            </w:tcBorders>
            <w:gridSpan w:val="8"/>
          </w:tcPr>
          <w:p>
            <w:pPr>
              <w:spacing w:after="0" w:line="20" w:lineRule="exact"/>
              <w:rPr>
                <w:sz w:val="1"/>
                <w:szCs w:val="1"/>
                <w:color w:val="auto"/>
              </w:rPr>
            </w:pPr>
          </w:p>
        </w:tc>
        <w:tc>
          <w:tcPr>
            <w:tcW w:w="260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line="20" w:lineRule="exact"/>
              <w:rPr>
                <w:sz w:val="1"/>
                <w:szCs w:val="1"/>
                <w:color w:val="auto"/>
              </w:rPr>
            </w:pPr>
          </w:p>
        </w:tc>
      </w:tr>
      <w:tr>
        <w:trPr>
          <w:trHeight w:val="244"/>
        </w:trPr>
        <w:tc>
          <w:tcPr>
            <w:tcW w:w="1280" w:type="dxa"/>
            <w:vAlign w:val="bottom"/>
            <w:gridSpan w:val="5"/>
            <w:vMerge w:val="continue"/>
          </w:tcPr>
          <w:p>
            <w:pPr>
              <w:spacing w:after="0"/>
              <w:rPr>
                <w:sz w:val="21"/>
                <w:szCs w:val="21"/>
                <w:color w:val="auto"/>
              </w:rPr>
            </w:pPr>
          </w:p>
        </w:tc>
        <w:tc>
          <w:tcPr>
            <w:tcW w:w="500" w:type="dxa"/>
            <w:vAlign w:val="bottom"/>
          </w:tcPr>
          <w:p>
            <w:pPr>
              <w:spacing w:after="0"/>
              <w:rPr>
                <w:sz w:val="21"/>
                <w:szCs w:val="21"/>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w:t>
            </w:r>
          </w:p>
        </w:tc>
        <w:tc>
          <w:tcPr>
            <w:tcW w:w="2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w w:val="99"/>
              </w:rPr>
              <w:t>pursuant to 18 U.S.C. 1350, as adopted</w:t>
            </w:r>
          </w:p>
        </w:tc>
        <w:tc>
          <w:tcPr>
            <w:tcW w:w="280" w:type="dxa"/>
            <w:vAlign w:val="bottom"/>
            <w:tcBorders>
              <w:top w:val="single" w:sz="8" w:color="0000FF"/>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w:t>
            </w:r>
          </w:p>
        </w:tc>
        <w:tc>
          <w:tcPr>
            <w:tcW w:w="2780" w:type="dxa"/>
            <w:vAlign w:val="bottom"/>
            <w:gridSpan w:val="4"/>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gridSpan w:val="6"/>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780" w:type="dxa"/>
            <w:vAlign w:val="bottom"/>
            <w:gridSpan w:val="6"/>
          </w:tcPr>
          <w:p>
            <w:pPr>
              <w:jc w:val="center"/>
              <w:ind w:left="350"/>
              <w:spacing w:after="0"/>
              <w:rPr>
                <w:sz w:val="20"/>
                <w:szCs w:val="20"/>
                <w:color w:val="auto"/>
              </w:rPr>
            </w:pPr>
            <w:r>
              <w:rPr>
                <w:rFonts w:ascii="Times New Roman" w:cs="Times New Roman" w:eastAsia="Times New Roman" w:hAnsi="Times New Roman"/>
                <w:sz w:val="18"/>
                <w:szCs w:val="18"/>
                <w:color w:val="auto"/>
              </w:rPr>
              <w:t>101.INS</w:t>
            </w: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60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0"/>
        </w:trPr>
        <w:tc>
          <w:tcPr>
            <w:tcW w:w="1780" w:type="dxa"/>
            <w:vAlign w:val="bottom"/>
            <w:gridSpan w:val="6"/>
          </w:tcPr>
          <w:p>
            <w:pPr>
              <w:jc w:val="center"/>
              <w:ind w:left="350"/>
              <w:spacing w:after="0"/>
              <w:rPr>
                <w:sz w:val="20"/>
                <w:szCs w:val="20"/>
                <w:color w:val="auto"/>
              </w:rPr>
            </w:pPr>
            <w:r>
              <w:rPr>
                <w:rFonts w:ascii="Times New Roman" w:cs="Times New Roman" w:eastAsia="Times New Roman" w:hAnsi="Times New Roman"/>
                <w:sz w:val="18"/>
                <w:szCs w:val="18"/>
                <w:color w:val="auto"/>
                <w:w w:val="99"/>
              </w:rPr>
              <w:t>101.SCH</w:t>
            </w: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260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80"/>
        </w:trPr>
        <w:tc>
          <w:tcPr>
            <w:tcW w:w="1780" w:type="dxa"/>
            <w:vAlign w:val="bottom"/>
            <w:gridSpan w:val="6"/>
          </w:tcPr>
          <w:p>
            <w:pPr>
              <w:jc w:val="center"/>
              <w:ind w:left="350"/>
              <w:spacing w:after="0" w:line="181" w:lineRule="exact"/>
              <w:rPr>
                <w:sz w:val="20"/>
                <w:szCs w:val="20"/>
                <w:color w:val="auto"/>
              </w:rPr>
            </w:pPr>
            <w:r>
              <w:rPr>
                <w:rFonts w:ascii="Times New Roman" w:cs="Times New Roman" w:eastAsia="Times New Roman" w:hAnsi="Times New Roman"/>
                <w:sz w:val="18"/>
                <w:szCs w:val="18"/>
                <w:color w:val="auto"/>
                <w:w w:val="97"/>
              </w:rPr>
              <w:t>101.CAL</w:t>
            </w:r>
          </w:p>
        </w:tc>
        <w:tc>
          <w:tcPr>
            <w:tcW w:w="57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w:t>
            </w:r>
          </w:p>
        </w:tc>
        <w:tc>
          <w:tcPr>
            <w:tcW w:w="2600" w:type="dxa"/>
            <w:vAlign w:val="bottom"/>
          </w:tcPr>
          <w:p>
            <w:pPr>
              <w:ind w:left="2480"/>
              <w:spacing w:after="0" w:line="181" w:lineRule="exact"/>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780" w:type="dxa"/>
            <w:vAlign w:val="bottom"/>
            <w:gridSpan w:val="6"/>
          </w:tcPr>
          <w:p>
            <w:pPr>
              <w:jc w:val="center"/>
              <w:ind w:left="35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5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w:t>
            </w:r>
          </w:p>
        </w:tc>
        <w:tc>
          <w:tcPr>
            <w:tcW w:w="2600" w:type="dxa"/>
            <w:vAlign w:val="bottom"/>
          </w:tcPr>
          <w:p>
            <w:pPr>
              <w:ind w:left="2480"/>
              <w:spacing w:after="0" w:line="184" w:lineRule="exact"/>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780" w:type="dxa"/>
            <w:vAlign w:val="bottom"/>
            <w:gridSpan w:val="6"/>
          </w:tcPr>
          <w:p>
            <w:pPr>
              <w:jc w:val="center"/>
              <w:ind w:left="350"/>
              <w:spacing w:after="0"/>
              <w:rPr>
                <w:sz w:val="20"/>
                <w:szCs w:val="20"/>
                <w:color w:val="auto"/>
              </w:rPr>
            </w:pPr>
            <w:r>
              <w:rPr>
                <w:rFonts w:ascii="Times New Roman" w:cs="Times New Roman" w:eastAsia="Times New Roman" w:hAnsi="Times New Roman"/>
                <w:sz w:val="18"/>
                <w:szCs w:val="18"/>
                <w:color w:val="auto"/>
                <w:w w:val="97"/>
              </w:rPr>
              <w:t>101.LAB</w:t>
            </w: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260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80"/>
        </w:trPr>
        <w:tc>
          <w:tcPr>
            <w:tcW w:w="1780" w:type="dxa"/>
            <w:vAlign w:val="bottom"/>
            <w:gridSpan w:val="6"/>
          </w:tcPr>
          <w:p>
            <w:pPr>
              <w:jc w:val="center"/>
              <w:ind w:left="35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57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w:t>
            </w:r>
          </w:p>
        </w:tc>
        <w:tc>
          <w:tcPr>
            <w:tcW w:w="2600" w:type="dxa"/>
            <w:vAlign w:val="bottom"/>
          </w:tcPr>
          <w:p>
            <w:pPr>
              <w:ind w:left="2480"/>
              <w:spacing w:after="0" w:line="181" w:lineRule="exact"/>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4"/>
          </w:tcPr>
          <w:p>
            <w:pPr>
              <w:jc w:val="center"/>
              <w:ind w:left="870"/>
              <w:spacing w:after="0" w:line="184" w:lineRule="exact"/>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w:t>
            </w:r>
          </w:p>
        </w:tc>
        <w:tc>
          <w:tcPr>
            <w:tcW w:w="2600" w:type="dxa"/>
            <w:vAlign w:val="bottom"/>
          </w:tcPr>
          <w:p>
            <w:pPr>
              <w:ind w:left="2480"/>
              <w:spacing w:after="0" w:line="184" w:lineRule="exact"/>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as Inline XBRL and contained in Exhibit</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Indicates a management contract or compensatory plan or arrangement</w:t>
      </w:r>
    </w:p>
    <w:p>
      <w:pPr>
        <w:spacing w:after="0" w:line="127" w:lineRule="exact"/>
        <w:rPr>
          <w:rFonts w:ascii="Times New Roman" w:cs="Times New Roman" w:eastAsia="Times New Roman" w:hAnsi="Times New Roman"/>
          <w:sz w:val="23"/>
          <w:szCs w:val="23"/>
          <w:i w:val="1"/>
          <w:iCs w:val="1"/>
          <w:color w:val="auto"/>
          <w:vertAlign w:val="superscript"/>
        </w:rPr>
      </w:pPr>
    </w:p>
    <w:p>
      <w:pPr>
        <w:ind w:left="320" w:hanging="312"/>
        <w:spacing w:after="0"/>
        <w:tabs>
          <w:tab w:leader="none" w:pos="320" w:val="left"/>
        </w:tabs>
        <w:numPr>
          <w:ilvl w:val="0"/>
          <w:numId w:val="37"/>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Confidential treatment has been granted for portions of this exhibit.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4"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on Form 10-K to be signed on its behalf by the undersigned, thereunto duly authorized.</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2022</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 PHILIP SNOW</w:t>
            </w:r>
          </w:p>
        </w:tc>
      </w:tr>
      <w:tr>
        <w:trPr>
          <w:trHeight w:val="218"/>
        </w:trPr>
        <w:tc>
          <w:tcPr>
            <w:tcW w:w="500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 Philip Snow</w:t>
            </w:r>
          </w:p>
        </w:tc>
      </w:tr>
      <w:tr>
        <w:trPr>
          <w:trHeight w:val="234"/>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5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on Form 10-K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2600" w:type="dxa"/>
            <w:vAlign w:val="bottom"/>
          </w:tcPr>
          <w:p>
            <w:pPr>
              <w:spacing w:after="0"/>
              <w:rPr>
                <w:sz w:val="17"/>
                <w:szCs w:val="17"/>
                <w:color w:val="auto"/>
              </w:rPr>
            </w:pPr>
          </w:p>
        </w:tc>
        <w:tc>
          <w:tcPr>
            <w:tcW w:w="5280" w:type="dxa"/>
            <w:vAlign w:val="bottom"/>
            <w:gridSpan w:val="3"/>
          </w:tcPr>
          <w:p>
            <w:pPr>
              <w:ind w:left="120"/>
              <w:spacing w:after="0" w:line="199" w:lineRule="exact"/>
              <w:rPr>
                <w:sz w:val="20"/>
                <w:szCs w:val="20"/>
                <w:color w:val="auto"/>
              </w:rPr>
            </w:pPr>
            <w:r>
              <w:rPr>
                <w:rFonts w:ascii="Times New Roman" w:cs="Times New Roman" w:eastAsia="Times New Roman" w:hAnsi="Times New Roman"/>
                <w:sz w:val="18"/>
                <w:szCs w:val="18"/>
                <w:b w:val="1"/>
                <w:bCs w:val="1"/>
                <w:color w:val="auto"/>
              </w:rPr>
              <w:t>Title</w:t>
            </w:r>
          </w:p>
        </w:tc>
        <w:tc>
          <w:tcPr>
            <w:tcW w:w="2040" w:type="dxa"/>
            <w:vAlign w:val="bottom"/>
            <w:gridSpan w:val="3"/>
          </w:tcPr>
          <w:p>
            <w:pPr>
              <w:ind w:left="780"/>
              <w:spacing w:after="0" w:line="199"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 PHILIP SNOW</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Philip Snow</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LINDA S. HUBER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S. Huber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T. MOSKOFF</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T. Moskoff</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ROBIN A. ABRAMS</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A. Abrams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SIEW KAI CHOY</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Siew Kai Choy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MALCOLM FRANK</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Malcolm Frank</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J. MCGONIGLE</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McGonigle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LEE SHAVEL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Shavel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LAURIE SIEGEL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Siegel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MARIA TERESA TEJADA</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Teresa Tejada</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80"/>
          </w:cols>
          <w:pgMar w:left="320" w:top="297" w:right="3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List of FactSet Research Systems, Inc.’s Subsidiaries</w:t>
      </w:r>
    </w:p>
    <w:p>
      <w:pPr>
        <w:spacing w:after="0" w:line="200" w:lineRule="exact"/>
        <w:rPr>
          <w:sz w:val="20"/>
          <w:szCs w:val="20"/>
          <w:color w:val="auto"/>
        </w:rPr>
      </w:pPr>
    </w:p>
    <w:p>
      <w:pPr>
        <w:spacing w:after="0" w:line="29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is a list of subsidiaries of FactSet Research Systems Inc., a Delaware corporation, as of August 31, 2022. This list includes companies owned (directly or indirectly) or controlled by FactSet Research Systems Inc.</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State or Country of Incorporation or Organization</w:t>
            </w:r>
          </w:p>
        </w:tc>
      </w:tr>
      <w:tr>
        <w:trPr>
          <w:trHeight w:val="501"/>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BI-SAM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Bravo Consult EOOD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Bulgaria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BTU Analytics,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Colorado</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Cabot Investment Technology,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Cobalt Software,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Code Red,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Massachusetts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Benelux B.V.</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Netherlands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Brasil Consultoria Ltda</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Canada,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Canada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China Co.,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Charitable Foundation</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Data Systems,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Switzerland AG</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Switzerland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Digital Solutions Oy</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Finland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Digital Solutions,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Europe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England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Europe S.à.r.l.</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Luxembourg</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France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GmbH</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Hong Kong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International (UK)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Ireland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Ireland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Italia S.R.l.</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Italy</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JCF</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France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Mergerstat,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Pacific,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Philippines,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Philippines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Research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New York</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Research Systems South Africa Pty.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South Africa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Singapore Pte.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Spain SL</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Spain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Sweden AB</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Sweden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Systems India Private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India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(UAE)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United Arab Emirates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UK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FinAnalytica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Washington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P.A.N. Securities, L.P.</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Portware International,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Portware,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PTS NET,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413" w:right="339" w:bottom="1440" w:gutter="0" w:footer="0" w:header="0"/>
        </w:sectPr>
      </w:pPr>
    </w:p>
    <w:bookmarkStart w:id="103" w:name="page104"/>
    <w:bookmarkEnd w:id="103"/>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SIA FactSet Latvia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StreetAccount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TruValue Labs,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Vermilion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Vermilion Software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Visent Technology AB</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Latvia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Wyoming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Scotland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ectPr>
          <w:pgSz w:w="11900" w:h="16838" w:orient="portrait"/>
          <w:cols w:equalWidth="0" w:num="2">
            <w:col w:w="4960" w:space="720"/>
            <w:col w:w="4439"/>
          </w:cols>
          <w:pgMar w:left="340" w:top="1440"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Consent of Independent Registered Public Accountng Firm</w:t>
      </w:r>
    </w:p>
    <w:p>
      <w:pPr>
        <w:spacing w:after="0" w:line="238"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We consent to the incorporaton by reference in the Registraton Statements (Forms S-8 Nos. 333-222532, 333-201498, 333-171667, 333-156649 and 333-134298 and Form S-3 No. 333-261992) of our reports dated October 21, 2022, with respect to the consolidated fnancial statements and schedule of FactSet Research Systems Inc., and the efectveness of internal control over fnancial reportng of FactSet Research Systems Inc., included in this Annual Report (Form 10-K) for the year ended August 31, 2022.</w:t>
      </w: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/s/ Ernst &amp; Young LLP</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Stamford, Connectcut</w:t>
      </w:r>
    </w:p>
    <w:p>
      <w:pPr>
        <w:spacing w:after="0" w:line="225" w:lineRule="auto"/>
        <w:rPr>
          <w:sz w:val="20"/>
          <w:szCs w:val="20"/>
          <w:color w:val="auto"/>
        </w:rPr>
      </w:pPr>
      <w:r>
        <w:rPr>
          <w:rFonts w:ascii="Calibri" w:cs="Calibri" w:eastAsia="Calibri" w:hAnsi="Calibri"/>
          <w:sz w:val="20"/>
          <w:szCs w:val="20"/>
          <w:color w:val="auto"/>
        </w:rPr>
        <w:t>October 21, 2022</w:t>
      </w:r>
    </w:p>
    <w:p>
      <w:pPr>
        <w:sectPr>
          <w:pgSz w:w="11900" w:h="16838" w:orient="portrait"/>
          <w:cols w:equalWidth="0" w:num="1">
            <w:col w:w="11240"/>
          </w:cols>
          <w:pgMar w:left="320" w:top="141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October 21, 2022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8289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 Philip Snow</w:t>
      </w:r>
    </w:p>
    <w:p>
      <w:pPr>
        <w:ind w:left="36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right="100" w:hanging="486"/>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Date: October 21, 2022</w:t>
      </w:r>
    </w:p>
    <w:p>
      <w:pPr>
        <w:spacing w:after="0" w:line="2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940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Linda S. Huber</w:t>
      </w:r>
    </w:p>
    <w:p>
      <w:pPr>
        <w:ind w:left="840"/>
        <w:spacing w:after="0" w:line="205"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FactSet Research Systems Inc. (the “Company”) on Form 10-K for the fiscal year ended August 31, 2022, as filed with the Securities and Exchange Commission on the date hereof (the “Report”), I, F. Philip Snow, do hereby certify, pursuant to 18 U.S.C. Section 1350, as adopted pursuant to Section 906 of the Sarbanes-Oxley Act of 2002, that, to my knowledge:</w:t>
      </w:r>
    </w:p>
    <w:p>
      <w:pPr>
        <w:spacing w:after="0" w:line="135"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 Philip Snow</w:t>
      </w:r>
    </w:p>
    <w:p>
      <w:pPr>
        <w:ind w:left="2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21, 2022</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FactSet Research Systems Inc. (the “Company”) on Form 10-K for the fiscal year ended August 31, 2022 as filed with the Securities and Exchange Commission on the date hereof (the “Report”), I, Linda S. Huber, do hereby certify, pursuant to 18 U.S.C. Section 1350, as adopted pursuant to Section 906 of the Sarbanes-Oxley Act of 2002, that, to my knowledge:</w:t>
      </w:r>
    </w:p>
    <w:p>
      <w:pPr>
        <w:spacing w:after="0" w:line="135" w:lineRule="exact"/>
        <w:rPr>
          <w:sz w:val="20"/>
          <w:szCs w:val="20"/>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9229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Linda S. Huber</w:t>
      </w:r>
    </w:p>
    <w:p>
      <w:pPr>
        <w:ind w:left="6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October 21,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7"/>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endash "/>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lowerLetter"/>
      <w:start w:val="1"/>
    </w:lvl>
    <w:lvl w:ilvl="1">
      <w:lvlJc w:val="left"/>
      <w:lvlText w:val="(%2)"/>
      <w:numFmt w:val="decimal"/>
      <w:start w:val="3"/>
    </w:lvl>
  </w:abstractNum>
  <w:abstractNum w:abstractNumId="19">
    <w:nsid w:val="1E7FF521"/>
    <w:multiLevelType w:val="hybridMultilevel"/>
    <w:lvl w:ilvl="0">
      <w:lvlJc w:val="left"/>
      <w:lvlText w:val="(%1)"/>
      <w:numFmt w:val="lowerLetter"/>
      <w:start w:val="2"/>
    </w:lvl>
    <w:lvl w:ilvl="1">
      <w:lvlJc w:val="left"/>
      <w:lvlText w:val="%2"/>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2"/>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lvl w:ilvl="1">
      <w:lvlJc w:val="left"/>
      <w:lvlText w:val="(%2)"/>
      <w:numFmt w:val="decimal"/>
      <w:start w:val="1"/>
    </w:lvl>
  </w:abstractNum>
  <w:abstractNum w:abstractNumId="30">
    <w:nsid w:val="5072367"/>
    <w:multiLevelType w:val="hybridMultilevel"/>
    <w:lvl w:ilvl="0">
      <w:lvlJc w:val="left"/>
      <w:lvlText w:val="%1."/>
      <w:numFmt w:val="decimal"/>
      <w:start w:val="17"/>
    </w:lvl>
    <w:lvl w:ilvl="1">
      <w:lvlJc w:val="left"/>
      <w:lvlText w:val="%2"/>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4">
    <w:nsid w:val="5C482A97"/>
    <w:multiLevelType w:val="hybridMultilevel"/>
    <w:lvl w:ilvl="0">
      <w:lvlJc w:val="left"/>
      <w:lvlText w:val="%1."/>
      <w:numFmt w:val="decimal"/>
      <w:start w:val="3"/>
    </w:lvl>
  </w:abstractNum>
  <w:abstractNum w:abstractNumId="35">
    <w:nsid w:val="2463B9EA"/>
    <w:multiLevelType w:val="hybridMultilevel"/>
    <w:lvl w:ilvl="0">
      <w:lvlJc w:val="left"/>
      <w:lvlText w:val="%1"/>
      <w:numFmt w:val="decimal"/>
      <w:start w:val="2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6"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18" Type="http://schemas.openxmlformats.org/officeDocument/2006/relationships/hyperlink" Target="https://www.sec.gov/Archives/edgar/data/1013237/000095015722000210/ex2-1.htm" TargetMode="External"/><Relationship Id="rId119" Type="http://schemas.openxmlformats.org/officeDocument/2006/relationships/hyperlink" Target="https://www.sec.gov/Archives/edgar/data/0001013237/000095015722000210/ex2-2.htm" TargetMode="External"/><Relationship Id="rId120" Type="http://schemas.openxmlformats.org/officeDocument/2006/relationships/hyperlink" Target="https://www.sec.gov/Archives/edgar/data/1013237/0000950112-96-002172.txt" TargetMode="External"/><Relationship Id="rId121" Type="http://schemas.openxmlformats.org/officeDocument/2006/relationships/hyperlink" Target="https://www.sec.gov/Archives/edgar/data/1013237/000101323701500062/exhibit3_12.htm" TargetMode="External"/><Relationship Id="rId122" Type="http://schemas.openxmlformats.org/officeDocument/2006/relationships/hyperlink" Target="https://www.sec.gov/Archives/edgar/data/1013237/000143774911009546/ex3-1.htm" TargetMode="External"/><Relationship Id="rId123" Type="http://schemas.openxmlformats.org/officeDocument/2006/relationships/hyperlink" Target="https://www.sec.gov/Archives/edgar/data/1013237/000143774918016673/ex_123329.htm" TargetMode="External"/><Relationship Id="rId124" Type="http://schemas.openxmlformats.org/officeDocument/2006/relationships/hyperlink" Target="https://www.sec.gov/Archives/edgar/data/1013237/000101323721000124/factsetbylawamendment2021.htm" TargetMode="External"/><Relationship Id="rId125" Type="http://schemas.openxmlformats.org/officeDocument/2006/relationships/hyperlink" Target="https://www.sec.gov/Archives/edgar/data/1013237/0000950112-96-002160.txt" TargetMode="External"/><Relationship Id="rId127" Type="http://schemas.openxmlformats.org/officeDocument/2006/relationships/hyperlink" Target="https://www.sec.gov/Archives/edgar/data/0001013237/000095015722000210/ex4-1.htm" TargetMode="External"/><Relationship Id="rId128" Type="http://schemas.openxmlformats.org/officeDocument/2006/relationships/hyperlink" Target="https://www.sec.gov/Archives/edgar/data/0001013237/000095015722000210/ex4-2.htm" TargetMode="External"/><Relationship Id="rId129" Type="http://schemas.openxmlformats.org/officeDocument/2006/relationships/hyperlink" Target="https://www.sec.gov/Archives/edgar/data/1013237/000119312504192500/ddef14a.htm" TargetMode="External"/><Relationship Id="rId130" Type="http://schemas.openxmlformats.org/officeDocument/2006/relationships/hyperlink" Target="https://www.sec.gov/Archives/edgar/data/1013237/000119312510274624/ddefr14a.htm#tx105689_29" TargetMode="External"/><Relationship Id="rId131" Type="http://schemas.openxmlformats.org/officeDocument/2006/relationships/hyperlink" Target="https://www.sec.gov/Archives/edgar/data/1013237/000143774917021030/ex_102391.htm" TargetMode="External"/><Relationship Id="rId132" Type="http://schemas.openxmlformats.org/officeDocument/2006/relationships/hyperlink" Target="https://www.sec.gov/Archives/edgar/data/1013237/000119312508220394/ddef14a.htm#tx59473_27" TargetMode="External"/><Relationship Id="rId133" Type="http://schemas.openxmlformats.org/officeDocument/2006/relationships/hyperlink" Target="https://www.sec.gov/Archives/edgar/data/1013237/000143774917021030/ex_102392.htm" TargetMode="External"/><Relationship Id="rId134" Type="http://schemas.openxmlformats.org/officeDocument/2006/relationships/hyperlink" Target="https://www.sec.gov/Archives/edgar/data/1013237/000143774918006528/ex_109818.htm" TargetMode="External"/><Relationship Id="rId135" Type="http://schemas.openxmlformats.org/officeDocument/2006/relationships/hyperlink" Target="https://www.sec.gov/Archives/edgar/data/1013237/000101323720000045/a101factsetresearchsys.htm" TargetMode="External"/><Relationship Id="rId136" Type="http://schemas.openxmlformats.org/officeDocument/2006/relationships/hyperlink" Target="https://www.sec.gov/Archives/edgar/data/1013237/000101323720000045/a102formoffactsetresea.htm" TargetMode="External"/><Relationship Id="rId137" Type="http://schemas.openxmlformats.org/officeDocument/2006/relationships/hyperlink" Target="https://www.sec.gov/Archives/edgar/data/0001013237/000095015722000210/ex4-5.htm" TargetMode="External"/><Relationship Id="rId138" Type="http://schemas.openxmlformats.org/officeDocument/2006/relationships/hyperlink" Target="https://www.sec.gov/Archives/edgar/data/1013237/000101323722000096/fernandezseparatio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2022-10-21T07:08:46Z</dcterms:created>
  <dcterms:modified xsi:type="dcterms:W3CDTF">2022-10-21T07:08:46Z</dcterms:modified>
</cp:coreProperties>
</file>