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3794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794125"/>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tcPr>
          <w:p>
            <w:pPr>
              <w:spacing w:after="0" w:line="181" w:lineRule="exact"/>
              <w:rPr>
                <w:rFonts w:ascii="Times New Roman" w:cs="Times New Roman" w:eastAsia="Times New Roman" w:hAnsi="Times New Roman"/>
                <w:sz w:val="16"/>
                <w:szCs w:val="16"/>
                <w:color w:val="0000EE"/>
                <w:w w:val="96"/>
              </w:rPr>
            </w:pPr>
            <w:hyperlink r:id="rId11">
              <w:r>
                <w:rPr>
                  <w:rFonts w:ascii="Times New Roman" w:cs="Times New Roman" w:eastAsia="Times New Roman" w:hAnsi="Times New Roman"/>
                  <w:sz w:val="16"/>
                  <w:szCs w:val="16"/>
                  <w:color w:val="0000EE"/>
                  <w:w w:val="96"/>
                </w:rPr>
                <w:t>Costigan John</w:t>
              </w:r>
            </w:hyperlink>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0000EE"/>
            </w:tcBorders>
            <w:vMerge w:val="continue"/>
          </w:tcPr>
          <w:p>
            <w:pPr>
              <w:spacing w:after="0"/>
              <w:rPr>
                <w:sz w:val="9"/>
                <w:szCs w:val="9"/>
                <w:color w:val="auto"/>
              </w:rPr>
            </w:pPr>
          </w:p>
        </w:tc>
        <w:tc>
          <w:tcPr>
            <w:tcW w:w="8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04/27/2022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0"/>
                <w:szCs w:val="10"/>
                <w:color w:val="auto"/>
              </w:rPr>
              <w:t>(Last)</w:t>
            </w:r>
          </w:p>
        </w:tc>
        <w:tc>
          <w:tcPr>
            <w:tcW w:w="1020" w:type="dxa"/>
            <w:vAlign w:val="bottom"/>
          </w:tcPr>
          <w:p>
            <w:pPr>
              <w:ind w:left="6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5"/>
          </w:tcPr>
          <w:p>
            <w:pPr>
              <w:spacing w:after="0"/>
              <w:rPr>
                <w:sz w:val="20"/>
                <w:szCs w:val="20"/>
                <w:color w:val="auto"/>
              </w:rPr>
            </w:pPr>
            <w:r>
              <w:rPr>
                <w:rFonts w:ascii="Times New Roman" w:cs="Times New Roman" w:eastAsia="Times New Roman" w:hAnsi="Times New Roman"/>
                <w:sz w:val="13"/>
                <w:szCs w:val="13"/>
                <w:color w:val="0000FF"/>
              </w:rPr>
              <w:t>FACTSET RESEARCH SYSTEMS INC.</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45 GLOVER AVENUE</w:t>
            </w: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020" w:type="dxa"/>
            <w:vAlign w:val="bottom"/>
            <w:gridSpan w:val="4"/>
          </w:tcPr>
          <w:p>
            <w:pPr>
              <w:spacing w:after="0"/>
              <w:rPr>
                <w:sz w:val="20"/>
                <w:szCs w:val="20"/>
                <w:color w:val="auto"/>
              </w:rPr>
            </w:pPr>
            <w:r>
              <w:rPr>
                <w:rFonts w:ascii="Arial" w:cs="Arial" w:eastAsia="Arial" w:hAnsi="Arial"/>
                <w:sz w:val="10"/>
                <w:szCs w:val="10"/>
                <w:color w:val="auto"/>
              </w:rPr>
              <w:t>(Street)</w:t>
            </w: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NORWALK</w:t>
            </w:r>
          </w:p>
        </w:tc>
        <w:tc>
          <w:tcPr>
            <w:tcW w:w="10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CT</w:t>
            </w:r>
          </w:p>
        </w:tc>
        <w:tc>
          <w:tcPr>
            <w:tcW w:w="11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06850</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196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3240" w:type="dxa"/>
            <w:vAlign w:val="bottom"/>
            <w:gridSpan w:val="5"/>
          </w:tcPr>
          <w:p>
            <w:pPr>
              <w:spacing w:after="0" w:line="170" w:lineRule="exact"/>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 xml:space="preserve">FACTSET RESEARCH SYSTEMS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FDS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60" w:type="dxa"/>
            <w:vAlign w:val="bottom"/>
            <w:tcBorders>
              <w:bottom w:val="single" w:sz="8" w:color="2C2C2C"/>
            </w:tcBorders>
          </w:tcPr>
          <w:p>
            <w:pPr>
              <w:spacing w:after="0"/>
              <w:rPr>
                <w:sz w:val="24"/>
                <w:szCs w:val="24"/>
                <w:color w:val="auto"/>
              </w:rPr>
            </w:pPr>
          </w:p>
        </w:tc>
        <w:tc>
          <w:tcPr>
            <w:tcW w:w="100" w:type="dxa"/>
            <w:vAlign w:val="bottom"/>
            <w:tcBorders>
              <w:top w:val="single" w:sz="8" w:color="0000EE"/>
              <w:bottom w:val="single" w:sz="8" w:color="2C2C2C"/>
            </w:tcBorders>
          </w:tcPr>
          <w:p>
            <w:pPr>
              <w:spacing w:after="0"/>
              <w:rPr>
                <w:sz w:val="24"/>
                <w:szCs w:val="24"/>
                <w:color w:val="auto"/>
              </w:rPr>
            </w:pPr>
          </w:p>
        </w:tc>
        <w:tc>
          <w:tcPr>
            <w:tcW w:w="300" w:type="dxa"/>
            <w:vAlign w:val="bottom"/>
            <w:tcBorders>
              <w:top w:val="single" w:sz="8" w:color="0000EE"/>
              <w:bottom w:val="single" w:sz="8" w:color="2C2C2C"/>
            </w:tcBorders>
          </w:tcPr>
          <w:p>
            <w:pPr>
              <w:spacing w:after="0"/>
              <w:rPr>
                <w:sz w:val="24"/>
                <w:szCs w:val="24"/>
                <w:color w:val="auto"/>
              </w:rPr>
            </w:pPr>
          </w:p>
        </w:tc>
        <w:tc>
          <w:tcPr>
            <w:tcW w:w="1660" w:type="dxa"/>
            <w:vAlign w:val="bottom"/>
            <w:tcBorders>
              <w:top w:val="single" w:sz="8" w:color="0000EE"/>
              <w:bottom w:val="single" w:sz="8" w:color="2C2C2C"/>
            </w:tcBorders>
          </w:tcPr>
          <w:p>
            <w:pPr>
              <w:spacing w:after="0"/>
              <w:rPr>
                <w:sz w:val="24"/>
                <w:szCs w:val="24"/>
                <w:color w:val="auto"/>
              </w:rPr>
            </w:pPr>
          </w:p>
        </w:tc>
        <w:tc>
          <w:tcPr>
            <w:tcW w:w="560" w:type="dxa"/>
            <w:vAlign w:val="bottom"/>
            <w:tcBorders>
              <w:top w:val="single" w:sz="8" w:color="0000EE"/>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4"/>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2060" w:type="dxa"/>
            <w:vAlign w:val="bottom"/>
            <w:gridSpan w:val="3"/>
          </w:tcPr>
          <w:p>
            <w:pPr>
              <w:spacing w:after="0"/>
              <w:rPr>
                <w:sz w:val="20"/>
                <w:szCs w:val="20"/>
                <w:color w:val="auto"/>
              </w:rPr>
            </w:pPr>
            <w:r>
              <w:rPr>
                <w:rFonts w:ascii="Arial" w:cs="Arial" w:eastAsia="Arial" w:hAnsi="Arial"/>
                <w:sz w:val="10"/>
                <w:szCs w:val="10"/>
                <w:color w:val="auto"/>
              </w:rPr>
              <w:t>(Check all applicable)</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60" w:type="dxa"/>
            <w:vAlign w:val="bottom"/>
          </w:tcPr>
          <w:p>
            <w:pPr>
              <w:ind w:left="120"/>
              <w:spacing w:after="0" w:line="88" w:lineRule="exact"/>
              <w:rPr>
                <w:sz w:val="20"/>
                <w:szCs w:val="20"/>
                <w:color w:val="auto"/>
              </w:rPr>
            </w:pPr>
            <w:r>
              <w:rPr>
                <w:rFonts w:ascii="Arial" w:cs="Arial" w:eastAsia="Arial" w:hAnsi="Arial"/>
                <w:sz w:val="10"/>
                <w:szCs w:val="10"/>
                <w:color w:val="auto"/>
              </w:rPr>
              <w:t>Director</w:t>
            </w:r>
          </w:p>
        </w:tc>
        <w:tc>
          <w:tcPr>
            <w:tcW w:w="1180" w:type="dxa"/>
            <w:vAlign w:val="bottom"/>
            <w:gridSpan w:val="2"/>
          </w:tcPr>
          <w:p>
            <w:pPr>
              <w:ind w:left="40"/>
              <w:spacing w:after="0" w:line="88" w:lineRule="exact"/>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X</w:t>
            </w:r>
          </w:p>
        </w:tc>
        <w:tc>
          <w:tcPr>
            <w:tcW w:w="1660" w:type="dxa"/>
            <w:vAlign w:val="bottom"/>
          </w:tcPr>
          <w:p>
            <w:pPr>
              <w:ind w:left="120"/>
              <w:spacing w:after="0"/>
              <w:rPr>
                <w:sz w:val="20"/>
                <w:szCs w:val="20"/>
                <w:color w:val="auto"/>
              </w:rPr>
            </w:pPr>
            <w:r>
              <w:rPr>
                <w:rFonts w:ascii="Arial" w:cs="Arial" w:eastAsia="Arial" w:hAnsi="Arial"/>
                <w:sz w:val="10"/>
                <w:szCs w:val="10"/>
                <w:color w:val="auto"/>
              </w:rPr>
              <w:t>Officer (give title below)</w:t>
            </w:r>
          </w:p>
        </w:tc>
        <w:tc>
          <w:tcPr>
            <w:tcW w:w="1180" w:type="dxa"/>
            <w:vAlign w:val="bottom"/>
            <w:gridSpan w:val="2"/>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tcPr>
          <w:p>
            <w:pPr>
              <w:jc w:val="right"/>
              <w:spacing w:after="0"/>
              <w:rPr>
                <w:sz w:val="20"/>
                <w:szCs w:val="20"/>
                <w:color w:val="auto"/>
              </w:rPr>
            </w:pPr>
            <w:r>
              <w:rPr>
                <w:rFonts w:ascii="Arial" w:cs="Arial" w:eastAsia="Arial" w:hAnsi="Arial"/>
                <w:sz w:val="10"/>
                <w:szCs w:val="10"/>
                <w:color w:val="auto"/>
              </w:rPr>
              <w:t>6.</w:t>
            </w:r>
          </w:p>
        </w:tc>
        <w:tc>
          <w:tcPr>
            <w:tcW w:w="2620" w:type="dxa"/>
            <w:vAlign w:val="bottom"/>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3"/>
                <w:szCs w:val="13"/>
                <w:color w:val="0000FF"/>
              </w:rPr>
              <w:t>Chief Content Officer</w:t>
            </w:r>
          </w:p>
        </w:tc>
        <w:tc>
          <w:tcPr>
            <w:tcW w:w="140" w:type="dxa"/>
            <w:vAlign w:val="bottom"/>
          </w:tcPr>
          <w:p>
            <w:pPr>
              <w:spacing w:after="0"/>
              <w:rPr>
                <w:sz w:val="14"/>
                <w:szCs w:val="14"/>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4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2620" w:type="dxa"/>
            <w:vAlign w:val="bottom"/>
            <w:vMerge w:val="restart"/>
          </w:tcPr>
          <w:p>
            <w:pPr>
              <w:ind w:left="36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84"/>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46" w:lineRule="exact"/>
        <w:rPr>
          <w:sz w:val="24"/>
          <w:szCs w:val="24"/>
          <w:color w:val="auto"/>
        </w:rPr>
      </w:pPr>
    </w:p>
    <w:p>
      <w:pPr>
        <w:sectPr>
          <w:pgSz w:w="11900" w:h="16838" w:orient="portrait"/>
          <w:cols w:equalWidth="0" w:num="2">
            <w:col w:w="4620" w:space="320"/>
            <w:col w:w="6080"/>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7"/>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0" w:type="dxa"/>
            <w:vAlign w:val="bottom"/>
            <w:tcBorders>
              <w:bottom w:val="single" w:sz="8" w:color="2C2C2C"/>
            </w:tcBorders>
          </w:tcPr>
          <w:p>
            <w:pPr>
              <w:spacing w:after="0"/>
              <w:rPr>
                <w:sz w:val="21"/>
                <w:szCs w:val="21"/>
                <w:color w:val="auto"/>
              </w:rPr>
            </w:pPr>
          </w:p>
        </w:tc>
        <w:tc>
          <w:tcPr>
            <w:tcW w:w="28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8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1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13"/>
                <w:szCs w:val="13"/>
                <w:color w:val="0000FF"/>
              </w:rPr>
              <w:t>361.3916</w:t>
            </w:r>
            <w:r>
              <w:rPr>
                <w:rFonts w:ascii="Times New Roman" w:cs="Times New Roman" w:eastAsia="Times New Roman" w:hAnsi="Times New Roman"/>
                <w:sz w:val="16"/>
                <w:szCs w:val="16"/>
                <w:color w:val="008000"/>
                <w:vertAlign w:val="superscript"/>
              </w:rPr>
              <w:t>(1)</w:t>
            </w:r>
          </w:p>
        </w:tc>
        <w:tc>
          <w:tcPr>
            <w:tcW w:w="6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16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28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3380" w:type="dxa"/>
            <w:vAlign w:val="bottom"/>
            <w:tcBorders>
              <w:top w:val="single" w:sz="8" w:color="2C2C2C"/>
            </w:tcBorders>
            <w:gridSpan w:val="3"/>
          </w:tcPr>
          <w:p>
            <w:pPr>
              <w:ind w:left="26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880" w:type="dxa"/>
            <w:vAlign w:val="bottom"/>
            <w:gridSpan w:val="5"/>
          </w:tcPr>
          <w:p>
            <w:pPr>
              <w:ind w:left="8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8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gridSpan w:val="2"/>
          </w:tcPr>
          <w:p>
            <w:pPr>
              <w:spacing w:after="0" w:line="20" w:lineRule="exact"/>
              <w:rPr>
                <w:sz w:val="1"/>
                <w:szCs w:val="1"/>
                <w:color w:val="auto"/>
              </w:rPr>
            </w:pPr>
          </w:p>
        </w:tc>
        <w:tc>
          <w:tcPr>
            <w:tcW w:w="2780" w:type="dxa"/>
            <w:vAlign w:val="bottom"/>
            <w:tcBorders>
              <w:bottom w:val="single" w:sz="8" w:color="2C2C2C"/>
            </w:tcBorders>
            <w:gridSpan w:val="2"/>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840" w:type="dxa"/>
            <w:vAlign w:val="bottom"/>
          </w:tcPr>
          <w:p>
            <w:pPr>
              <w:spacing w:after="0"/>
              <w:rPr>
                <w:sz w:val="12"/>
                <w:szCs w:val="12"/>
                <w:color w:val="auto"/>
              </w:rPr>
            </w:pP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w w:val="98"/>
              </w:rPr>
              <w:t>Expiration</w:t>
            </w: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Employee Stock Option (right to buy)</w:t>
            </w:r>
          </w:p>
        </w:tc>
        <w:tc>
          <w:tcPr>
            <w:tcW w:w="1500" w:type="dxa"/>
            <w:vAlign w:val="bottom"/>
            <w:gridSpan w:val="2"/>
          </w:tcPr>
          <w:p>
            <w:pPr>
              <w:jc w:val="right"/>
              <w:ind w:right="227"/>
              <w:spacing w:after="0"/>
              <w:rPr>
                <w:sz w:val="20"/>
                <w:szCs w:val="20"/>
                <w:color w:val="auto"/>
              </w:rPr>
            </w:pPr>
            <w:r>
              <w:rPr>
                <w:rFonts w:ascii="Times New Roman" w:cs="Times New Roman" w:eastAsia="Times New Roman" w:hAnsi="Times New Roman"/>
                <w:sz w:val="8"/>
                <w:szCs w:val="8"/>
                <w:color w:val="008000"/>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0000FF"/>
                <w:w w:val="96"/>
              </w:rPr>
              <w:t>11/01/2026</w:t>
            </w:r>
          </w:p>
        </w:tc>
        <w:tc>
          <w:tcPr>
            <w:tcW w:w="2120" w:type="dxa"/>
            <w:vAlign w:val="bottom"/>
          </w:tcPr>
          <w:p>
            <w:pPr>
              <w:ind w:left="660"/>
              <w:spacing w:after="0"/>
              <w:rPr>
                <w:sz w:val="20"/>
                <w:szCs w:val="20"/>
                <w:color w:val="auto"/>
              </w:rPr>
            </w:pPr>
            <w:r>
              <w:rPr>
                <w:rFonts w:ascii="Times New Roman" w:cs="Times New Roman" w:eastAsia="Times New Roman" w:hAnsi="Times New Roman"/>
                <w:sz w:val="13"/>
                <w:szCs w:val="13"/>
                <w:color w:val="0000FF"/>
              </w:rPr>
              <w:t>Common Stock</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457</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3"/>
                <w:szCs w:val="13"/>
                <w:color w:val="0000FF"/>
              </w:rPr>
              <w:t>152.28</w:t>
            </w:r>
          </w:p>
        </w:tc>
        <w:tc>
          <w:tcPr>
            <w:tcW w:w="8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Employee Stock Option (right to buy)</w:t>
            </w:r>
          </w:p>
        </w:tc>
        <w:tc>
          <w:tcPr>
            <w:tcW w:w="1500" w:type="dxa"/>
            <w:vAlign w:val="bottom"/>
            <w:gridSpan w:val="2"/>
          </w:tcPr>
          <w:p>
            <w:pPr>
              <w:jc w:val="right"/>
              <w:ind w:right="227"/>
              <w:spacing w:after="0"/>
              <w:rPr>
                <w:sz w:val="20"/>
                <w:szCs w:val="20"/>
                <w:color w:val="auto"/>
              </w:rPr>
            </w:pPr>
            <w:r>
              <w:rPr>
                <w:rFonts w:ascii="Times New Roman" w:cs="Times New Roman" w:eastAsia="Times New Roman" w:hAnsi="Times New Roman"/>
                <w:sz w:val="8"/>
                <w:szCs w:val="8"/>
                <w:color w:val="008000"/>
              </w:rPr>
              <w:t>(3)</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0000FF"/>
                <w:w w:val="96"/>
              </w:rPr>
              <w:t>11/02/2027</w:t>
            </w:r>
          </w:p>
        </w:tc>
        <w:tc>
          <w:tcPr>
            <w:tcW w:w="2120" w:type="dxa"/>
            <w:vAlign w:val="bottom"/>
          </w:tcPr>
          <w:p>
            <w:pPr>
              <w:ind w:left="660"/>
              <w:spacing w:after="0"/>
              <w:rPr>
                <w:sz w:val="20"/>
                <w:szCs w:val="20"/>
                <w:color w:val="auto"/>
              </w:rPr>
            </w:pPr>
            <w:r>
              <w:rPr>
                <w:rFonts w:ascii="Times New Roman" w:cs="Times New Roman" w:eastAsia="Times New Roman" w:hAnsi="Times New Roman"/>
                <w:sz w:val="13"/>
                <w:szCs w:val="13"/>
                <w:color w:val="0000FF"/>
              </w:rPr>
              <w:t>Common Stock</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705</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3"/>
                <w:szCs w:val="13"/>
                <w:color w:val="0000FF"/>
              </w:rPr>
              <w:t>189.98</w:t>
            </w:r>
          </w:p>
        </w:tc>
        <w:tc>
          <w:tcPr>
            <w:tcW w:w="8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Employee Stock Option (right to buy)</w:t>
            </w:r>
          </w:p>
        </w:tc>
        <w:tc>
          <w:tcPr>
            <w:tcW w:w="1500" w:type="dxa"/>
            <w:vAlign w:val="bottom"/>
            <w:gridSpan w:val="2"/>
          </w:tcPr>
          <w:p>
            <w:pPr>
              <w:jc w:val="right"/>
              <w:ind w:right="227"/>
              <w:spacing w:after="0"/>
              <w:rPr>
                <w:sz w:val="20"/>
                <w:szCs w:val="20"/>
                <w:color w:val="auto"/>
              </w:rPr>
            </w:pPr>
            <w:r>
              <w:rPr>
                <w:rFonts w:ascii="Times New Roman" w:cs="Times New Roman" w:eastAsia="Times New Roman" w:hAnsi="Times New Roman"/>
                <w:sz w:val="8"/>
                <w:szCs w:val="8"/>
                <w:color w:val="008000"/>
              </w:rPr>
              <w:t>(4)</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0000FF"/>
                <w:w w:val="96"/>
              </w:rPr>
              <w:t>11/01/2028</w:t>
            </w:r>
          </w:p>
        </w:tc>
        <w:tc>
          <w:tcPr>
            <w:tcW w:w="2120" w:type="dxa"/>
            <w:vAlign w:val="bottom"/>
          </w:tcPr>
          <w:p>
            <w:pPr>
              <w:ind w:left="660"/>
              <w:spacing w:after="0"/>
              <w:rPr>
                <w:sz w:val="20"/>
                <w:szCs w:val="20"/>
                <w:color w:val="auto"/>
              </w:rPr>
            </w:pPr>
            <w:r>
              <w:rPr>
                <w:rFonts w:ascii="Times New Roman" w:cs="Times New Roman" w:eastAsia="Times New Roman" w:hAnsi="Times New Roman"/>
                <w:sz w:val="13"/>
                <w:szCs w:val="13"/>
                <w:color w:val="0000FF"/>
              </w:rPr>
              <w:t>Common Stock</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779</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3"/>
                <w:szCs w:val="13"/>
                <w:color w:val="0000FF"/>
              </w:rPr>
              <w:t>221.88</w:t>
            </w:r>
          </w:p>
        </w:tc>
        <w:tc>
          <w:tcPr>
            <w:tcW w:w="8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Employee Stock Option (right to buy)</w:t>
            </w:r>
          </w:p>
        </w:tc>
        <w:tc>
          <w:tcPr>
            <w:tcW w:w="1500" w:type="dxa"/>
            <w:vAlign w:val="bottom"/>
            <w:gridSpan w:val="2"/>
          </w:tcPr>
          <w:p>
            <w:pPr>
              <w:jc w:val="right"/>
              <w:ind w:right="227"/>
              <w:spacing w:after="0"/>
              <w:rPr>
                <w:sz w:val="20"/>
                <w:szCs w:val="20"/>
                <w:color w:val="auto"/>
              </w:rPr>
            </w:pPr>
            <w:r>
              <w:rPr>
                <w:rFonts w:ascii="Times New Roman" w:cs="Times New Roman" w:eastAsia="Times New Roman" w:hAnsi="Times New Roman"/>
                <w:sz w:val="8"/>
                <w:szCs w:val="8"/>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0000FF"/>
                <w:w w:val="96"/>
              </w:rPr>
              <w:t>11/01/2029</w:t>
            </w:r>
          </w:p>
        </w:tc>
        <w:tc>
          <w:tcPr>
            <w:tcW w:w="2120" w:type="dxa"/>
            <w:vAlign w:val="bottom"/>
          </w:tcPr>
          <w:p>
            <w:pPr>
              <w:ind w:left="660"/>
              <w:spacing w:after="0"/>
              <w:rPr>
                <w:sz w:val="20"/>
                <w:szCs w:val="20"/>
                <w:color w:val="auto"/>
              </w:rPr>
            </w:pPr>
            <w:r>
              <w:rPr>
                <w:rFonts w:ascii="Times New Roman" w:cs="Times New Roman" w:eastAsia="Times New Roman" w:hAnsi="Times New Roman"/>
                <w:sz w:val="13"/>
                <w:szCs w:val="13"/>
                <w:color w:val="0000FF"/>
              </w:rPr>
              <w:t>Common Stock</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1,156</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3"/>
                <w:szCs w:val="13"/>
                <w:color w:val="0000FF"/>
              </w:rPr>
              <w:t>255.87</w:t>
            </w:r>
          </w:p>
        </w:tc>
        <w:tc>
          <w:tcPr>
            <w:tcW w:w="8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Employee Stock Option (right to buy)</w:t>
            </w:r>
          </w:p>
        </w:tc>
        <w:tc>
          <w:tcPr>
            <w:tcW w:w="1500" w:type="dxa"/>
            <w:vAlign w:val="bottom"/>
            <w:gridSpan w:val="2"/>
          </w:tcPr>
          <w:p>
            <w:pPr>
              <w:jc w:val="right"/>
              <w:ind w:right="227"/>
              <w:spacing w:after="0"/>
              <w:rPr>
                <w:sz w:val="20"/>
                <w:szCs w:val="20"/>
                <w:color w:val="auto"/>
              </w:rPr>
            </w:pPr>
            <w:r>
              <w:rPr>
                <w:rFonts w:ascii="Times New Roman" w:cs="Times New Roman" w:eastAsia="Times New Roman" w:hAnsi="Times New Roman"/>
                <w:sz w:val="8"/>
                <w:szCs w:val="8"/>
                <w:color w:val="008000"/>
              </w:rPr>
              <w:t>(6)</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0000FF"/>
                <w:w w:val="96"/>
              </w:rPr>
              <w:t>11/09/2030</w:t>
            </w:r>
          </w:p>
        </w:tc>
        <w:tc>
          <w:tcPr>
            <w:tcW w:w="2120" w:type="dxa"/>
            <w:vAlign w:val="bottom"/>
          </w:tcPr>
          <w:p>
            <w:pPr>
              <w:ind w:left="660"/>
              <w:spacing w:after="0"/>
              <w:rPr>
                <w:sz w:val="20"/>
                <w:szCs w:val="20"/>
                <w:color w:val="auto"/>
              </w:rPr>
            </w:pPr>
            <w:r>
              <w:rPr>
                <w:rFonts w:ascii="Times New Roman" w:cs="Times New Roman" w:eastAsia="Times New Roman" w:hAnsi="Times New Roman"/>
                <w:sz w:val="13"/>
                <w:szCs w:val="13"/>
                <w:color w:val="0000FF"/>
              </w:rPr>
              <w:t>Common Stock</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1,598</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3"/>
                <w:szCs w:val="13"/>
                <w:color w:val="0000FF"/>
              </w:rPr>
              <w:t>316.71</w:t>
            </w:r>
          </w:p>
        </w:tc>
        <w:tc>
          <w:tcPr>
            <w:tcW w:w="8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Employee Stock Option (right to buy)</w:t>
            </w:r>
          </w:p>
        </w:tc>
        <w:tc>
          <w:tcPr>
            <w:tcW w:w="1500" w:type="dxa"/>
            <w:vAlign w:val="bottom"/>
            <w:gridSpan w:val="2"/>
          </w:tcPr>
          <w:p>
            <w:pPr>
              <w:jc w:val="right"/>
              <w:ind w:right="227"/>
              <w:spacing w:after="0"/>
              <w:rPr>
                <w:sz w:val="20"/>
                <w:szCs w:val="20"/>
                <w:color w:val="auto"/>
              </w:rPr>
            </w:pPr>
            <w:r>
              <w:rPr>
                <w:rFonts w:ascii="Times New Roman" w:cs="Times New Roman" w:eastAsia="Times New Roman" w:hAnsi="Times New Roman"/>
                <w:sz w:val="8"/>
                <w:szCs w:val="8"/>
                <w:color w:val="008000"/>
              </w:rPr>
              <w:t>(7)</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0000FF"/>
                <w:w w:val="96"/>
              </w:rPr>
              <w:t>11/01/2031</w:t>
            </w:r>
          </w:p>
        </w:tc>
        <w:tc>
          <w:tcPr>
            <w:tcW w:w="2120" w:type="dxa"/>
            <w:vAlign w:val="bottom"/>
          </w:tcPr>
          <w:p>
            <w:pPr>
              <w:ind w:left="660"/>
              <w:spacing w:after="0"/>
              <w:rPr>
                <w:sz w:val="20"/>
                <w:szCs w:val="20"/>
                <w:color w:val="auto"/>
              </w:rPr>
            </w:pPr>
            <w:r>
              <w:rPr>
                <w:rFonts w:ascii="Times New Roman" w:cs="Times New Roman" w:eastAsia="Times New Roman" w:hAnsi="Times New Roman"/>
                <w:sz w:val="13"/>
                <w:szCs w:val="13"/>
                <w:color w:val="0000FF"/>
              </w:rPr>
              <w:t>Common Stock</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1,343</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3"/>
                <w:szCs w:val="13"/>
                <w:color w:val="0000FF"/>
              </w:rPr>
              <w:t>434.82</w:t>
            </w:r>
          </w:p>
        </w:tc>
        <w:tc>
          <w:tcPr>
            <w:tcW w:w="8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40" w:right="22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Includes 61 restricted stock units granted on November 1, 2018 that vest 20% annually on the anniversary date of the grants and are fully vested after 5 years, 92 restricted stock units granted on November 1, 2019 that vest 20% annually on the anniversary date of the grants and are fully vested after 5 years, and 169.3916 shares acquired through the FactSet Research Systems Inc. Employee Stock Purchase Plan.</w:t>
      </w:r>
    </w:p>
    <w:p>
      <w:pPr>
        <w:spacing w:after="0" w:line="12"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Options were granted on November 1, 2016 and vest ratably at 20% per year over five years upon the anniversary of the date of grant.</w:t>
      </w:r>
    </w:p>
    <w:p>
      <w:pPr>
        <w:spacing w:after="0" w:line="35"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Options were granted on November 2, 2017 and vest ratably at 20% per year over five years upon the anniversary of the date of grant.</w:t>
      </w:r>
    </w:p>
    <w:p>
      <w:pPr>
        <w:spacing w:after="0" w:line="35"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Options were granted on November 1, 2018 and vest ratably at 20% per year over five years upon the anniversary of the date of grant.</w:t>
      </w:r>
    </w:p>
    <w:p>
      <w:pPr>
        <w:spacing w:after="0" w:line="35"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Options were granted on November 1, 2019 and vest ratably at 20% per year over five years upon the anniversary of the date of grant.</w:t>
      </w:r>
    </w:p>
    <w:p>
      <w:pPr>
        <w:spacing w:after="0" w:line="35"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Options were granted on November 9, 2020 and vest ratably at 20% per year over five years upon the anniversary of the date of grant.</w:t>
      </w:r>
    </w:p>
    <w:p>
      <w:pPr>
        <w:spacing w:after="0" w:line="35"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Options were granted on November 1, 2021 and vest ratably at 20% per year over five years upon the anniversary of the date of grant.</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1"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RACHEL R. STERN, Attorney in</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w w:val="97"/>
              </w:rPr>
              <w:t>05/05/2022</w:t>
            </w: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1180" w:type="dxa"/>
            <w:vAlign w:val="bottom"/>
            <w:tcBorders>
              <w:top w:val="single" w:sz="8" w:color="auto"/>
              <w:bottom w:val="single" w:sz="8" w:color="auto"/>
            </w:tcBorders>
            <w:vMerge w:val="restart"/>
          </w:tcPr>
          <w:p>
            <w:pPr>
              <w:spacing w:after="0" w:line="140" w:lineRule="exact"/>
              <w:rPr>
                <w:sz w:val="20"/>
                <w:szCs w:val="20"/>
                <w:color w:val="auto"/>
              </w:rPr>
            </w:pPr>
            <w:r>
              <w:rPr>
                <w:rFonts w:ascii="Times New Roman" w:cs="Times New Roman" w:eastAsia="Times New Roman" w:hAnsi="Times New Roman"/>
                <w:sz w:val="13"/>
                <w:szCs w:val="13"/>
                <w:color w:val="0000FF"/>
                <w:w w:val="98"/>
              </w:rPr>
              <w:t>Fact for John Costigan</w:t>
            </w:r>
          </w:p>
        </w:tc>
        <w:tc>
          <w:tcPr>
            <w:tcW w:w="740" w:type="dxa"/>
            <w:vAlign w:val="bottom"/>
            <w:tcBorders>
              <w:top w:val="single" w:sz="8" w:color="auto"/>
              <w:bottom w:val="single" w:sz="8" w:color="auto"/>
            </w:tcBorders>
            <w:vMerge w:val="restart"/>
          </w:tcPr>
          <w:p>
            <w:pPr>
              <w:spacing w:after="0"/>
              <w:rPr>
                <w:sz w:val="5"/>
                <w:szCs w:val="5"/>
                <w:color w:val="auto"/>
              </w:rPr>
            </w:pPr>
          </w:p>
        </w:tc>
        <w:tc>
          <w:tcPr>
            <w:tcW w:w="280" w:type="dxa"/>
            <w:vAlign w:val="bottom"/>
            <w:vMerge w:val="restart"/>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6580" w:type="dxa"/>
            <w:vAlign w:val="bottom"/>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65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line="601" w:lineRule="auto"/>
        <w:rPr>
          <w:sz w:val="20"/>
          <w:szCs w:val="20"/>
          <w:color w:val="auto"/>
        </w:rPr>
      </w:pPr>
      <w:r>
        <w:rPr>
          <w:rFonts w:ascii="Courier New" w:cs="Courier New" w:eastAsia="Courier New" w:hAnsi="Courier New"/>
          <w:sz w:val="13"/>
          <w:szCs w:val="13"/>
          <w:color w:val="auto"/>
        </w:rPr>
        <w:t>KNOW ALL PEOPLE BY THESE PRESENTS, that the undersigned, John Costigan (the "Filer"), an individual subject to the filing requirements of Sect IN WITNESS WHEREOF, the undersigned has executed this Power of Attorney on this 29th day of April, 2022. /s/ JOHN COSTIGAN</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John Costigan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Printed Name</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927003" TargetMode="External"/><Relationship Id="rId12" Type="http://schemas.openxmlformats.org/officeDocument/2006/relationships/hyperlink" Target="http://www.sec.gov/cgi-bin/browse-edgar?action=getcompany&amp;CIK=00010132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2022-05-08T21:46:19Z</dcterms:created>
  <dcterms:modified xsi:type="dcterms:W3CDTF">2022-05-08T21:46:19Z</dcterms:modified>
</cp:coreProperties>
</file>