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5_1791922296.xml.htm"/>
      <w:bookmarkStart w:id="1" w:name="kswkform5_1791922296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2"/>
        <w:gridCol w:w="5976"/>
        <w:gridCol w:w="1992"/>
      </w:tblGrid>
      <w:tr>
        <w:trPr/>
        <w:tc>
          <w:tcPr>
            <w:tcW w:w="2237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7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      </w:r>
          </w:p>
        </w:tc>
        <w:tc>
          <w:tcPr>
            <w:tcW w:w="796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Stepp Katherine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7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AI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46"/>
        <w:gridCol w:w="943"/>
        <w:gridCol w:w="814"/>
        <w:gridCol w:w="906"/>
        <w:gridCol w:w="987"/>
        <w:gridCol w:w="479"/>
        <w:gridCol w:w="950"/>
        <w:gridCol w:w="1208"/>
        <w:gridCol w:w="935"/>
        <w:gridCol w:w="973"/>
        <w:gridCol w:w="16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8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0.0007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301.23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808.1831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12/18/2025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0.0007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273.39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808.1838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dividend reinvestment purchases under the FactSet Research Systems Inc.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Katherine M. Stepp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hyperlink" Target="http://www.sec.gov/cgi-bin/browse-edgar?action=getcompany&amp;CIK=0001944065" TargetMode="External"/><Relationship Id="rId7" Type="http://schemas.openxmlformats.org/officeDocument/2006/relationships/hyperlink" Target="http://www.sec.gov/cgi-bin/browse-edgar?action=getcompany&amp;CIK=0001013237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3310</Characters>
  <CharactersWithSpaces>3843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